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5038A" w14:textId="1D30A7C9" w:rsidR="00602DCA" w:rsidRDefault="00602DCA">
      <w:pPr>
        <w:jc w:val="center"/>
        <w:rPr>
          <w:b/>
          <w:sz w:val="40"/>
        </w:rPr>
      </w:pPr>
    </w:p>
    <w:p w14:paraId="234585B9" w14:textId="77777777" w:rsidR="00602DCA" w:rsidRDefault="00C5530C">
      <w:pPr>
        <w:spacing w:after="160" w:line="259" w:lineRule="auto"/>
        <w:jc w:val="left"/>
        <w:rPr>
          <w:b/>
          <w:sz w:val="36"/>
          <w:highlight w:val="yellow"/>
        </w:rPr>
      </w:pPr>
      <w:r>
        <w:rPr>
          <w:b/>
          <w:noProof/>
          <w:sz w:val="40"/>
        </w:rPr>
        <mc:AlternateContent>
          <mc:Choice Requires="wps">
            <w:drawing>
              <wp:anchor distT="45720" distB="45720" distL="114300" distR="114300" simplePos="0" relativeHeight="251659264" behindDoc="0" locked="0" layoutInCell="1" allowOverlap="1" wp14:anchorId="551B278F" wp14:editId="0DC96FA5">
                <wp:simplePos x="0" y="0"/>
                <wp:positionH relativeFrom="column">
                  <wp:posOffset>150495</wp:posOffset>
                </wp:positionH>
                <wp:positionV relativeFrom="paragraph">
                  <wp:posOffset>2616265</wp:posOffset>
                </wp:positionV>
                <wp:extent cx="5540375" cy="1404620"/>
                <wp:effectExtent l="0" t="0" r="3175" b="0"/>
                <wp:wrapSquare wrapText="bothSides"/>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0375" cy="1404620"/>
                        </a:xfrm>
                        <a:prstGeom prst="rect">
                          <a:avLst/>
                        </a:prstGeom>
                        <a:solidFill>
                          <a:srgbClr val="FFFFFF"/>
                        </a:solidFill>
                        <a:ln w="9525">
                          <a:noFill/>
                          <a:miter lim="800000"/>
                          <a:headEnd/>
                          <a:tailEnd/>
                        </a:ln>
                      </wps:spPr>
                      <wps:txbx>
                        <w:txbxContent>
                          <w:p w14:paraId="1CEE33BF" w14:textId="2F7AE07B" w:rsidR="00602DCA" w:rsidRDefault="00C5530C">
                            <w:pPr>
                              <w:tabs>
                                <w:tab w:val="left" w:pos="142"/>
                              </w:tabs>
                              <w:ind w:left="-142"/>
                              <w:jc w:val="center"/>
                              <w:rPr>
                                <w:b/>
                                <w:sz w:val="40"/>
                              </w:rPr>
                            </w:pPr>
                            <w:r>
                              <w:rPr>
                                <w:b/>
                                <w:sz w:val="40"/>
                              </w:rPr>
                              <w:t xml:space="preserve">Rámcová vodítka </w:t>
                            </w:r>
                            <w:bookmarkStart w:id="0" w:name="_Hlk187401632"/>
                            <w:r>
                              <w:rPr>
                                <w:b/>
                                <w:sz w:val="40"/>
                              </w:rPr>
                              <w:t xml:space="preserve">pro implementaci zásady „významně nepoškozovat“ životní prostředí (DNSH) a prověřování infrastruktury z hlediska klimatického dopadu </w:t>
                            </w:r>
                          </w:p>
                          <w:p w14:paraId="7943DAC2" w14:textId="77777777" w:rsidR="00602DCA" w:rsidRDefault="00C5530C">
                            <w:pPr>
                              <w:tabs>
                                <w:tab w:val="left" w:pos="142"/>
                              </w:tabs>
                              <w:ind w:left="-142"/>
                              <w:jc w:val="center"/>
                              <w:rPr>
                                <w:b/>
                                <w:sz w:val="40"/>
                              </w:rPr>
                            </w:pPr>
                            <w:r>
                              <w:rPr>
                                <w:b/>
                                <w:sz w:val="40"/>
                              </w:rPr>
                              <w:t>v EU fondech v ČR</w:t>
                            </w:r>
                            <w:bookmarkEnd w:id="0"/>
                          </w:p>
                          <w:p w14:paraId="3B2C4368" w14:textId="77777777" w:rsidR="00602DCA" w:rsidRDefault="00602DCA">
                            <w:pPr>
                              <w:tabs>
                                <w:tab w:val="left" w:pos="142"/>
                              </w:tabs>
                              <w:ind w:left="-142"/>
                              <w:jc w:val="center"/>
                              <w:rPr>
                                <w:b/>
                                <w:sz w:val="40"/>
                              </w:rPr>
                            </w:pPr>
                          </w:p>
                          <w:p w14:paraId="2C22BB3C" w14:textId="5F3C7B11" w:rsidR="00602DCA" w:rsidRDefault="00C5530C">
                            <w:pPr>
                              <w:tabs>
                                <w:tab w:val="left" w:pos="142"/>
                              </w:tabs>
                              <w:ind w:left="-142"/>
                              <w:jc w:val="center"/>
                              <w:rPr>
                                <w:b/>
                                <w:sz w:val="24"/>
                                <w:szCs w:val="24"/>
                              </w:rPr>
                            </w:pPr>
                            <w:r>
                              <w:rPr>
                                <w:b/>
                                <w:sz w:val="24"/>
                                <w:szCs w:val="24"/>
                              </w:rPr>
                              <w:t>datum zpracování 20. prosince 2022</w:t>
                            </w:r>
                          </w:p>
                          <w:p w14:paraId="0F2690EB" w14:textId="20B8A4F7" w:rsidR="00B436B6" w:rsidRPr="00E93518" w:rsidRDefault="00B436B6" w:rsidP="00A32A7E">
                            <w:pPr>
                              <w:pStyle w:val="Odstavecseseznamem"/>
                              <w:numPr>
                                <w:ilvl w:val="0"/>
                                <w:numId w:val="61"/>
                              </w:numPr>
                              <w:tabs>
                                <w:tab w:val="left" w:pos="142"/>
                              </w:tabs>
                              <w:jc w:val="center"/>
                              <w:rPr>
                                <w:b/>
                                <w:sz w:val="24"/>
                              </w:rPr>
                            </w:pPr>
                            <w:r w:rsidRPr="00E93518">
                              <w:rPr>
                                <w:b/>
                                <w:sz w:val="24"/>
                                <w:szCs w:val="24"/>
                              </w:rPr>
                              <w:t>aktualiz</w:t>
                            </w:r>
                            <w:r>
                              <w:rPr>
                                <w:b/>
                                <w:sz w:val="24"/>
                                <w:szCs w:val="24"/>
                              </w:rPr>
                              <w:t>ace</w:t>
                            </w:r>
                            <w:r w:rsidRPr="00E93518">
                              <w:rPr>
                                <w:b/>
                                <w:sz w:val="24"/>
                                <w:szCs w:val="24"/>
                              </w:rPr>
                              <w:t xml:space="preserve"> </w:t>
                            </w:r>
                            <w:r w:rsidR="00D16D42">
                              <w:rPr>
                                <w:b/>
                                <w:sz w:val="24"/>
                                <w:szCs w:val="24"/>
                              </w:rPr>
                              <w:t>29. září</w:t>
                            </w:r>
                            <w:r w:rsidR="00260902">
                              <w:rPr>
                                <w:b/>
                                <w:sz w:val="24"/>
                                <w:szCs w:val="24"/>
                              </w:rPr>
                              <w:t xml:space="preserve"> </w:t>
                            </w:r>
                            <w:r w:rsidRPr="00E93518">
                              <w:rPr>
                                <w:b/>
                                <w:sz w:val="24"/>
                                <w:szCs w:val="24"/>
                              </w:rPr>
                              <w:t>2025</w:t>
                            </w:r>
                            <w:r w:rsidR="00260902">
                              <w:rPr>
                                <w:b/>
                                <w:sz w:val="24"/>
                                <w:szCs w:val="24"/>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1B278F" id="_x0000_t202" coordsize="21600,21600" o:spt="202" path="m,l,21600r21600,l21600,xe">
                <v:stroke joinstyle="miter"/>
                <v:path gradientshapeok="t" o:connecttype="rect"/>
              </v:shapetype>
              <v:shape id="Textové pole 2" o:spid="_x0000_s1026" type="#_x0000_t202" style="position:absolute;margin-left:11.85pt;margin-top:206pt;width:436.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" stroked="f">
                <v:textbox style="mso-fit-shape-to-text:t">
                  <w:txbxContent>
                    <w:p w14:paraId="1CEE33BF" w14:textId="2F7AE07B" w:rsidR="00602DCA" w:rsidRDefault="00C5530C">
                      <w:pPr>
                        <w:tabs>
                          <w:tab w:val="left" w:pos="142"/>
                        </w:tabs>
                        <w:ind w:left="-142"/>
                        <w:jc w:val="center"/>
                        <w:rPr>
                          <w:b/>
                          <w:sz w:val="40"/>
                        </w:rPr>
                      </w:pPr>
                      <w:r>
                        <w:rPr>
                          <w:b/>
                          <w:sz w:val="40"/>
                        </w:rPr>
                        <w:t xml:space="preserve">Rámcová vodítka </w:t>
                      </w:r>
                      <w:bookmarkStart w:id="1" w:name="_Hlk187401632"/>
                      <w:r>
                        <w:rPr>
                          <w:b/>
                          <w:sz w:val="40"/>
                        </w:rPr>
                        <w:t xml:space="preserve">pro implementaci zásady „významně nepoškozovat“ životní prostředí (DNSH) a prověřování infrastruktury z hlediska klimatického dopadu </w:t>
                      </w:r>
                    </w:p>
                    <w:p w14:paraId="7943DAC2" w14:textId="77777777" w:rsidR="00602DCA" w:rsidRDefault="00C5530C">
                      <w:pPr>
                        <w:tabs>
                          <w:tab w:val="left" w:pos="142"/>
                        </w:tabs>
                        <w:ind w:left="-142"/>
                        <w:jc w:val="center"/>
                        <w:rPr>
                          <w:b/>
                          <w:sz w:val="40"/>
                        </w:rPr>
                      </w:pPr>
                      <w:r>
                        <w:rPr>
                          <w:b/>
                          <w:sz w:val="40"/>
                        </w:rPr>
                        <w:t>v EU fondech v ČR</w:t>
                      </w:r>
                      <w:bookmarkEnd w:id="1"/>
                    </w:p>
                    <w:p w14:paraId="3B2C4368" w14:textId="77777777" w:rsidR="00602DCA" w:rsidRDefault="00602DCA">
                      <w:pPr>
                        <w:tabs>
                          <w:tab w:val="left" w:pos="142"/>
                        </w:tabs>
                        <w:ind w:left="-142"/>
                        <w:jc w:val="center"/>
                        <w:rPr>
                          <w:b/>
                          <w:sz w:val="40"/>
                        </w:rPr>
                      </w:pPr>
                    </w:p>
                    <w:p w14:paraId="2C22BB3C" w14:textId="5F3C7B11" w:rsidR="00602DCA" w:rsidRDefault="00C5530C">
                      <w:pPr>
                        <w:tabs>
                          <w:tab w:val="left" w:pos="142"/>
                        </w:tabs>
                        <w:ind w:left="-142"/>
                        <w:jc w:val="center"/>
                        <w:rPr>
                          <w:b/>
                          <w:sz w:val="24"/>
                          <w:szCs w:val="24"/>
                        </w:rPr>
                      </w:pPr>
                      <w:r>
                        <w:rPr>
                          <w:b/>
                          <w:sz w:val="24"/>
                          <w:szCs w:val="24"/>
                        </w:rPr>
                        <w:t>datum zpracování 20. prosince 2022</w:t>
                      </w:r>
                    </w:p>
                    <w:p w14:paraId="0F2690EB" w14:textId="20B8A4F7" w:rsidR="00B436B6" w:rsidRPr="00E93518" w:rsidRDefault="00B436B6" w:rsidP="00A32A7E">
                      <w:pPr>
                        <w:pStyle w:val="Odstavecseseznamem"/>
                        <w:numPr>
                          <w:ilvl w:val="0"/>
                          <w:numId w:val="61"/>
                        </w:numPr>
                        <w:tabs>
                          <w:tab w:val="left" w:pos="142"/>
                        </w:tabs>
                        <w:jc w:val="center"/>
                        <w:rPr>
                          <w:b/>
                          <w:sz w:val="24"/>
                        </w:rPr>
                      </w:pPr>
                      <w:r w:rsidRPr="00E93518">
                        <w:rPr>
                          <w:b/>
                          <w:sz w:val="24"/>
                          <w:szCs w:val="24"/>
                        </w:rPr>
                        <w:t>aktualiz</w:t>
                      </w:r>
                      <w:r>
                        <w:rPr>
                          <w:b/>
                          <w:sz w:val="24"/>
                          <w:szCs w:val="24"/>
                        </w:rPr>
                        <w:t>ace</w:t>
                      </w:r>
                      <w:r w:rsidRPr="00E93518">
                        <w:rPr>
                          <w:b/>
                          <w:sz w:val="24"/>
                          <w:szCs w:val="24"/>
                        </w:rPr>
                        <w:t xml:space="preserve"> </w:t>
                      </w:r>
                      <w:r w:rsidR="00D16D42">
                        <w:rPr>
                          <w:b/>
                          <w:sz w:val="24"/>
                          <w:szCs w:val="24"/>
                        </w:rPr>
                        <w:t>29. září</w:t>
                      </w:r>
                      <w:r w:rsidR="00260902">
                        <w:rPr>
                          <w:b/>
                          <w:sz w:val="24"/>
                          <w:szCs w:val="24"/>
                        </w:rPr>
                        <w:t xml:space="preserve"> </w:t>
                      </w:r>
                      <w:r w:rsidRPr="00E93518">
                        <w:rPr>
                          <w:b/>
                          <w:sz w:val="24"/>
                          <w:szCs w:val="24"/>
                        </w:rPr>
                        <w:t>2025</w:t>
                      </w:r>
                      <w:r w:rsidR="00260902">
                        <w:rPr>
                          <w:b/>
                          <w:sz w:val="24"/>
                          <w:szCs w:val="24"/>
                        </w:rPr>
                        <w:t xml:space="preserve"> </w:t>
                      </w:r>
                    </w:p>
                  </w:txbxContent>
                </v:textbox>
                <w10:wrap type="square"/>
              </v:shape>
            </w:pict>
          </mc:Fallback>
        </mc:AlternateContent>
      </w:r>
      <w:r>
        <w:rPr>
          <w:b/>
          <w:sz w:val="36"/>
          <w:highlight w:val="yellow"/>
        </w:rPr>
        <w:br w:type="page" w:clear="all"/>
      </w:r>
    </w:p>
    <w:bookmarkStart w:id="2" w:name="_Toc116428037" w:displacedByCustomXml="next"/>
    <w:bookmarkEnd w:id="2" w:displacedByCustomXml="next"/>
    <w:sdt>
      <w:sdtPr>
        <w:rPr>
          <w:rFonts w:eastAsiaTheme="majorEastAsia" w:cstheme="majorBidi"/>
          <w:b/>
          <w:color w:val="1F3763" w:themeColor="accent1" w:themeShade="7F"/>
          <w:sz w:val="28"/>
          <w:szCs w:val="24"/>
        </w:rPr>
        <w:id w:val="-869378484"/>
        <w:docPartObj>
          <w:docPartGallery w:val="Table of Contents"/>
          <w:docPartUnique/>
        </w:docPartObj>
      </w:sdtPr>
      <w:sdtEndPr/>
      <w:sdtContent>
        <w:p w14:paraId="6C36EA5B" w14:textId="45676473" w:rsidR="00D16D42" w:rsidRDefault="00C5530C">
          <w:pPr>
            <w:pStyle w:val="Obsah1"/>
            <w:rPr>
              <w:rFonts w:asciiTheme="minorHAnsi" w:eastAsiaTheme="minorEastAsia" w:hAnsiTheme="minorHAnsi"/>
              <w:noProof/>
              <w:kern w:val="2"/>
              <w:sz w:val="24"/>
              <w:szCs w:val="24"/>
              <w:lang w:eastAsia="cs-CZ"/>
              <w14:ligatures w14:val="standardContextual"/>
            </w:rPr>
          </w:pPr>
          <w:r>
            <w:fldChar w:fldCharType="begin"/>
          </w:r>
          <w:r>
            <w:instrText xml:space="preserve"> TOC \o "1-2" \h \z \u </w:instrText>
          </w:r>
          <w:r>
            <w:fldChar w:fldCharType="separate"/>
          </w:r>
          <w:hyperlink w:anchor="_Toc210046014" w:history="1">
            <w:r w:rsidR="00D16D42" w:rsidRPr="00582A28">
              <w:rPr>
                <w:rStyle w:val="Hypertextovodkaz"/>
                <w:noProof/>
              </w:rPr>
              <w:t>Seznam zkratek a pojmů</w:t>
            </w:r>
            <w:r w:rsidR="00D16D42">
              <w:rPr>
                <w:noProof/>
                <w:webHidden/>
              </w:rPr>
              <w:tab/>
            </w:r>
            <w:r w:rsidR="00D16D42">
              <w:rPr>
                <w:noProof/>
                <w:webHidden/>
              </w:rPr>
              <w:fldChar w:fldCharType="begin"/>
            </w:r>
            <w:r w:rsidR="00D16D42">
              <w:rPr>
                <w:noProof/>
                <w:webHidden/>
              </w:rPr>
              <w:instrText xml:space="preserve"> PAGEREF _Toc210046014 \h </w:instrText>
            </w:r>
            <w:r w:rsidR="00D16D42">
              <w:rPr>
                <w:noProof/>
                <w:webHidden/>
              </w:rPr>
            </w:r>
            <w:r w:rsidR="00D16D42">
              <w:rPr>
                <w:noProof/>
                <w:webHidden/>
              </w:rPr>
              <w:fldChar w:fldCharType="separate"/>
            </w:r>
            <w:r w:rsidR="00D16D42">
              <w:rPr>
                <w:noProof/>
                <w:webHidden/>
              </w:rPr>
              <w:t>4</w:t>
            </w:r>
            <w:r w:rsidR="00D16D42">
              <w:rPr>
                <w:noProof/>
                <w:webHidden/>
              </w:rPr>
              <w:fldChar w:fldCharType="end"/>
            </w:r>
          </w:hyperlink>
        </w:p>
        <w:p w14:paraId="11C9A052" w14:textId="59855757" w:rsidR="00D16D42" w:rsidRDefault="00D16D42">
          <w:pPr>
            <w:pStyle w:val="Obsah1"/>
            <w:rPr>
              <w:rFonts w:asciiTheme="minorHAnsi" w:eastAsiaTheme="minorEastAsia" w:hAnsiTheme="minorHAnsi"/>
              <w:noProof/>
              <w:kern w:val="2"/>
              <w:sz w:val="24"/>
              <w:szCs w:val="24"/>
              <w:lang w:eastAsia="cs-CZ"/>
              <w14:ligatures w14:val="standardContextual"/>
            </w:rPr>
          </w:pPr>
          <w:hyperlink w:anchor="_Toc210046015" w:history="1">
            <w:r w:rsidRPr="00582A28">
              <w:rPr>
                <w:rStyle w:val="Hypertextovodkaz"/>
                <w:noProof/>
              </w:rPr>
              <w:t>Jak pracovat s materiálem Rámcových vodítek pro zajištění souladu se zásadou „významně nepoškozovat“ a provádění klimatického prověřování investic?</w:t>
            </w:r>
            <w:r>
              <w:rPr>
                <w:noProof/>
                <w:webHidden/>
              </w:rPr>
              <w:tab/>
            </w:r>
            <w:r>
              <w:rPr>
                <w:noProof/>
                <w:webHidden/>
              </w:rPr>
              <w:fldChar w:fldCharType="begin"/>
            </w:r>
            <w:r>
              <w:rPr>
                <w:noProof/>
                <w:webHidden/>
              </w:rPr>
              <w:instrText xml:space="preserve"> PAGEREF _Toc210046015 \h </w:instrText>
            </w:r>
            <w:r>
              <w:rPr>
                <w:noProof/>
                <w:webHidden/>
              </w:rPr>
            </w:r>
            <w:r>
              <w:rPr>
                <w:noProof/>
                <w:webHidden/>
              </w:rPr>
              <w:fldChar w:fldCharType="separate"/>
            </w:r>
            <w:r>
              <w:rPr>
                <w:noProof/>
                <w:webHidden/>
              </w:rPr>
              <w:t>7</w:t>
            </w:r>
            <w:r>
              <w:rPr>
                <w:noProof/>
                <w:webHidden/>
              </w:rPr>
              <w:fldChar w:fldCharType="end"/>
            </w:r>
          </w:hyperlink>
        </w:p>
        <w:p w14:paraId="7F18159E" w14:textId="6F1B0D79" w:rsidR="00D16D42" w:rsidRDefault="00D16D42">
          <w:pPr>
            <w:pStyle w:val="Obsah1"/>
            <w:rPr>
              <w:rFonts w:asciiTheme="minorHAnsi" w:eastAsiaTheme="minorEastAsia" w:hAnsiTheme="minorHAnsi"/>
              <w:noProof/>
              <w:kern w:val="2"/>
              <w:sz w:val="24"/>
              <w:szCs w:val="24"/>
              <w:lang w:eastAsia="cs-CZ"/>
              <w14:ligatures w14:val="standardContextual"/>
            </w:rPr>
          </w:pPr>
          <w:hyperlink w:anchor="_Toc210046016" w:history="1">
            <w:r w:rsidRPr="00582A28">
              <w:rPr>
                <w:rStyle w:val="Hypertextovodkaz"/>
                <w:noProof/>
              </w:rPr>
              <w:t>1. Úvod</w:t>
            </w:r>
            <w:r>
              <w:rPr>
                <w:noProof/>
                <w:webHidden/>
              </w:rPr>
              <w:tab/>
            </w:r>
            <w:r>
              <w:rPr>
                <w:noProof/>
                <w:webHidden/>
              </w:rPr>
              <w:fldChar w:fldCharType="begin"/>
            </w:r>
            <w:r>
              <w:rPr>
                <w:noProof/>
                <w:webHidden/>
              </w:rPr>
              <w:instrText xml:space="preserve"> PAGEREF _Toc210046016 \h </w:instrText>
            </w:r>
            <w:r>
              <w:rPr>
                <w:noProof/>
                <w:webHidden/>
              </w:rPr>
            </w:r>
            <w:r>
              <w:rPr>
                <w:noProof/>
                <w:webHidden/>
              </w:rPr>
              <w:fldChar w:fldCharType="separate"/>
            </w:r>
            <w:r>
              <w:rPr>
                <w:noProof/>
                <w:webHidden/>
              </w:rPr>
              <w:t>8</w:t>
            </w:r>
            <w:r>
              <w:rPr>
                <w:noProof/>
                <w:webHidden/>
              </w:rPr>
              <w:fldChar w:fldCharType="end"/>
            </w:r>
          </w:hyperlink>
        </w:p>
        <w:p w14:paraId="5A025891" w14:textId="7850B329" w:rsidR="00D16D42" w:rsidRDefault="00D16D42">
          <w:pPr>
            <w:pStyle w:val="Obsah1"/>
            <w:rPr>
              <w:rFonts w:asciiTheme="minorHAnsi" w:eastAsiaTheme="minorEastAsia" w:hAnsiTheme="minorHAnsi"/>
              <w:noProof/>
              <w:kern w:val="2"/>
              <w:sz w:val="24"/>
              <w:szCs w:val="24"/>
              <w:lang w:eastAsia="cs-CZ"/>
              <w14:ligatures w14:val="standardContextual"/>
            </w:rPr>
          </w:pPr>
          <w:hyperlink w:anchor="_Toc210046017" w:history="1">
            <w:r w:rsidRPr="00582A28">
              <w:rPr>
                <w:rStyle w:val="Hypertextovodkaz"/>
                <w:noProof/>
              </w:rPr>
              <w:t>2. Kontext průřezového zohlednění ochrany klimatu a životního prostředí v relevanci k EU fondům</w:t>
            </w:r>
            <w:r>
              <w:rPr>
                <w:noProof/>
                <w:webHidden/>
              </w:rPr>
              <w:tab/>
            </w:r>
            <w:r>
              <w:rPr>
                <w:noProof/>
                <w:webHidden/>
              </w:rPr>
              <w:fldChar w:fldCharType="begin"/>
            </w:r>
            <w:r>
              <w:rPr>
                <w:noProof/>
                <w:webHidden/>
              </w:rPr>
              <w:instrText xml:space="preserve"> PAGEREF _Toc210046017 \h </w:instrText>
            </w:r>
            <w:r>
              <w:rPr>
                <w:noProof/>
                <w:webHidden/>
              </w:rPr>
            </w:r>
            <w:r>
              <w:rPr>
                <w:noProof/>
                <w:webHidden/>
              </w:rPr>
              <w:fldChar w:fldCharType="separate"/>
            </w:r>
            <w:r>
              <w:rPr>
                <w:noProof/>
                <w:webHidden/>
              </w:rPr>
              <w:t>12</w:t>
            </w:r>
            <w:r>
              <w:rPr>
                <w:noProof/>
                <w:webHidden/>
              </w:rPr>
              <w:fldChar w:fldCharType="end"/>
            </w:r>
          </w:hyperlink>
        </w:p>
        <w:p w14:paraId="270C8A6B" w14:textId="60EF8DDD" w:rsidR="00D16D42" w:rsidRDefault="00D16D42">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10046018" w:history="1">
            <w:r w:rsidRPr="00582A28">
              <w:rPr>
                <w:rStyle w:val="Hypertextovodkaz"/>
                <w:noProof/>
              </w:rPr>
              <w:t>2.1 Kontext zásady „významně nepoškozovat“ (životní prostředí)</w:t>
            </w:r>
            <w:r>
              <w:rPr>
                <w:noProof/>
                <w:webHidden/>
              </w:rPr>
              <w:tab/>
            </w:r>
            <w:r>
              <w:rPr>
                <w:noProof/>
                <w:webHidden/>
              </w:rPr>
              <w:fldChar w:fldCharType="begin"/>
            </w:r>
            <w:r>
              <w:rPr>
                <w:noProof/>
                <w:webHidden/>
              </w:rPr>
              <w:instrText xml:space="preserve"> PAGEREF _Toc210046018 \h </w:instrText>
            </w:r>
            <w:r>
              <w:rPr>
                <w:noProof/>
                <w:webHidden/>
              </w:rPr>
            </w:r>
            <w:r>
              <w:rPr>
                <w:noProof/>
                <w:webHidden/>
              </w:rPr>
              <w:fldChar w:fldCharType="separate"/>
            </w:r>
            <w:r>
              <w:rPr>
                <w:noProof/>
                <w:webHidden/>
              </w:rPr>
              <w:t>12</w:t>
            </w:r>
            <w:r>
              <w:rPr>
                <w:noProof/>
                <w:webHidden/>
              </w:rPr>
              <w:fldChar w:fldCharType="end"/>
            </w:r>
          </w:hyperlink>
        </w:p>
        <w:p w14:paraId="2726F93F" w14:textId="77EE885B" w:rsidR="00D16D42" w:rsidRDefault="00D16D42">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10046019" w:history="1">
            <w:r w:rsidRPr="00582A28">
              <w:rPr>
                <w:rStyle w:val="Hypertextovodkaz"/>
                <w:noProof/>
              </w:rPr>
              <w:t>2.2 Kontext taxonomie EU pro udržitelné investice</w:t>
            </w:r>
            <w:r>
              <w:rPr>
                <w:noProof/>
                <w:webHidden/>
              </w:rPr>
              <w:tab/>
            </w:r>
            <w:r>
              <w:rPr>
                <w:noProof/>
                <w:webHidden/>
              </w:rPr>
              <w:fldChar w:fldCharType="begin"/>
            </w:r>
            <w:r>
              <w:rPr>
                <w:noProof/>
                <w:webHidden/>
              </w:rPr>
              <w:instrText xml:space="preserve"> PAGEREF _Toc210046019 \h </w:instrText>
            </w:r>
            <w:r>
              <w:rPr>
                <w:noProof/>
                <w:webHidden/>
              </w:rPr>
            </w:r>
            <w:r>
              <w:rPr>
                <w:noProof/>
                <w:webHidden/>
              </w:rPr>
              <w:fldChar w:fldCharType="separate"/>
            </w:r>
            <w:r>
              <w:rPr>
                <w:noProof/>
                <w:webHidden/>
              </w:rPr>
              <w:t>14</w:t>
            </w:r>
            <w:r>
              <w:rPr>
                <w:noProof/>
                <w:webHidden/>
              </w:rPr>
              <w:fldChar w:fldCharType="end"/>
            </w:r>
          </w:hyperlink>
        </w:p>
        <w:p w14:paraId="1D34BF94" w14:textId="2111E445" w:rsidR="00D16D42" w:rsidRDefault="00D16D42">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10046020" w:history="1">
            <w:r w:rsidRPr="00582A28">
              <w:rPr>
                <w:rStyle w:val="Hypertextovodkaz"/>
                <w:noProof/>
              </w:rPr>
              <w:t>2.3 Legislativní odkazy DNSH a klimatického prověřování infrastruktury pro EU financování</w:t>
            </w:r>
            <w:r>
              <w:rPr>
                <w:noProof/>
                <w:webHidden/>
              </w:rPr>
              <w:tab/>
            </w:r>
            <w:r>
              <w:rPr>
                <w:noProof/>
                <w:webHidden/>
              </w:rPr>
              <w:fldChar w:fldCharType="begin"/>
            </w:r>
            <w:r>
              <w:rPr>
                <w:noProof/>
                <w:webHidden/>
              </w:rPr>
              <w:instrText xml:space="preserve"> PAGEREF _Toc210046020 \h </w:instrText>
            </w:r>
            <w:r>
              <w:rPr>
                <w:noProof/>
                <w:webHidden/>
              </w:rPr>
            </w:r>
            <w:r>
              <w:rPr>
                <w:noProof/>
                <w:webHidden/>
              </w:rPr>
              <w:fldChar w:fldCharType="separate"/>
            </w:r>
            <w:r>
              <w:rPr>
                <w:noProof/>
                <w:webHidden/>
              </w:rPr>
              <w:t>18</w:t>
            </w:r>
            <w:r>
              <w:rPr>
                <w:noProof/>
                <w:webHidden/>
              </w:rPr>
              <w:fldChar w:fldCharType="end"/>
            </w:r>
          </w:hyperlink>
        </w:p>
        <w:p w14:paraId="0BA65481" w14:textId="27D4DB3A" w:rsidR="00D16D42" w:rsidRDefault="00D16D42">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10046021" w:history="1">
            <w:r w:rsidRPr="00582A28">
              <w:rPr>
                <w:rStyle w:val="Hypertextovodkaz"/>
                <w:noProof/>
              </w:rPr>
              <w:t>2.4 Sledování příspěvku fondů k ochraně klimatu a k environmentálním cílům</w:t>
            </w:r>
            <w:r>
              <w:rPr>
                <w:noProof/>
                <w:webHidden/>
              </w:rPr>
              <w:tab/>
            </w:r>
            <w:r>
              <w:rPr>
                <w:noProof/>
                <w:webHidden/>
              </w:rPr>
              <w:fldChar w:fldCharType="begin"/>
            </w:r>
            <w:r>
              <w:rPr>
                <w:noProof/>
                <w:webHidden/>
              </w:rPr>
              <w:instrText xml:space="preserve"> PAGEREF _Toc210046021 \h </w:instrText>
            </w:r>
            <w:r>
              <w:rPr>
                <w:noProof/>
                <w:webHidden/>
              </w:rPr>
            </w:r>
            <w:r>
              <w:rPr>
                <w:noProof/>
                <w:webHidden/>
              </w:rPr>
              <w:fldChar w:fldCharType="separate"/>
            </w:r>
            <w:r>
              <w:rPr>
                <w:noProof/>
                <w:webHidden/>
              </w:rPr>
              <w:t>27</w:t>
            </w:r>
            <w:r>
              <w:rPr>
                <w:noProof/>
                <w:webHidden/>
              </w:rPr>
              <w:fldChar w:fldCharType="end"/>
            </w:r>
          </w:hyperlink>
        </w:p>
        <w:p w14:paraId="07049423" w14:textId="74D236E0" w:rsidR="00D16D42" w:rsidRDefault="00D16D42">
          <w:pPr>
            <w:pStyle w:val="Obsah1"/>
            <w:rPr>
              <w:rFonts w:asciiTheme="minorHAnsi" w:eastAsiaTheme="minorEastAsia" w:hAnsiTheme="minorHAnsi"/>
              <w:noProof/>
              <w:kern w:val="2"/>
              <w:sz w:val="24"/>
              <w:szCs w:val="24"/>
              <w:lang w:eastAsia="cs-CZ"/>
              <w14:ligatures w14:val="standardContextual"/>
            </w:rPr>
          </w:pPr>
          <w:hyperlink w:anchor="_Toc210046022" w:history="1">
            <w:r w:rsidRPr="00582A28">
              <w:rPr>
                <w:rStyle w:val="Hypertextovodkaz"/>
                <w:noProof/>
              </w:rPr>
              <w:t>3. Zásada DNSH a prověřování infrastruktury z hlediska klimatického dopadu na strategické úrovni</w:t>
            </w:r>
            <w:r>
              <w:rPr>
                <w:noProof/>
                <w:webHidden/>
              </w:rPr>
              <w:tab/>
            </w:r>
            <w:r>
              <w:rPr>
                <w:noProof/>
                <w:webHidden/>
              </w:rPr>
              <w:fldChar w:fldCharType="begin"/>
            </w:r>
            <w:r>
              <w:rPr>
                <w:noProof/>
                <w:webHidden/>
              </w:rPr>
              <w:instrText xml:space="preserve"> PAGEREF _Toc210046022 \h </w:instrText>
            </w:r>
            <w:r>
              <w:rPr>
                <w:noProof/>
                <w:webHidden/>
              </w:rPr>
            </w:r>
            <w:r>
              <w:rPr>
                <w:noProof/>
                <w:webHidden/>
              </w:rPr>
              <w:fldChar w:fldCharType="separate"/>
            </w:r>
            <w:r>
              <w:rPr>
                <w:noProof/>
                <w:webHidden/>
              </w:rPr>
              <w:t>29</w:t>
            </w:r>
            <w:r>
              <w:rPr>
                <w:noProof/>
                <w:webHidden/>
              </w:rPr>
              <w:fldChar w:fldCharType="end"/>
            </w:r>
          </w:hyperlink>
        </w:p>
        <w:p w14:paraId="55B3A9D4" w14:textId="173C4C96" w:rsidR="00D16D42" w:rsidRDefault="00D16D42">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10046023" w:history="1">
            <w:r w:rsidRPr="00582A28">
              <w:rPr>
                <w:rStyle w:val="Hypertextovodkaz"/>
                <w:noProof/>
              </w:rPr>
              <w:t>3.1 Soulad s environmentální legislativou na strategické úrovni (na úrovni programu)</w:t>
            </w:r>
            <w:r>
              <w:rPr>
                <w:noProof/>
                <w:webHidden/>
              </w:rPr>
              <w:tab/>
            </w:r>
            <w:r>
              <w:rPr>
                <w:noProof/>
                <w:webHidden/>
              </w:rPr>
              <w:fldChar w:fldCharType="begin"/>
            </w:r>
            <w:r>
              <w:rPr>
                <w:noProof/>
                <w:webHidden/>
              </w:rPr>
              <w:instrText xml:space="preserve"> PAGEREF _Toc210046023 \h </w:instrText>
            </w:r>
            <w:r>
              <w:rPr>
                <w:noProof/>
                <w:webHidden/>
              </w:rPr>
            </w:r>
            <w:r>
              <w:rPr>
                <w:noProof/>
                <w:webHidden/>
              </w:rPr>
              <w:fldChar w:fldCharType="separate"/>
            </w:r>
            <w:r>
              <w:rPr>
                <w:noProof/>
                <w:webHidden/>
              </w:rPr>
              <w:t>30</w:t>
            </w:r>
            <w:r>
              <w:rPr>
                <w:noProof/>
                <w:webHidden/>
              </w:rPr>
              <w:fldChar w:fldCharType="end"/>
            </w:r>
          </w:hyperlink>
        </w:p>
        <w:p w14:paraId="6886FCCF" w14:textId="25C7A485" w:rsidR="00D16D42" w:rsidRDefault="00D16D42">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10046024" w:history="1">
            <w:r w:rsidRPr="00582A28">
              <w:rPr>
                <w:rStyle w:val="Hypertextovodkaz"/>
                <w:noProof/>
              </w:rPr>
              <w:t>3.2 Stanovení koeficientů pro výpočet podpory na plnění cílů v oblasti změny klimatu a koeficientů pro výpočet podpory na plnění environmentálních cílů rozpočtu EU k příslušným environmentálním cílům</w:t>
            </w:r>
            <w:r>
              <w:rPr>
                <w:noProof/>
                <w:webHidden/>
              </w:rPr>
              <w:tab/>
            </w:r>
            <w:r>
              <w:rPr>
                <w:noProof/>
                <w:webHidden/>
              </w:rPr>
              <w:fldChar w:fldCharType="begin"/>
            </w:r>
            <w:r>
              <w:rPr>
                <w:noProof/>
                <w:webHidden/>
              </w:rPr>
              <w:instrText xml:space="preserve"> PAGEREF _Toc210046024 \h </w:instrText>
            </w:r>
            <w:r>
              <w:rPr>
                <w:noProof/>
                <w:webHidden/>
              </w:rPr>
            </w:r>
            <w:r>
              <w:rPr>
                <w:noProof/>
                <w:webHidden/>
              </w:rPr>
              <w:fldChar w:fldCharType="separate"/>
            </w:r>
            <w:r>
              <w:rPr>
                <w:noProof/>
                <w:webHidden/>
              </w:rPr>
              <w:t>31</w:t>
            </w:r>
            <w:r>
              <w:rPr>
                <w:noProof/>
                <w:webHidden/>
              </w:rPr>
              <w:fldChar w:fldCharType="end"/>
            </w:r>
          </w:hyperlink>
        </w:p>
        <w:p w14:paraId="1D9D8664" w14:textId="385AB76F" w:rsidR="00D16D42" w:rsidRDefault="00D16D42">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10046025" w:history="1">
            <w:r w:rsidRPr="00582A28">
              <w:rPr>
                <w:rStyle w:val="Hypertextovodkaz"/>
                <w:noProof/>
              </w:rPr>
              <w:t>3.3 Soulad s pravidly EU pro státní podporu</w:t>
            </w:r>
            <w:r>
              <w:rPr>
                <w:noProof/>
                <w:webHidden/>
              </w:rPr>
              <w:tab/>
            </w:r>
            <w:r>
              <w:rPr>
                <w:noProof/>
                <w:webHidden/>
              </w:rPr>
              <w:fldChar w:fldCharType="begin"/>
            </w:r>
            <w:r>
              <w:rPr>
                <w:noProof/>
                <w:webHidden/>
              </w:rPr>
              <w:instrText xml:space="preserve"> PAGEREF _Toc210046025 \h </w:instrText>
            </w:r>
            <w:r>
              <w:rPr>
                <w:noProof/>
                <w:webHidden/>
              </w:rPr>
            </w:r>
            <w:r>
              <w:rPr>
                <w:noProof/>
                <w:webHidden/>
              </w:rPr>
              <w:fldChar w:fldCharType="separate"/>
            </w:r>
            <w:r>
              <w:rPr>
                <w:noProof/>
                <w:webHidden/>
              </w:rPr>
              <w:t>31</w:t>
            </w:r>
            <w:r>
              <w:rPr>
                <w:noProof/>
                <w:webHidden/>
              </w:rPr>
              <w:fldChar w:fldCharType="end"/>
            </w:r>
          </w:hyperlink>
        </w:p>
        <w:p w14:paraId="3F39611A" w14:textId="1799CB84" w:rsidR="00D16D42" w:rsidRDefault="00D16D42">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10046026" w:history="1">
            <w:r w:rsidRPr="00582A28">
              <w:rPr>
                <w:rStyle w:val="Hypertextovodkaz"/>
                <w:noProof/>
              </w:rPr>
              <w:t>3.4 Vyhodnocení souladu s DNSH na programové úrovni</w:t>
            </w:r>
            <w:r>
              <w:rPr>
                <w:noProof/>
                <w:webHidden/>
              </w:rPr>
              <w:tab/>
            </w:r>
            <w:r>
              <w:rPr>
                <w:noProof/>
                <w:webHidden/>
              </w:rPr>
              <w:fldChar w:fldCharType="begin"/>
            </w:r>
            <w:r>
              <w:rPr>
                <w:noProof/>
                <w:webHidden/>
              </w:rPr>
              <w:instrText xml:space="preserve"> PAGEREF _Toc210046026 \h </w:instrText>
            </w:r>
            <w:r>
              <w:rPr>
                <w:noProof/>
                <w:webHidden/>
              </w:rPr>
            </w:r>
            <w:r>
              <w:rPr>
                <w:noProof/>
                <w:webHidden/>
              </w:rPr>
              <w:fldChar w:fldCharType="separate"/>
            </w:r>
            <w:r>
              <w:rPr>
                <w:noProof/>
                <w:webHidden/>
              </w:rPr>
              <w:t>32</w:t>
            </w:r>
            <w:r>
              <w:rPr>
                <w:noProof/>
                <w:webHidden/>
              </w:rPr>
              <w:fldChar w:fldCharType="end"/>
            </w:r>
          </w:hyperlink>
        </w:p>
        <w:p w14:paraId="174EF3D2" w14:textId="53ADF2E3" w:rsidR="00D16D42" w:rsidRDefault="00D16D42">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10046027" w:history="1">
            <w:r w:rsidRPr="00582A28">
              <w:rPr>
                <w:rStyle w:val="Hypertextovodkaz"/>
                <w:noProof/>
              </w:rPr>
              <w:t>3.5 Podmínky DNSH založené na věcném vymezení podpory a vyloučené podpory</w:t>
            </w:r>
            <w:r>
              <w:rPr>
                <w:noProof/>
                <w:webHidden/>
              </w:rPr>
              <w:tab/>
            </w:r>
            <w:r>
              <w:rPr>
                <w:noProof/>
                <w:webHidden/>
              </w:rPr>
              <w:fldChar w:fldCharType="begin"/>
            </w:r>
            <w:r>
              <w:rPr>
                <w:noProof/>
                <w:webHidden/>
              </w:rPr>
              <w:instrText xml:space="preserve"> PAGEREF _Toc210046027 \h </w:instrText>
            </w:r>
            <w:r>
              <w:rPr>
                <w:noProof/>
                <w:webHidden/>
              </w:rPr>
            </w:r>
            <w:r>
              <w:rPr>
                <w:noProof/>
                <w:webHidden/>
              </w:rPr>
              <w:fldChar w:fldCharType="separate"/>
            </w:r>
            <w:r>
              <w:rPr>
                <w:noProof/>
                <w:webHidden/>
              </w:rPr>
              <w:t>33</w:t>
            </w:r>
            <w:r>
              <w:rPr>
                <w:noProof/>
                <w:webHidden/>
              </w:rPr>
              <w:fldChar w:fldCharType="end"/>
            </w:r>
          </w:hyperlink>
        </w:p>
        <w:p w14:paraId="4AEC7CCE" w14:textId="1C47CCE9" w:rsidR="00D16D42" w:rsidRDefault="00D16D42">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10046028" w:history="1">
            <w:r w:rsidRPr="00582A28">
              <w:rPr>
                <w:rStyle w:val="Hypertextovodkaz"/>
                <w:noProof/>
              </w:rPr>
              <w:t>3.6 Podmínky DNSH směřující k provádění opatření</w:t>
            </w:r>
            <w:r>
              <w:rPr>
                <w:noProof/>
                <w:webHidden/>
              </w:rPr>
              <w:tab/>
            </w:r>
            <w:r>
              <w:rPr>
                <w:noProof/>
                <w:webHidden/>
              </w:rPr>
              <w:fldChar w:fldCharType="begin"/>
            </w:r>
            <w:r>
              <w:rPr>
                <w:noProof/>
                <w:webHidden/>
              </w:rPr>
              <w:instrText xml:space="preserve"> PAGEREF _Toc210046028 \h </w:instrText>
            </w:r>
            <w:r>
              <w:rPr>
                <w:noProof/>
                <w:webHidden/>
              </w:rPr>
            </w:r>
            <w:r>
              <w:rPr>
                <w:noProof/>
                <w:webHidden/>
              </w:rPr>
              <w:fldChar w:fldCharType="separate"/>
            </w:r>
            <w:r>
              <w:rPr>
                <w:noProof/>
                <w:webHidden/>
              </w:rPr>
              <w:t>38</w:t>
            </w:r>
            <w:r>
              <w:rPr>
                <w:noProof/>
                <w:webHidden/>
              </w:rPr>
              <w:fldChar w:fldCharType="end"/>
            </w:r>
          </w:hyperlink>
        </w:p>
        <w:p w14:paraId="6D7CC98B" w14:textId="7A733EE6" w:rsidR="00D16D42" w:rsidRDefault="00D16D42">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10046029" w:history="1">
            <w:r w:rsidRPr="00582A28">
              <w:rPr>
                <w:rStyle w:val="Hypertextovodkaz"/>
                <w:noProof/>
              </w:rPr>
              <w:t>3.7 Dobrá a špatná praxe implementace DNSH</w:t>
            </w:r>
            <w:r>
              <w:rPr>
                <w:noProof/>
                <w:webHidden/>
              </w:rPr>
              <w:tab/>
            </w:r>
            <w:r>
              <w:rPr>
                <w:noProof/>
                <w:webHidden/>
              </w:rPr>
              <w:fldChar w:fldCharType="begin"/>
            </w:r>
            <w:r>
              <w:rPr>
                <w:noProof/>
                <w:webHidden/>
              </w:rPr>
              <w:instrText xml:space="preserve"> PAGEREF _Toc210046029 \h </w:instrText>
            </w:r>
            <w:r>
              <w:rPr>
                <w:noProof/>
                <w:webHidden/>
              </w:rPr>
            </w:r>
            <w:r>
              <w:rPr>
                <w:noProof/>
                <w:webHidden/>
              </w:rPr>
              <w:fldChar w:fldCharType="separate"/>
            </w:r>
            <w:r>
              <w:rPr>
                <w:noProof/>
                <w:webHidden/>
              </w:rPr>
              <w:t>38</w:t>
            </w:r>
            <w:r>
              <w:rPr>
                <w:noProof/>
                <w:webHidden/>
              </w:rPr>
              <w:fldChar w:fldCharType="end"/>
            </w:r>
          </w:hyperlink>
        </w:p>
        <w:p w14:paraId="674CCA1C" w14:textId="02C3E842" w:rsidR="00D16D42" w:rsidRDefault="00D16D42">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10046030" w:history="1">
            <w:r w:rsidRPr="00582A28">
              <w:rPr>
                <w:rStyle w:val="Hypertextovodkaz"/>
                <w:noProof/>
              </w:rPr>
              <w:t>3.8 Zásada DNSH a klimatické prověřování investic v kontextu finančních nástrojů</w:t>
            </w:r>
            <w:r>
              <w:rPr>
                <w:noProof/>
                <w:webHidden/>
              </w:rPr>
              <w:tab/>
            </w:r>
            <w:r>
              <w:rPr>
                <w:noProof/>
                <w:webHidden/>
              </w:rPr>
              <w:fldChar w:fldCharType="begin"/>
            </w:r>
            <w:r>
              <w:rPr>
                <w:noProof/>
                <w:webHidden/>
              </w:rPr>
              <w:instrText xml:space="preserve"> PAGEREF _Toc210046030 \h </w:instrText>
            </w:r>
            <w:r>
              <w:rPr>
                <w:noProof/>
                <w:webHidden/>
              </w:rPr>
            </w:r>
            <w:r>
              <w:rPr>
                <w:noProof/>
                <w:webHidden/>
              </w:rPr>
              <w:fldChar w:fldCharType="separate"/>
            </w:r>
            <w:r>
              <w:rPr>
                <w:noProof/>
                <w:webHidden/>
              </w:rPr>
              <w:t>39</w:t>
            </w:r>
            <w:r>
              <w:rPr>
                <w:noProof/>
                <w:webHidden/>
              </w:rPr>
              <w:fldChar w:fldCharType="end"/>
            </w:r>
          </w:hyperlink>
        </w:p>
        <w:p w14:paraId="07F294AD" w14:textId="33C4CC15" w:rsidR="00D16D42" w:rsidRDefault="00D16D42">
          <w:pPr>
            <w:pStyle w:val="Obsah1"/>
            <w:rPr>
              <w:rFonts w:asciiTheme="minorHAnsi" w:eastAsiaTheme="minorEastAsia" w:hAnsiTheme="minorHAnsi"/>
              <w:noProof/>
              <w:kern w:val="2"/>
              <w:sz w:val="24"/>
              <w:szCs w:val="24"/>
              <w:lang w:eastAsia="cs-CZ"/>
              <w14:ligatures w14:val="standardContextual"/>
            </w:rPr>
          </w:pPr>
          <w:hyperlink w:anchor="_Toc210046031" w:history="1">
            <w:r w:rsidRPr="00582A28">
              <w:rPr>
                <w:rStyle w:val="Hypertextovodkaz"/>
                <w:noProof/>
              </w:rPr>
              <w:t>4. Zásada DNSH a prověřování infrastruktury z hlediska klimatického dopadu – konkrétní postupy pro jednotlivé klimatické a environmentální cíle pro přípravu výzev a stanovení podmínek pro žadatele</w:t>
            </w:r>
            <w:r>
              <w:rPr>
                <w:noProof/>
                <w:webHidden/>
              </w:rPr>
              <w:tab/>
            </w:r>
            <w:r>
              <w:rPr>
                <w:noProof/>
                <w:webHidden/>
              </w:rPr>
              <w:fldChar w:fldCharType="begin"/>
            </w:r>
            <w:r>
              <w:rPr>
                <w:noProof/>
                <w:webHidden/>
              </w:rPr>
              <w:instrText xml:space="preserve"> PAGEREF _Toc210046031 \h </w:instrText>
            </w:r>
            <w:r>
              <w:rPr>
                <w:noProof/>
                <w:webHidden/>
              </w:rPr>
            </w:r>
            <w:r>
              <w:rPr>
                <w:noProof/>
                <w:webHidden/>
              </w:rPr>
              <w:fldChar w:fldCharType="separate"/>
            </w:r>
            <w:r>
              <w:rPr>
                <w:noProof/>
                <w:webHidden/>
              </w:rPr>
              <w:t>43</w:t>
            </w:r>
            <w:r>
              <w:rPr>
                <w:noProof/>
                <w:webHidden/>
              </w:rPr>
              <w:fldChar w:fldCharType="end"/>
            </w:r>
          </w:hyperlink>
        </w:p>
        <w:p w14:paraId="003E7809" w14:textId="7205B1FD" w:rsidR="00D16D42" w:rsidRDefault="00D16D42">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10046032" w:history="1">
            <w:r w:rsidRPr="00582A28">
              <w:rPr>
                <w:rStyle w:val="Hypertextovodkaz"/>
                <w:noProof/>
              </w:rPr>
              <w:t>4.1 Zmírňování změny klimatu (mitigace)</w:t>
            </w:r>
            <w:r>
              <w:rPr>
                <w:noProof/>
                <w:webHidden/>
              </w:rPr>
              <w:tab/>
            </w:r>
            <w:r>
              <w:rPr>
                <w:noProof/>
                <w:webHidden/>
              </w:rPr>
              <w:fldChar w:fldCharType="begin"/>
            </w:r>
            <w:r>
              <w:rPr>
                <w:noProof/>
                <w:webHidden/>
              </w:rPr>
              <w:instrText xml:space="preserve"> PAGEREF _Toc210046032 \h </w:instrText>
            </w:r>
            <w:r>
              <w:rPr>
                <w:noProof/>
                <w:webHidden/>
              </w:rPr>
            </w:r>
            <w:r>
              <w:rPr>
                <w:noProof/>
                <w:webHidden/>
              </w:rPr>
              <w:fldChar w:fldCharType="separate"/>
            </w:r>
            <w:r>
              <w:rPr>
                <w:noProof/>
                <w:webHidden/>
              </w:rPr>
              <w:t>44</w:t>
            </w:r>
            <w:r>
              <w:rPr>
                <w:noProof/>
                <w:webHidden/>
              </w:rPr>
              <w:fldChar w:fldCharType="end"/>
            </w:r>
          </w:hyperlink>
        </w:p>
        <w:p w14:paraId="778F93CF" w14:textId="54A4E2F4" w:rsidR="00D16D42" w:rsidRDefault="00D16D42">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10046033" w:history="1">
            <w:r w:rsidRPr="00582A28">
              <w:rPr>
                <w:rStyle w:val="Hypertextovodkaz"/>
                <w:noProof/>
              </w:rPr>
              <w:t>4.2 Přizpůsobování se změně klimatu (adaptace)</w:t>
            </w:r>
            <w:r>
              <w:rPr>
                <w:noProof/>
                <w:webHidden/>
              </w:rPr>
              <w:tab/>
            </w:r>
            <w:r>
              <w:rPr>
                <w:noProof/>
                <w:webHidden/>
              </w:rPr>
              <w:fldChar w:fldCharType="begin"/>
            </w:r>
            <w:r>
              <w:rPr>
                <w:noProof/>
                <w:webHidden/>
              </w:rPr>
              <w:instrText xml:space="preserve"> PAGEREF _Toc210046033 \h </w:instrText>
            </w:r>
            <w:r>
              <w:rPr>
                <w:noProof/>
                <w:webHidden/>
              </w:rPr>
            </w:r>
            <w:r>
              <w:rPr>
                <w:noProof/>
                <w:webHidden/>
              </w:rPr>
              <w:fldChar w:fldCharType="separate"/>
            </w:r>
            <w:r>
              <w:rPr>
                <w:noProof/>
                <w:webHidden/>
              </w:rPr>
              <w:t>68</w:t>
            </w:r>
            <w:r>
              <w:rPr>
                <w:noProof/>
                <w:webHidden/>
              </w:rPr>
              <w:fldChar w:fldCharType="end"/>
            </w:r>
          </w:hyperlink>
        </w:p>
        <w:p w14:paraId="5A266249" w14:textId="217A04B6" w:rsidR="00D16D42" w:rsidRDefault="00D16D42">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10046034" w:history="1">
            <w:r w:rsidRPr="00582A28">
              <w:rPr>
                <w:rStyle w:val="Hypertextovodkaz"/>
                <w:noProof/>
              </w:rPr>
              <w:t>4.3 Udržitelné využívání a ochrana vodních zdrojů</w:t>
            </w:r>
            <w:r>
              <w:rPr>
                <w:noProof/>
                <w:webHidden/>
              </w:rPr>
              <w:tab/>
            </w:r>
            <w:r>
              <w:rPr>
                <w:noProof/>
                <w:webHidden/>
              </w:rPr>
              <w:fldChar w:fldCharType="begin"/>
            </w:r>
            <w:r>
              <w:rPr>
                <w:noProof/>
                <w:webHidden/>
              </w:rPr>
              <w:instrText xml:space="preserve"> PAGEREF _Toc210046034 \h </w:instrText>
            </w:r>
            <w:r>
              <w:rPr>
                <w:noProof/>
                <w:webHidden/>
              </w:rPr>
            </w:r>
            <w:r>
              <w:rPr>
                <w:noProof/>
                <w:webHidden/>
              </w:rPr>
              <w:fldChar w:fldCharType="separate"/>
            </w:r>
            <w:r>
              <w:rPr>
                <w:noProof/>
                <w:webHidden/>
              </w:rPr>
              <w:t>89</w:t>
            </w:r>
            <w:r>
              <w:rPr>
                <w:noProof/>
                <w:webHidden/>
              </w:rPr>
              <w:fldChar w:fldCharType="end"/>
            </w:r>
          </w:hyperlink>
        </w:p>
        <w:p w14:paraId="0D957CF0" w14:textId="4151D28A" w:rsidR="00D16D42" w:rsidRDefault="00D16D42">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10046035" w:history="1">
            <w:r w:rsidRPr="00582A28">
              <w:rPr>
                <w:rStyle w:val="Hypertextovodkaz"/>
                <w:noProof/>
              </w:rPr>
              <w:t>4.4 Přechod na oběhové hospodářství</w:t>
            </w:r>
            <w:r>
              <w:rPr>
                <w:noProof/>
                <w:webHidden/>
              </w:rPr>
              <w:tab/>
            </w:r>
            <w:r>
              <w:rPr>
                <w:noProof/>
                <w:webHidden/>
              </w:rPr>
              <w:fldChar w:fldCharType="begin"/>
            </w:r>
            <w:r>
              <w:rPr>
                <w:noProof/>
                <w:webHidden/>
              </w:rPr>
              <w:instrText xml:space="preserve"> PAGEREF _Toc210046035 \h </w:instrText>
            </w:r>
            <w:r>
              <w:rPr>
                <w:noProof/>
                <w:webHidden/>
              </w:rPr>
            </w:r>
            <w:r>
              <w:rPr>
                <w:noProof/>
                <w:webHidden/>
              </w:rPr>
              <w:fldChar w:fldCharType="separate"/>
            </w:r>
            <w:r>
              <w:rPr>
                <w:noProof/>
                <w:webHidden/>
              </w:rPr>
              <w:t>96</w:t>
            </w:r>
            <w:r>
              <w:rPr>
                <w:noProof/>
                <w:webHidden/>
              </w:rPr>
              <w:fldChar w:fldCharType="end"/>
            </w:r>
          </w:hyperlink>
        </w:p>
        <w:p w14:paraId="3AE6C4AD" w14:textId="4CF78E8E" w:rsidR="00D16D42" w:rsidRDefault="00D16D42">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10046036" w:history="1">
            <w:r w:rsidRPr="00582A28">
              <w:rPr>
                <w:rStyle w:val="Hypertextovodkaz"/>
                <w:noProof/>
              </w:rPr>
              <w:t>4.5 Prevence a omezování znečištění</w:t>
            </w:r>
            <w:r>
              <w:rPr>
                <w:noProof/>
                <w:webHidden/>
              </w:rPr>
              <w:tab/>
            </w:r>
            <w:r>
              <w:rPr>
                <w:noProof/>
                <w:webHidden/>
              </w:rPr>
              <w:fldChar w:fldCharType="begin"/>
            </w:r>
            <w:r>
              <w:rPr>
                <w:noProof/>
                <w:webHidden/>
              </w:rPr>
              <w:instrText xml:space="preserve"> PAGEREF _Toc210046036 \h </w:instrText>
            </w:r>
            <w:r>
              <w:rPr>
                <w:noProof/>
                <w:webHidden/>
              </w:rPr>
            </w:r>
            <w:r>
              <w:rPr>
                <w:noProof/>
                <w:webHidden/>
              </w:rPr>
              <w:fldChar w:fldCharType="separate"/>
            </w:r>
            <w:r>
              <w:rPr>
                <w:noProof/>
                <w:webHidden/>
              </w:rPr>
              <w:t>106</w:t>
            </w:r>
            <w:r>
              <w:rPr>
                <w:noProof/>
                <w:webHidden/>
              </w:rPr>
              <w:fldChar w:fldCharType="end"/>
            </w:r>
          </w:hyperlink>
        </w:p>
        <w:p w14:paraId="4213F13F" w14:textId="2C279C10" w:rsidR="00D16D42" w:rsidRDefault="00D16D42">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10046037" w:history="1">
            <w:r w:rsidRPr="00582A28">
              <w:rPr>
                <w:rStyle w:val="Hypertextovodkaz"/>
                <w:noProof/>
              </w:rPr>
              <w:t>4.6 Ochrana a obnova biologické rozmanitosti a ekosystémů</w:t>
            </w:r>
            <w:r>
              <w:rPr>
                <w:noProof/>
                <w:webHidden/>
              </w:rPr>
              <w:tab/>
            </w:r>
            <w:r>
              <w:rPr>
                <w:noProof/>
                <w:webHidden/>
              </w:rPr>
              <w:fldChar w:fldCharType="begin"/>
            </w:r>
            <w:r>
              <w:rPr>
                <w:noProof/>
                <w:webHidden/>
              </w:rPr>
              <w:instrText xml:space="preserve"> PAGEREF _Toc210046037 \h </w:instrText>
            </w:r>
            <w:r>
              <w:rPr>
                <w:noProof/>
                <w:webHidden/>
              </w:rPr>
            </w:r>
            <w:r>
              <w:rPr>
                <w:noProof/>
                <w:webHidden/>
              </w:rPr>
              <w:fldChar w:fldCharType="separate"/>
            </w:r>
            <w:r>
              <w:rPr>
                <w:noProof/>
                <w:webHidden/>
              </w:rPr>
              <w:t>118</w:t>
            </w:r>
            <w:r>
              <w:rPr>
                <w:noProof/>
                <w:webHidden/>
              </w:rPr>
              <w:fldChar w:fldCharType="end"/>
            </w:r>
          </w:hyperlink>
        </w:p>
        <w:p w14:paraId="121AD3E8" w14:textId="7F580275" w:rsidR="00D16D42" w:rsidRDefault="00D16D42">
          <w:pPr>
            <w:pStyle w:val="Obsah1"/>
            <w:rPr>
              <w:rFonts w:asciiTheme="minorHAnsi" w:eastAsiaTheme="minorEastAsia" w:hAnsiTheme="minorHAnsi"/>
              <w:noProof/>
              <w:kern w:val="2"/>
              <w:sz w:val="24"/>
              <w:szCs w:val="24"/>
              <w:lang w:eastAsia="cs-CZ"/>
              <w14:ligatures w14:val="standardContextual"/>
            </w:rPr>
          </w:pPr>
          <w:hyperlink w:anchor="_Toc210046038" w:history="1">
            <w:r w:rsidRPr="00582A28">
              <w:rPr>
                <w:rStyle w:val="Hypertextovodkaz"/>
                <w:noProof/>
              </w:rPr>
              <w:t>5. Přílohy</w:t>
            </w:r>
            <w:r>
              <w:rPr>
                <w:noProof/>
                <w:webHidden/>
              </w:rPr>
              <w:tab/>
            </w:r>
            <w:r>
              <w:rPr>
                <w:noProof/>
                <w:webHidden/>
              </w:rPr>
              <w:fldChar w:fldCharType="begin"/>
            </w:r>
            <w:r>
              <w:rPr>
                <w:noProof/>
                <w:webHidden/>
              </w:rPr>
              <w:instrText xml:space="preserve"> PAGEREF _Toc210046038 \h </w:instrText>
            </w:r>
            <w:r>
              <w:rPr>
                <w:noProof/>
                <w:webHidden/>
              </w:rPr>
            </w:r>
            <w:r>
              <w:rPr>
                <w:noProof/>
                <w:webHidden/>
              </w:rPr>
              <w:fldChar w:fldCharType="separate"/>
            </w:r>
            <w:r>
              <w:rPr>
                <w:noProof/>
                <w:webHidden/>
              </w:rPr>
              <w:t>130</w:t>
            </w:r>
            <w:r>
              <w:rPr>
                <w:noProof/>
                <w:webHidden/>
              </w:rPr>
              <w:fldChar w:fldCharType="end"/>
            </w:r>
          </w:hyperlink>
        </w:p>
        <w:p w14:paraId="2A4032D7" w14:textId="72505C7F" w:rsidR="00D16D42" w:rsidRDefault="00D16D42">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10046039" w:history="1">
            <w:r w:rsidRPr="00582A28">
              <w:rPr>
                <w:rStyle w:val="Hypertextovodkaz"/>
                <w:noProof/>
              </w:rPr>
              <w:t>5.1 Připravované nástroje k využití při posuzování DNSH</w:t>
            </w:r>
            <w:r>
              <w:rPr>
                <w:noProof/>
                <w:webHidden/>
              </w:rPr>
              <w:tab/>
            </w:r>
            <w:r>
              <w:rPr>
                <w:noProof/>
                <w:webHidden/>
              </w:rPr>
              <w:fldChar w:fldCharType="begin"/>
            </w:r>
            <w:r>
              <w:rPr>
                <w:noProof/>
                <w:webHidden/>
              </w:rPr>
              <w:instrText xml:space="preserve"> PAGEREF _Toc210046039 \h </w:instrText>
            </w:r>
            <w:r>
              <w:rPr>
                <w:noProof/>
                <w:webHidden/>
              </w:rPr>
            </w:r>
            <w:r>
              <w:rPr>
                <w:noProof/>
                <w:webHidden/>
              </w:rPr>
              <w:fldChar w:fldCharType="separate"/>
            </w:r>
            <w:r>
              <w:rPr>
                <w:noProof/>
                <w:webHidden/>
              </w:rPr>
              <w:t>131</w:t>
            </w:r>
            <w:r>
              <w:rPr>
                <w:noProof/>
                <w:webHidden/>
              </w:rPr>
              <w:fldChar w:fldCharType="end"/>
            </w:r>
          </w:hyperlink>
        </w:p>
        <w:p w14:paraId="7BEB277C" w14:textId="6E47927D" w:rsidR="00D16D42" w:rsidRDefault="00D16D42">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10046040" w:history="1">
            <w:r w:rsidRPr="00582A28">
              <w:rPr>
                <w:rStyle w:val="Hypertextovodkaz"/>
                <w:noProof/>
              </w:rPr>
              <w:t>5.2 Budovy</w:t>
            </w:r>
            <w:r>
              <w:rPr>
                <w:noProof/>
                <w:webHidden/>
              </w:rPr>
              <w:tab/>
            </w:r>
            <w:r>
              <w:rPr>
                <w:noProof/>
                <w:webHidden/>
              </w:rPr>
              <w:fldChar w:fldCharType="begin"/>
            </w:r>
            <w:r>
              <w:rPr>
                <w:noProof/>
                <w:webHidden/>
              </w:rPr>
              <w:instrText xml:space="preserve"> PAGEREF _Toc210046040 \h </w:instrText>
            </w:r>
            <w:r>
              <w:rPr>
                <w:noProof/>
                <w:webHidden/>
              </w:rPr>
            </w:r>
            <w:r>
              <w:rPr>
                <w:noProof/>
                <w:webHidden/>
              </w:rPr>
              <w:fldChar w:fldCharType="separate"/>
            </w:r>
            <w:r>
              <w:rPr>
                <w:noProof/>
                <w:webHidden/>
              </w:rPr>
              <w:t>134</w:t>
            </w:r>
            <w:r>
              <w:rPr>
                <w:noProof/>
                <w:webHidden/>
              </w:rPr>
              <w:fldChar w:fldCharType="end"/>
            </w:r>
          </w:hyperlink>
        </w:p>
        <w:p w14:paraId="0756C7E5" w14:textId="06CD8556" w:rsidR="00D16D42" w:rsidRDefault="00D16D42">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10046041" w:history="1">
            <w:r w:rsidRPr="00582A28">
              <w:rPr>
                <w:rStyle w:val="Hypertextovodkaz"/>
                <w:noProof/>
              </w:rPr>
              <w:t>5.3 Připravenost k opětovnému použití nebo recyklaci 70 % stavebních odpadů a stavebního materiálu</w:t>
            </w:r>
            <w:r>
              <w:rPr>
                <w:noProof/>
                <w:webHidden/>
              </w:rPr>
              <w:tab/>
            </w:r>
            <w:r>
              <w:rPr>
                <w:noProof/>
                <w:webHidden/>
              </w:rPr>
              <w:fldChar w:fldCharType="begin"/>
            </w:r>
            <w:r>
              <w:rPr>
                <w:noProof/>
                <w:webHidden/>
              </w:rPr>
              <w:instrText xml:space="preserve"> PAGEREF _Toc210046041 \h </w:instrText>
            </w:r>
            <w:r>
              <w:rPr>
                <w:noProof/>
                <w:webHidden/>
              </w:rPr>
            </w:r>
            <w:r>
              <w:rPr>
                <w:noProof/>
                <w:webHidden/>
              </w:rPr>
              <w:fldChar w:fldCharType="separate"/>
            </w:r>
            <w:r>
              <w:rPr>
                <w:noProof/>
                <w:webHidden/>
              </w:rPr>
              <w:t>194</w:t>
            </w:r>
            <w:r>
              <w:rPr>
                <w:noProof/>
                <w:webHidden/>
              </w:rPr>
              <w:fldChar w:fldCharType="end"/>
            </w:r>
          </w:hyperlink>
        </w:p>
        <w:p w14:paraId="273F5BCF" w14:textId="0AED8A8C" w:rsidR="00D16D42" w:rsidRDefault="00D16D42">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10046042" w:history="1">
            <w:r w:rsidRPr="00582A28">
              <w:rPr>
                <w:rStyle w:val="Hypertextovodkaz"/>
                <w:noProof/>
              </w:rPr>
              <w:t>5.4 Pořizování automobilů (a ostatní dopravní prostředky)</w:t>
            </w:r>
            <w:r>
              <w:rPr>
                <w:noProof/>
                <w:webHidden/>
              </w:rPr>
              <w:tab/>
            </w:r>
            <w:r>
              <w:rPr>
                <w:noProof/>
                <w:webHidden/>
              </w:rPr>
              <w:fldChar w:fldCharType="begin"/>
            </w:r>
            <w:r>
              <w:rPr>
                <w:noProof/>
                <w:webHidden/>
              </w:rPr>
              <w:instrText xml:space="preserve"> PAGEREF _Toc210046042 \h </w:instrText>
            </w:r>
            <w:r>
              <w:rPr>
                <w:noProof/>
                <w:webHidden/>
              </w:rPr>
            </w:r>
            <w:r>
              <w:rPr>
                <w:noProof/>
                <w:webHidden/>
              </w:rPr>
              <w:fldChar w:fldCharType="separate"/>
            </w:r>
            <w:r>
              <w:rPr>
                <w:noProof/>
                <w:webHidden/>
              </w:rPr>
              <w:t>201</w:t>
            </w:r>
            <w:r>
              <w:rPr>
                <w:noProof/>
                <w:webHidden/>
              </w:rPr>
              <w:fldChar w:fldCharType="end"/>
            </w:r>
          </w:hyperlink>
        </w:p>
        <w:p w14:paraId="44B1CFD8" w14:textId="621407D0" w:rsidR="00D16D42" w:rsidRDefault="00D16D42">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10046043" w:history="1">
            <w:r w:rsidRPr="00582A28">
              <w:rPr>
                <w:rStyle w:val="Hypertextovodkaz"/>
                <w:noProof/>
              </w:rPr>
              <w:t>5.5 Přiřazení relevance koeficientů pro výpočet podpory na plnění cílů v oblasti změny klimatu a koeficientů pro výpočet podpory na plnění environmentálních cílů rozpočtu EU k příslušným environmentálním cílům využívaným při vyhodnocování zásady DNSH na strategické úrovni administrace EU zdrojů</w:t>
            </w:r>
            <w:r>
              <w:rPr>
                <w:noProof/>
                <w:webHidden/>
              </w:rPr>
              <w:tab/>
            </w:r>
            <w:r>
              <w:rPr>
                <w:noProof/>
                <w:webHidden/>
              </w:rPr>
              <w:fldChar w:fldCharType="begin"/>
            </w:r>
            <w:r>
              <w:rPr>
                <w:noProof/>
                <w:webHidden/>
              </w:rPr>
              <w:instrText xml:space="preserve"> PAGEREF _Toc210046043 \h </w:instrText>
            </w:r>
            <w:r>
              <w:rPr>
                <w:noProof/>
                <w:webHidden/>
              </w:rPr>
            </w:r>
            <w:r>
              <w:rPr>
                <w:noProof/>
                <w:webHidden/>
              </w:rPr>
              <w:fldChar w:fldCharType="separate"/>
            </w:r>
            <w:r>
              <w:rPr>
                <w:noProof/>
                <w:webHidden/>
              </w:rPr>
              <w:t>209</w:t>
            </w:r>
            <w:r>
              <w:rPr>
                <w:noProof/>
                <w:webHidden/>
              </w:rPr>
              <w:fldChar w:fldCharType="end"/>
            </w:r>
          </w:hyperlink>
        </w:p>
        <w:p w14:paraId="747F5B6C" w14:textId="0B70FAE8" w:rsidR="00D16D42" w:rsidRDefault="00D16D42">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10046044" w:history="1">
            <w:r w:rsidRPr="00582A28">
              <w:rPr>
                <w:rStyle w:val="Hypertextovodkaz"/>
                <w:noProof/>
              </w:rPr>
              <w:t>5.6 Přehled environmentálních podmínek ukotvených v rámci pravidel veřejné podpory</w:t>
            </w:r>
            <w:r>
              <w:rPr>
                <w:noProof/>
                <w:webHidden/>
              </w:rPr>
              <w:tab/>
            </w:r>
            <w:r>
              <w:rPr>
                <w:noProof/>
                <w:webHidden/>
              </w:rPr>
              <w:fldChar w:fldCharType="begin"/>
            </w:r>
            <w:r>
              <w:rPr>
                <w:noProof/>
                <w:webHidden/>
              </w:rPr>
              <w:instrText xml:space="preserve"> PAGEREF _Toc210046044 \h </w:instrText>
            </w:r>
            <w:r>
              <w:rPr>
                <w:noProof/>
                <w:webHidden/>
              </w:rPr>
            </w:r>
            <w:r>
              <w:rPr>
                <w:noProof/>
                <w:webHidden/>
              </w:rPr>
              <w:fldChar w:fldCharType="separate"/>
            </w:r>
            <w:r>
              <w:rPr>
                <w:noProof/>
                <w:webHidden/>
              </w:rPr>
              <w:t>221</w:t>
            </w:r>
            <w:r>
              <w:rPr>
                <w:noProof/>
                <w:webHidden/>
              </w:rPr>
              <w:fldChar w:fldCharType="end"/>
            </w:r>
          </w:hyperlink>
        </w:p>
        <w:p w14:paraId="54E322CA" w14:textId="7138CA91" w:rsidR="00D16D42" w:rsidRDefault="00D16D42">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10046045" w:history="1">
            <w:r w:rsidRPr="00582A28">
              <w:rPr>
                <w:rStyle w:val="Hypertextovodkaz"/>
                <w:noProof/>
              </w:rPr>
              <w:t>5.7 Přehled výjimek obsažených v dokumentu Rámcových vodítek</w:t>
            </w:r>
            <w:r>
              <w:rPr>
                <w:noProof/>
                <w:webHidden/>
              </w:rPr>
              <w:tab/>
            </w:r>
            <w:r>
              <w:rPr>
                <w:noProof/>
                <w:webHidden/>
              </w:rPr>
              <w:fldChar w:fldCharType="begin"/>
            </w:r>
            <w:r>
              <w:rPr>
                <w:noProof/>
                <w:webHidden/>
              </w:rPr>
              <w:instrText xml:space="preserve"> PAGEREF _Toc210046045 \h </w:instrText>
            </w:r>
            <w:r>
              <w:rPr>
                <w:noProof/>
                <w:webHidden/>
              </w:rPr>
            </w:r>
            <w:r>
              <w:rPr>
                <w:noProof/>
                <w:webHidden/>
              </w:rPr>
              <w:fldChar w:fldCharType="separate"/>
            </w:r>
            <w:r>
              <w:rPr>
                <w:noProof/>
                <w:webHidden/>
              </w:rPr>
              <w:t>233</w:t>
            </w:r>
            <w:r>
              <w:rPr>
                <w:noProof/>
                <w:webHidden/>
              </w:rPr>
              <w:fldChar w:fldCharType="end"/>
            </w:r>
          </w:hyperlink>
        </w:p>
        <w:p w14:paraId="28BA703B" w14:textId="281ACA4F" w:rsidR="00D16D42" w:rsidRDefault="00D16D42">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10046046" w:history="1">
            <w:r w:rsidRPr="00582A28">
              <w:rPr>
                <w:rStyle w:val="Hypertextovodkaz"/>
                <w:noProof/>
              </w:rPr>
              <w:t>5.8 Přehled postupů pro vyhodnocení souladu se zásadou DNSH a provedení postupů climate proofing</w:t>
            </w:r>
            <w:r>
              <w:rPr>
                <w:noProof/>
                <w:webHidden/>
              </w:rPr>
              <w:tab/>
            </w:r>
            <w:r>
              <w:rPr>
                <w:noProof/>
                <w:webHidden/>
              </w:rPr>
              <w:fldChar w:fldCharType="begin"/>
            </w:r>
            <w:r>
              <w:rPr>
                <w:noProof/>
                <w:webHidden/>
              </w:rPr>
              <w:instrText xml:space="preserve"> PAGEREF _Toc210046046 \h </w:instrText>
            </w:r>
            <w:r>
              <w:rPr>
                <w:noProof/>
                <w:webHidden/>
              </w:rPr>
            </w:r>
            <w:r>
              <w:rPr>
                <w:noProof/>
                <w:webHidden/>
              </w:rPr>
              <w:fldChar w:fldCharType="separate"/>
            </w:r>
            <w:r>
              <w:rPr>
                <w:noProof/>
                <w:webHidden/>
              </w:rPr>
              <w:t>237</w:t>
            </w:r>
            <w:r>
              <w:rPr>
                <w:noProof/>
                <w:webHidden/>
              </w:rPr>
              <w:fldChar w:fldCharType="end"/>
            </w:r>
          </w:hyperlink>
        </w:p>
        <w:p w14:paraId="7B1E52D9" w14:textId="137060E7" w:rsidR="00602DCA" w:rsidRDefault="00C5530C">
          <w:pPr>
            <w:pStyle w:val="Nadpis1"/>
            <w:numPr>
              <w:ilvl w:val="0"/>
              <w:numId w:val="0"/>
            </w:numPr>
          </w:pPr>
          <w:r>
            <w:fldChar w:fldCharType="end"/>
          </w:r>
        </w:p>
      </w:sdtContent>
    </w:sdt>
    <w:p w14:paraId="555D436B" w14:textId="77777777" w:rsidR="00602DCA" w:rsidRDefault="00C5530C">
      <w:pPr>
        <w:spacing w:after="160" w:line="259" w:lineRule="auto"/>
        <w:jc w:val="left"/>
      </w:pPr>
      <w:r>
        <w:br w:type="page" w:clear="all"/>
      </w:r>
    </w:p>
    <w:p w14:paraId="75F051FC" w14:textId="77777777" w:rsidR="00602DCA" w:rsidRDefault="00C5530C">
      <w:pPr>
        <w:pStyle w:val="Nadpis1"/>
        <w:numPr>
          <w:ilvl w:val="0"/>
          <w:numId w:val="0"/>
        </w:numPr>
      </w:pPr>
      <w:bookmarkStart w:id="3" w:name="_Toc210046014"/>
      <w:r>
        <w:lastRenderedPageBreak/>
        <w:t>Seznam zkratek a pojmů</w:t>
      </w:r>
      <w:bookmarkEnd w:id="3"/>
    </w:p>
    <w:p w14:paraId="6ABD36C4" w14:textId="77777777" w:rsidR="00251CEB" w:rsidRDefault="00C5530C" w:rsidP="00251CEB">
      <w:r>
        <w:rPr>
          <w:b/>
        </w:rPr>
        <w:t>CP</w:t>
      </w:r>
      <w:r>
        <w:t xml:space="preserve"> – „</w:t>
      </w:r>
      <w:proofErr w:type="spellStart"/>
      <w:r>
        <w:t>climate</w:t>
      </w:r>
      <w:proofErr w:type="spellEnd"/>
      <w:r>
        <w:t xml:space="preserve"> </w:t>
      </w:r>
      <w:proofErr w:type="spellStart"/>
      <w:r>
        <w:t>proofing</w:t>
      </w:r>
      <w:proofErr w:type="spellEnd"/>
      <w:r>
        <w:t>“ – prověřování infrastruktury z hlediska klimatického dopadu s očekávanou životností alespoň 5 let (tzn. celý proces zahrnující všechny aspekty)</w:t>
      </w:r>
    </w:p>
    <w:p w14:paraId="7F532F24" w14:textId="4AA65950" w:rsidR="00251CEB" w:rsidRDefault="00251CEB" w:rsidP="00251CEB">
      <w:r>
        <w:rPr>
          <w:b/>
        </w:rPr>
        <w:t>CPA</w:t>
      </w:r>
      <w:r>
        <w:t xml:space="preserve"> – </w:t>
      </w:r>
      <w:proofErr w:type="spellStart"/>
      <w:r>
        <w:t>climate</w:t>
      </w:r>
      <w:proofErr w:type="spellEnd"/>
      <w:r>
        <w:t xml:space="preserve"> </w:t>
      </w:r>
      <w:proofErr w:type="spellStart"/>
      <w:r>
        <w:t>proofing</w:t>
      </w:r>
      <w:proofErr w:type="spellEnd"/>
      <w:r>
        <w:t xml:space="preserve"> – část přizpůsobování se dopadům změny klimatu (adaptace)</w:t>
      </w:r>
    </w:p>
    <w:p w14:paraId="77F53F7E" w14:textId="77777777" w:rsidR="00602DCA" w:rsidRDefault="00C5530C">
      <w:r>
        <w:rPr>
          <w:b/>
        </w:rPr>
        <w:t>CPM</w:t>
      </w:r>
      <w:r>
        <w:t xml:space="preserve"> – </w:t>
      </w:r>
      <w:proofErr w:type="spellStart"/>
      <w:r>
        <w:t>climate</w:t>
      </w:r>
      <w:proofErr w:type="spellEnd"/>
      <w:r>
        <w:t xml:space="preserve"> </w:t>
      </w:r>
      <w:proofErr w:type="spellStart"/>
      <w:r>
        <w:t>proofing</w:t>
      </w:r>
      <w:proofErr w:type="spellEnd"/>
      <w:r>
        <w:t xml:space="preserve"> – část zmírňování změny klimatu (</w:t>
      </w:r>
      <w:proofErr w:type="spellStart"/>
      <w:r>
        <w:t>mitigace</w:t>
      </w:r>
      <w:proofErr w:type="spellEnd"/>
      <w:r>
        <w:t>)</w:t>
      </w:r>
    </w:p>
    <w:p w14:paraId="72890DC4" w14:textId="732A897E" w:rsidR="00602DCA" w:rsidRDefault="00C5530C">
      <w:r>
        <w:rPr>
          <w:b/>
        </w:rPr>
        <w:t>CPR</w:t>
      </w:r>
      <w:r>
        <w:t xml:space="preserve"> – „</w:t>
      </w:r>
      <w:proofErr w:type="spellStart"/>
      <w:r>
        <w:t>common</w:t>
      </w:r>
      <w:proofErr w:type="spellEnd"/>
      <w:r>
        <w:t xml:space="preserve"> </w:t>
      </w:r>
      <w:proofErr w:type="spellStart"/>
      <w:r>
        <w:t>provisions</w:t>
      </w:r>
      <w:proofErr w:type="spellEnd"/>
      <w:r>
        <w:t xml:space="preserve"> </w:t>
      </w:r>
      <w:proofErr w:type="spellStart"/>
      <w:r>
        <w:t>regulation</w:t>
      </w:r>
      <w:proofErr w:type="spellEnd"/>
      <w:r>
        <w:t>“ - obecné nařízení (CPR) (nařízení EU 2021/1060)</w:t>
      </w:r>
    </w:p>
    <w:p w14:paraId="0EE21855" w14:textId="37F1C205" w:rsidR="00602DCA" w:rsidRDefault="00C5530C">
      <w:r>
        <w:rPr>
          <w:b/>
        </w:rPr>
        <w:t>ČHMÚ</w:t>
      </w:r>
      <w:r>
        <w:t xml:space="preserve"> – Český hydrometeorologic</w:t>
      </w:r>
      <w:r w:rsidR="001B74F0">
        <w:t>k</w:t>
      </w:r>
      <w:r>
        <w:t>ý ústav</w:t>
      </w:r>
    </w:p>
    <w:p w14:paraId="12CC3FBC" w14:textId="77777777" w:rsidR="00602DCA" w:rsidRDefault="00C5530C">
      <w:r>
        <w:rPr>
          <w:b/>
        </w:rPr>
        <w:t>DNSH</w:t>
      </w:r>
      <w:r>
        <w:t xml:space="preserve"> – „do no </w:t>
      </w:r>
      <w:proofErr w:type="spellStart"/>
      <w:r>
        <w:t>significant</w:t>
      </w:r>
      <w:proofErr w:type="spellEnd"/>
      <w:r>
        <w:t xml:space="preserve"> </w:t>
      </w:r>
      <w:proofErr w:type="spellStart"/>
      <w:r>
        <w:t>harm</w:t>
      </w:r>
      <w:proofErr w:type="spellEnd"/>
      <w:r>
        <w:t>“ – zásada „významně nepoškozovat“ (životní prostředí)</w:t>
      </w:r>
    </w:p>
    <w:p w14:paraId="68E9974F" w14:textId="54878F1F" w:rsidR="00A75EF4" w:rsidRDefault="00A75EF4">
      <w:r w:rsidRPr="00A75EF4">
        <w:rPr>
          <w:b/>
          <w:bCs/>
        </w:rPr>
        <w:t>EFRR</w:t>
      </w:r>
      <w:r>
        <w:t xml:space="preserve"> – Evropský</w:t>
      </w:r>
      <w:r w:rsidRPr="00A75EF4">
        <w:t xml:space="preserve"> fond pro regionální rozvoj</w:t>
      </w:r>
    </w:p>
    <w:p w14:paraId="3A147B59" w14:textId="66894222" w:rsidR="00A75EF4" w:rsidRDefault="00A75EF4">
      <w:r w:rsidRPr="006C1B48">
        <w:rPr>
          <w:b/>
          <w:bCs/>
        </w:rPr>
        <w:t>EIB</w:t>
      </w:r>
      <w:r>
        <w:t xml:space="preserve"> – Evropská investiční banka</w:t>
      </w:r>
    </w:p>
    <w:p w14:paraId="3094CB92" w14:textId="0805A1D8" w:rsidR="00D81776" w:rsidRDefault="00D81776">
      <w:r w:rsidRPr="00DB1A0B">
        <w:rPr>
          <w:b/>
          <w:bCs/>
        </w:rPr>
        <w:t>ETS</w:t>
      </w:r>
      <w:r>
        <w:t xml:space="preserve"> – </w:t>
      </w:r>
      <w:proofErr w:type="spellStart"/>
      <w:r>
        <w:t>Emissions</w:t>
      </w:r>
      <w:proofErr w:type="spellEnd"/>
      <w:r>
        <w:t xml:space="preserve"> </w:t>
      </w:r>
      <w:proofErr w:type="spellStart"/>
      <w:r>
        <w:t>Trading</w:t>
      </w:r>
      <w:proofErr w:type="spellEnd"/>
      <w:r>
        <w:t xml:space="preserve"> Systém</w:t>
      </w:r>
      <w:r w:rsidR="00F17465">
        <w:t>,</w:t>
      </w:r>
      <w:r>
        <w:t xml:space="preserve"> dle směrnice EU č. 2003/87</w:t>
      </w:r>
    </w:p>
    <w:p w14:paraId="0A6CD16B" w14:textId="00FA107B" w:rsidR="00423F6F" w:rsidRDefault="00423F6F">
      <w:r w:rsidRPr="00423F6F">
        <w:rPr>
          <w:b/>
          <w:bCs/>
        </w:rPr>
        <w:t>FN</w:t>
      </w:r>
      <w:r>
        <w:t xml:space="preserve"> – finanční nástroj</w:t>
      </w:r>
    </w:p>
    <w:p w14:paraId="55148541" w14:textId="7D3D368E" w:rsidR="00A75EF4" w:rsidRDefault="00A75EF4">
      <w:r w:rsidRPr="006C1B48">
        <w:rPr>
          <w:b/>
          <w:bCs/>
        </w:rPr>
        <w:t>FST</w:t>
      </w:r>
      <w:r>
        <w:t xml:space="preserve"> </w:t>
      </w:r>
      <w:r w:rsidRPr="006C1B48">
        <w:rPr>
          <w:bCs/>
        </w:rPr>
        <w:t>– Fond pro spravedlivou transformaci</w:t>
      </w:r>
    </w:p>
    <w:p w14:paraId="54C8B5A5" w14:textId="3981EBC0" w:rsidR="00D76D90" w:rsidRPr="00D76D90" w:rsidRDefault="00D76D90">
      <w:pPr>
        <w:rPr>
          <w:bCs/>
        </w:rPr>
      </w:pPr>
      <w:proofErr w:type="spellStart"/>
      <w:r>
        <w:rPr>
          <w:b/>
        </w:rPr>
        <w:t>M</w:t>
      </w:r>
      <w:r w:rsidR="00B83E4A">
        <w:rPr>
          <w:b/>
        </w:rPr>
        <w:t>od</w:t>
      </w:r>
      <w:r>
        <w:rPr>
          <w:b/>
        </w:rPr>
        <w:t>F</w:t>
      </w:r>
      <w:proofErr w:type="spellEnd"/>
      <w:r>
        <w:rPr>
          <w:b/>
        </w:rPr>
        <w:t xml:space="preserve"> </w:t>
      </w:r>
      <w:r w:rsidRPr="001235ED">
        <w:rPr>
          <w:bCs/>
        </w:rPr>
        <w:t xml:space="preserve">– </w:t>
      </w:r>
      <w:proofErr w:type="spellStart"/>
      <w:r w:rsidRPr="001235ED">
        <w:rPr>
          <w:bCs/>
        </w:rPr>
        <w:t>Modernisation</w:t>
      </w:r>
      <w:proofErr w:type="spellEnd"/>
      <w:r w:rsidRPr="001235ED">
        <w:rPr>
          <w:bCs/>
        </w:rPr>
        <w:t xml:space="preserve"> </w:t>
      </w:r>
      <w:proofErr w:type="spellStart"/>
      <w:r w:rsidRPr="001235ED">
        <w:rPr>
          <w:bCs/>
        </w:rPr>
        <w:t>Fund</w:t>
      </w:r>
      <w:proofErr w:type="spellEnd"/>
      <w:r w:rsidRPr="001235ED">
        <w:rPr>
          <w:bCs/>
        </w:rPr>
        <w:t xml:space="preserve"> </w:t>
      </w:r>
      <w:r>
        <w:rPr>
          <w:bCs/>
        </w:rPr>
        <w:t>–</w:t>
      </w:r>
      <w:r>
        <w:rPr>
          <w:b/>
        </w:rPr>
        <w:t xml:space="preserve"> </w:t>
      </w:r>
      <w:r>
        <w:rPr>
          <w:bCs/>
        </w:rPr>
        <w:t>směrnice EU č. 2003/87</w:t>
      </w:r>
    </w:p>
    <w:p w14:paraId="40B5D462" w14:textId="77777777" w:rsidR="00602DCA" w:rsidRDefault="00C5530C">
      <w:r>
        <w:rPr>
          <w:b/>
        </w:rPr>
        <w:t>NPO</w:t>
      </w:r>
      <w:r>
        <w:t xml:space="preserve"> – Národní plán obnovy ČR</w:t>
      </w:r>
    </w:p>
    <w:p w14:paraId="3FB3DCA4" w14:textId="77777777" w:rsidR="00602DCA" w:rsidRDefault="00C5530C">
      <w:r>
        <w:rPr>
          <w:b/>
        </w:rPr>
        <w:t>OZE</w:t>
      </w:r>
      <w:r>
        <w:t xml:space="preserve"> – obnovitelné zdroje energie</w:t>
      </w:r>
    </w:p>
    <w:p w14:paraId="54858885" w14:textId="28DEB11B" w:rsidR="00813335" w:rsidRDefault="00813335">
      <w:proofErr w:type="spellStart"/>
      <w:r w:rsidRPr="006C1B48">
        <w:rPr>
          <w:b/>
          <w:bCs/>
        </w:rPr>
        <w:t>PrŽaP</w:t>
      </w:r>
      <w:proofErr w:type="spellEnd"/>
      <w:r w:rsidRPr="006C1B48">
        <w:rPr>
          <w:b/>
          <w:bCs/>
        </w:rPr>
        <w:t xml:space="preserve"> </w:t>
      </w:r>
      <w:r>
        <w:t>– pravidla pro žadatele a příjemce podpory</w:t>
      </w:r>
    </w:p>
    <w:p w14:paraId="590CE922" w14:textId="77777777" w:rsidR="00A655E4" w:rsidRDefault="00A655E4" w:rsidP="00A655E4">
      <w:r>
        <w:rPr>
          <w:b/>
        </w:rPr>
        <w:t>SC</w:t>
      </w:r>
      <w:r>
        <w:t xml:space="preserve"> – specifický cíl (politika soudržnosti)</w:t>
      </w:r>
    </w:p>
    <w:p w14:paraId="5F588FFF" w14:textId="77777777" w:rsidR="00A655E4" w:rsidRDefault="00A655E4" w:rsidP="00A655E4">
      <w:r w:rsidRPr="001235ED">
        <w:rPr>
          <w:b/>
          <w:bCs/>
        </w:rPr>
        <w:t xml:space="preserve">SCF </w:t>
      </w:r>
      <w:r>
        <w:t xml:space="preserve">– </w:t>
      </w:r>
      <w:proofErr w:type="spellStart"/>
      <w:r>
        <w:t>Social</w:t>
      </w:r>
      <w:proofErr w:type="spellEnd"/>
      <w:r>
        <w:t xml:space="preserve"> </w:t>
      </w:r>
      <w:proofErr w:type="spellStart"/>
      <w:r>
        <w:t>Climate</w:t>
      </w:r>
      <w:proofErr w:type="spellEnd"/>
      <w:r>
        <w:t xml:space="preserve"> </w:t>
      </w:r>
      <w:proofErr w:type="spellStart"/>
      <w:r>
        <w:t>Fund</w:t>
      </w:r>
      <w:proofErr w:type="spellEnd"/>
      <w:r>
        <w:t xml:space="preserve"> – směrnice EU č. 2023/955</w:t>
      </w:r>
    </w:p>
    <w:p w14:paraId="639910E3" w14:textId="77777777" w:rsidR="00A655E4" w:rsidRDefault="00A655E4" w:rsidP="00A655E4">
      <w:r w:rsidRPr="00BF3921">
        <w:rPr>
          <w:b/>
          <w:bCs/>
        </w:rPr>
        <w:t>SCP</w:t>
      </w:r>
      <w:r>
        <w:t xml:space="preserve"> – </w:t>
      </w:r>
      <w:proofErr w:type="spellStart"/>
      <w:r>
        <w:t>Social</w:t>
      </w:r>
      <w:proofErr w:type="spellEnd"/>
      <w:r>
        <w:t xml:space="preserve"> </w:t>
      </w:r>
      <w:proofErr w:type="spellStart"/>
      <w:r>
        <w:t>climate</w:t>
      </w:r>
      <w:proofErr w:type="spellEnd"/>
      <w:r>
        <w:t xml:space="preserve"> </w:t>
      </w:r>
      <w:proofErr w:type="spellStart"/>
      <w:r>
        <w:t>plan</w:t>
      </w:r>
      <w:proofErr w:type="spellEnd"/>
      <w:r>
        <w:t xml:space="preserve"> (sociální klimatický plán)</w:t>
      </w:r>
    </w:p>
    <w:p w14:paraId="1509312D" w14:textId="2C5C7984" w:rsidR="009123DE" w:rsidRDefault="009123DE">
      <w:r w:rsidRPr="00DB1A0B">
        <w:rPr>
          <w:b/>
          <w:bCs/>
        </w:rPr>
        <w:t>SEA</w:t>
      </w:r>
      <w:r>
        <w:t xml:space="preserve"> – </w:t>
      </w:r>
      <w:proofErr w:type="spellStart"/>
      <w:r w:rsidR="00D81776">
        <w:t>S</w:t>
      </w:r>
      <w:r>
        <w:t>trategic</w:t>
      </w:r>
      <w:proofErr w:type="spellEnd"/>
      <w:r>
        <w:t xml:space="preserve"> </w:t>
      </w:r>
      <w:proofErr w:type="spellStart"/>
      <w:r>
        <w:t>environmental</w:t>
      </w:r>
      <w:proofErr w:type="spellEnd"/>
      <w:r>
        <w:t xml:space="preserve"> </w:t>
      </w:r>
      <w:proofErr w:type="spellStart"/>
      <w:r>
        <w:t>assesment</w:t>
      </w:r>
      <w:proofErr w:type="spellEnd"/>
      <w:r>
        <w:t xml:space="preserve">, dle směrnice EU č. </w:t>
      </w:r>
      <w:r w:rsidRPr="009123DE">
        <w:t>2001/42</w:t>
      </w:r>
    </w:p>
    <w:p w14:paraId="777BB00F" w14:textId="77777777" w:rsidR="00602DCA" w:rsidRDefault="00C5530C">
      <w:r>
        <w:rPr>
          <w:b/>
        </w:rPr>
        <w:t>RRF</w:t>
      </w:r>
      <w:r>
        <w:t xml:space="preserve"> – </w:t>
      </w:r>
      <w:proofErr w:type="spellStart"/>
      <w:r>
        <w:t>Recovery</w:t>
      </w:r>
      <w:proofErr w:type="spellEnd"/>
      <w:r>
        <w:t xml:space="preserve"> and </w:t>
      </w:r>
      <w:proofErr w:type="spellStart"/>
      <w:r>
        <w:t>Resillience</w:t>
      </w:r>
      <w:proofErr w:type="spellEnd"/>
      <w:r>
        <w:t xml:space="preserve"> Facility – nařízení EU č. 2021/241</w:t>
      </w:r>
      <w:r w:rsidR="009123DE" w:rsidRPr="009123DE">
        <w:t>, též jako Nástroj pro oživení a odolnost</w:t>
      </w:r>
    </w:p>
    <w:p w14:paraId="20C411B3" w14:textId="77777777" w:rsidR="00602DCA" w:rsidRDefault="00C5530C">
      <w:r>
        <w:rPr>
          <w:b/>
        </w:rPr>
        <w:t>VFR</w:t>
      </w:r>
      <w:r>
        <w:t xml:space="preserve"> – Víceletý finanční rámec EU</w:t>
      </w:r>
    </w:p>
    <w:p w14:paraId="64055D69" w14:textId="77777777" w:rsidR="00A655E4" w:rsidRDefault="00A655E4">
      <w:pPr>
        <w:spacing w:after="160" w:line="259" w:lineRule="auto"/>
        <w:jc w:val="left"/>
        <w:rPr>
          <w:b/>
        </w:rPr>
      </w:pPr>
      <w:r>
        <w:rPr>
          <w:b/>
        </w:rPr>
        <w:br w:type="page"/>
      </w:r>
    </w:p>
    <w:p w14:paraId="46424C62" w14:textId="77777777" w:rsidR="00717857" w:rsidRDefault="00717857" w:rsidP="00717857">
      <w:proofErr w:type="gramStart"/>
      <w:r>
        <w:rPr>
          <w:b/>
        </w:rPr>
        <w:lastRenderedPageBreak/>
        <w:t>Adaptace</w:t>
      </w:r>
      <w:r>
        <w:t xml:space="preserve"> - přizpůsobování</w:t>
      </w:r>
      <w:proofErr w:type="gramEnd"/>
      <w:r>
        <w:t xml:space="preserve"> se změně klimatu</w:t>
      </w:r>
    </w:p>
    <w:p w14:paraId="78791913" w14:textId="77777777" w:rsidR="00717857" w:rsidRDefault="00717857" w:rsidP="00717857">
      <w:r>
        <w:rPr>
          <w:b/>
        </w:rPr>
        <w:t xml:space="preserve">Environmentální </w:t>
      </w:r>
      <w:proofErr w:type="gramStart"/>
      <w:r>
        <w:rPr>
          <w:b/>
        </w:rPr>
        <w:t>tag</w:t>
      </w:r>
      <w:r>
        <w:t xml:space="preserve"> - Koeficient</w:t>
      </w:r>
      <w:proofErr w:type="gramEnd"/>
      <w:r>
        <w:t xml:space="preserve"> pro výpočet podpory na plnění environmentálních cílů dle přílohy I CPR a přílohy VI RRF</w:t>
      </w:r>
    </w:p>
    <w:p w14:paraId="58C3E70F" w14:textId="77777777" w:rsidR="00717857" w:rsidRDefault="00717857" w:rsidP="00717857">
      <w:r>
        <w:rPr>
          <w:b/>
        </w:rPr>
        <w:t>Klimatický tag</w:t>
      </w:r>
      <w:r>
        <w:t xml:space="preserve"> – Koeficient pro výpočet podpory na plnění cílů v oblasti změny klimatu dle přílohy I CPR a přílohy VI RRF</w:t>
      </w:r>
    </w:p>
    <w:p w14:paraId="6E841FB6" w14:textId="77777777" w:rsidR="00717857" w:rsidRDefault="00717857" w:rsidP="00717857">
      <w:proofErr w:type="spellStart"/>
      <w:proofErr w:type="gramStart"/>
      <w:r>
        <w:rPr>
          <w:b/>
        </w:rPr>
        <w:t>Mitigace</w:t>
      </w:r>
      <w:proofErr w:type="spellEnd"/>
      <w:r>
        <w:t xml:space="preserve"> - zmírňování</w:t>
      </w:r>
      <w:proofErr w:type="gramEnd"/>
      <w:r>
        <w:t xml:space="preserve"> změny klimatu</w:t>
      </w:r>
    </w:p>
    <w:p w14:paraId="5DC16D38" w14:textId="77777777" w:rsidR="00717857" w:rsidRDefault="00717857" w:rsidP="00717857">
      <w:pPr>
        <w:spacing w:after="160" w:line="240" w:lineRule="auto"/>
      </w:pPr>
      <w:r>
        <w:rPr>
          <w:b/>
        </w:rPr>
        <w:t>Taxonomie</w:t>
      </w:r>
      <w:r>
        <w:t xml:space="preserve"> </w:t>
      </w:r>
      <w:r>
        <w:rPr>
          <w:b/>
        </w:rPr>
        <w:t>(EU pro udržitelné investice)</w:t>
      </w:r>
      <w:r>
        <w:t xml:space="preserve"> – soubor legislativy:</w:t>
      </w:r>
    </w:p>
    <w:p w14:paraId="417049E3" w14:textId="77777777" w:rsidR="00717857" w:rsidRDefault="00717857" w:rsidP="00717857">
      <w:pPr>
        <w:pStyle w:val="Odstavecseseznamem"/>
        <w:numPr>
          <w:ilvl w:val="0"/>
          <w:numId w:val="52"/>
        </w:numPr>
      </w:pPr>
      <w:r>
        <w:rPr>
          <w:b/>
        </w:rPr>
        <w:t>Nařízení o taxonomii</w:t>
      </w:r>
      <w:r>
        <w:t xml:space="preserve"> - </w:t>
      </w:r>
      <w:hyperlink r:id="rId8" w:tooltip="https://eur-lex.europa.eu/legal-content/CS/TXT/?uri=CELEX%3A32020R0852&amp;qid=1664868595697" w:history="1">
        <w:r>
          <w:rPr>
            <w:rStyle w:val="Hypertextovodkaz"/>
          </w:rPr>
          <w:t>Nařízení Evropského parlamentu a Rady (EU) 2020/852 ze dne 18. června 2020 o zřízení rámce pro usnadnění udržitelných investic a o změně nařízení (EU) 2019/2088</w:t>
        </w:r>
      </w:hyperlink>
      <w:r>
        <w:t xml:space="preserve">; </w:t>
      </w:r>
    </w:p>
    <w:p w14:paraId="0BCF5C90" w14:textId="77777777" w:rsidR="00717857" w:rsidRDefault="00717857" w:rsidP="00717857">
      <w:pPr>
        <w:pStyle w:val="Odstavecseseznamem"/>
        <w:numPr>
          <w:ilvl w:val="0"/>
          <w:numId w:val="52"/>
        </w:numPr>
        <w:rPr>
          <w:b/>
        </w:rPr>
      </w:pPr>
      <w:r>
        <w:rPr>
          <w:b/>
        </w:rPr>
        <w:t xml:space="preserve">Schválená a účinná technická screeningová kritéria: </w:t>
      </w:r>
    </w:p>
    <w:p w14:paraId="2D1EC4A6" w14:textId="77777777" w:rsidR="00717857" w:rsidRDefault="00717857" w:rsidP="00717857">
      <w:pPr>
        <w:pStyle w:val="Odstavecseseznamem"/>
        <w:numPr>
          <w:ilvl w:val="1"/>
          <w:numId w:val="52"/>
        </w:numPr>
      </w:pPr>
      <w:hyperlink r:id="rId9" w:tooltip="https://eur-lex.europa.eu/legal-content/CS/TXT/?uri=uriserv%3AOJ.L_.2021.442.01.0001.01.CES&amp;toc=OJ%3AL%3A2021%3A442%3ATOC" w:history="1">
        <w:r>
          <w:rPr>
            <w:rStyle w:val="Hypertextovodkaz"/>
          </w:rPr>
          <w:t>Nařízení Komise v přenesené pravomoci (EU) 2021/2139 ze dne 4. června 2021, kterým se doplňuje nařízení Evropského parlamentu a Rady (EU) 2020/852, pokud jde o stanovení technických screeningových kritérií pro určení toho, za jakých podmínek se hospodářská činnost kvalifikuje jako významně přispívající ke zmírňování změny klimatu nebo k přizpůsobování se změně klimatu, a toho, zda tato hospodářská činnost významně nepoškozuje některý z dalších environmentálních cílů</w:t>
        </w:r>
      </w:hyperlink>
      <w:r>
        <w:t>;</w:t>
      </w:r>
    </w:p>
    <w:p w14:paraId="106AE0F6" w14:textId="77777777" w:rsidR="00717857" w:rsidRDefault="00717857" w:rsidP="00717857">
      <w:pPr>
        <w:pStyle w:val="Odstavecseseznamem"/>
        <w:numPr>
          <w:ilvl w:val="1"/>
          <w:numId w:val="52"/>
        </w:numPr>
      </w:pPr>
      <w:hyperlink r:id="rId10" w:tooltip="https://eur-lex.europa.eu/legal-content/CS/TXT/HTML/?uri=CELEX:32022R1214&amp;from=EN" w:history="1">
        <w:r>
          <w:rPr>
            <w:rStyle w:val="Hypertextovodkaz"/>
          </w:rPr>
          <w:t>Nařízení Komise v přenesené pravomoci (EU) 2022/1214 ze dne 9. března 2022, kterým se mění nařízení v přenesené pravomoci (EU) 2021/2139, pokud jde o hospodářské činnosti v některých odvětvích energetiky, a nařízení v přenesené pravomoci (EU) 2021/2178, pokud jde o specifické zveřejňování informací v souvislosti s těmito hospodářskými činnostmi</w:t>
        </w:r>
      </w:hyperlink>
      <w:r>
        <w:t>.</w:t>
      </w:r>
    </w:p>
    <w:p w14:paraId="6F44E9DF" w14:textId="77777777" w:rsidR="00717857" w:rsidRDefault="00717857" w:rsidP="00717857">
      <w:pPr>
        <w:pStyle w:val="Odstavecseseznamem"/>
        <w:numPr>
          <w:ilvl w:val="1"/>
          <w:numId w:val="52"/>
        </w:numPr>
      </w:pPr>
      <w:hyperlink r:id="rId11" w:history="1">
        <w:r w:rsidRPr="00CE1EF5">
          <w:rPr>
            <w:rStyle w:val="Hypertextovodkaz"/>
          </w:rPr>
          <w:t>Nařízení Komise v přenesené pravomoci (EU) 2023/2485 ze dne 27. června 2023, kterým se mění nařízení v přenesené pravomoci (EU) 2021/2139 stanovující další technická screeningová kritéria pro určení toho, za jakých podmínek se určité hospodářské činnosti kvalifikují jako významně přispívající ke zmírňování změny klimatu nebo k přizpůsobování se změně klimatu, a toho, zda tyto hospodářské činnosti významně nepoškozují některý z dalších environmentálních cílů.</w:t>
        </w:r>
      </w:hyperlink>
      <w:r>
        <w:t xml:space="preserve"> </w:t>
      </w:r>
    </w:p>
    <w:p w14:paraId="3C007AD0" w14:textId="539E399A" w:rsidR="00717857" w:rsidRDefault="00717857" w:rsidP="006C1B48">
      <w:pPr>
        <w:pStyle w:val="Odstavecseseznamem"/>
        <w:numPr>
          <w:ilvl w:val="1"/>
          <w:numId w:val="52"/>
        </w:numPr>
      </w:pPr>
      <w:hyperlink r:id="rId12" w:history="1">
        <w:r w:rsidRPr="00CE1EF5">
          <w:rPr>
            <w:rStyle w:val="Hypertextovodkaz"/>
          </w:rPr>
          <w:t xml:space="preserve">Nařízení Komise v přenesené pravomoci (EU) 2023/2486 ze dne 27. června 2023, kterým se doplňuje nařízení Evropského parlamentu a Rady (EU) 2020/852 stanovením technických screeningových kritérií pro určení toho, za jakých </w:t>
        </w:r>
        <w:r w:rsidRPr="00CE1EF5">
          <w:rPr>
            <w:rStyle w:val="Hypertextovodkaz"/>
          </w:rPr>
          <w:lastRenderedPageBreak/>
          <w:t>podmínek se hospodářská činnost kvalifikuje jako významně přispívající k udržitelnému využívání a ochraně vodních a mořských zdrojů, k přechodu na oběhové hospodářství, k prevenci a omezování znečištění nebo k ochraně a obnově biologické rozmanitosti a ekosystémů, a toho, zda tato hospodářská činnost významně nepoškozuje některý z dalších environmentálních cílů, a kterým se mění nařízení Komise v přenesené pravomoci (EU) 2021/2178, pokud jde o specifické zveřejňování informací v souvislosti s těmito hospodářskými činnostmi.</w:t>
        </w:r>
      </w:hyperlink>
      <w:r>
        <w:t xml:space="preserve"> </w:t>
      </w:r>
    </w:p>
    <w:p w14:paraId="6087F0F5" w14:textId="47C693D9" w:rsidR="00A75EF4" w:rsidRDefault="00717857" w:rsidP="00717857">
      <w:r>
        <w:rPr>
          <w:b/>
        </w:rPr>
        <w:t>Zásada „energetická účinnost v první řadě“</w:t>
      </w:r>
      <w:r>
        <w:t xml:space="preserve"> - </w:t>
      </w:r>
      <w:hyperlink r:id="rId13" w:tooltip="https://eur-lex.europa.eu/legal-content/CS/TXT/HTML/?uri=CELEX:32021H1749&amp;from=EN" w:history="1">
        <w:r>
          <w:rPr>
            <w:rStyle w:val="Hypertextovodkaz"/>
          </w:rPr>
          <w:t>DOPORUČENÍ KOMISE (EU) 2021/1749 ze dne 28. září 2021 k Zásadám „energetická účinnost v první řadě“: od principů k praxi – Pokyny k uplatňování zásady při rozhodování v odvětví energetiky i mimo něj</w:t>
        </w:r>
      </w:hyperlink>
    </w:p>
    <w:p w14:paraId="2822CA05" w14:textId="77777777" w:rsidR="00A75EF4" w:rsidRDefault="00A75EF4">
      <w:pPr>
        <w:spacing w:after="160" w:line="259" w:lineRule="auto"/>
        <w:jc w:val="left"/>
      </w:pPr>
      <w:r>
        <w:br w:type="page"/>
      </w:r>
    </w:p>
    <w:p w14:paraId="3570E9D0" w14:textId="574080F2" w:rsidR="00717857" w:rsidRDefault="00C61B55" w:rsidP="00D16D42">
      <w:pPr>
        <w:pStyle w:val="Nadpis1"/>
        <w:numPr>
          <w:ilvl w:val="0"/>
          <w:numId w:val="0"/>
        </w:numPr>
      </w:pPr>
      <w:bookmarkStart w:id="4" w:name="_Toc210046015"/>
      <w:r>
        <w:lastRenderedPageBreak/>
        <w:t>Jak pracovat s materiálem</w:t>
      </w:r>
      <w:r w:rsidR="00706C47">
        <w:t xml:space="preserve"> Rámcových vodítek </w:t>
      </w:r>
      <w:r>
        <w:t>pro zajištění souladu se zásadou „významně nepoškozovat“ a provádění klimatického prověřování investic?</w:t>
      </w:r>
      <w:bookmarkEnd w:id="4"/>
    </w:p>
    <w:p w14:paraId="25192E80" w14:textId="66024D2F" w:rsidR="008462D4" w:rsidRPr="00D16D42" w:rsidRDefault="008462D4" w:rsidP="008462D4">
      <w:pPr>
        <w:rPr>
          <w:b/>
          <w:bCs/>
        </w:rPr>
      </w:pPr>
      <w:r>
        <w:t xml:space="preserve">Materiál „Rámcová vodítka pro implementaci zásady „významně nepoškozovat“ životní prostředí (DNSH) a prověřování infrastruktury z hlediska klimatického dopadu v EU fondech v ČR“ představuje </w:t>
      </w:r>
      <w:r w:rsidRPr="00D16D42">
        <w:rPr>
          <w:b/>
          <w:bCs/>
        </w:rPr>
        <w:t>doporučující metodiku pro implementaci environmentálních požadavků v rámci čerpání EU zdrojů v ČR</w:t>
      </w:r>
      <w:r>
        <w:t xml:space="preserve">. Samotný proces vyhodnocení </w:t>
      </w:r>
      <w:r w:rsidR="007A2439">
        <w:t>adekvátní</w:t>
      </w:r>
      <w:r>
        <w:t xml:space="preserve"> míry environmentální ochrany nad rámec legislativní úpravy a identifikace rizikových oblastí je individuální </w:t>
      </w:r>
      <w:r w:rsidR="007A2439">
        <w:t xml:space="preserve">proces </w:t>
      </w:r>
      <w:r>
        <w:t xml:space="preserve">v rámci jednotlivých fondů/programů, případně výzev. </w:t>
      </w:r>
      <w:r w:rsidR="00FD55D8">
        <w:t xml:space="preserve">Cílem materiálu je usnadnit administrátorům zdrojů EU proces identifikace a porozumění požadavků na environmentální ochranu v rámci EU fondů tak, jak je zanesena napříč legislativou EU. Jednotlivé části materiálu tedy slouží jako rozcestník pro identifikaci relevantních požadavků, které by měli při nastavování programů či stanovování podmínek v rámci programových výzev být implementovány na základě identifikovaných rizikových oblastí. </w:t>
      </w:r>
      <w:r w:rsidR="008C3CBF" w:rsidRPr="00D16D42">
        <w:rPr>
          <w:b/>
          <w:bCs/>
        </w:rPr>
        <w:t>Materiál rámcových vodítek</w:t>
      </w:r>
      <w:r w:rsidR="00F17A65">
        <w:rPr>
          <w:b/>
          <w:bCs/>
        </w:rPr>
        <w:t xml:space="preserve"> tedy</w:t>
      </w:r>
      <w:r w:rsidR="008C3CBF" w:rsidRPr="00D16D42">
        <w:rPr>
          <w:b/>
          <w:bCs/>
        </w:rPr>
        <w:t xml:space="preserve"> </w:t>
      </w:r>
      <w:r w:rsidR="00F17A65">
        <w:rPr>
          <w:b/>
          <w:bCs/>
        </w:rPr>
        <w:t>není</w:t>
      </w:r>
      <w:r w:rsidR="008C3CBF" w:rsidRPr="00D16D42">
        <w:rPr>
          <w:b/>
          <w:bCs/>
        </w:rPr>
        <w:t xml:space="preserve"> normativní výčet podmínek, které je nutné v rámci přípravy programů a výzev implementovat, ale jako vodítko pro identifikaci možných způsobů zajištění dostatečné míry environmentální ochrany tak, aby byla dodržena zásada „významně nepoškozovat“ životní prostředí. </w:t>
      </w:r>
    </w:p>
    <w:p w14:paraId="7FE61071" w14:textId="77777777" w:rsidR="008462D4" w:rsidRPr="008C3CBF" w:rsidRDefault="008462D4">
      <w:pPr>
        <w:spacing w:after="160" w:line="259" w:lineRule="auto"/>
        <w:jc w:val="left"/>
        <w:rPr>
          <w:rFonts w:eastAsiaTheme="majorEastAsia" w:cstheme="majorBidi"/>
          <w:b/>
          <w:bCs/>
          <w:color w:val="1F3763" w:themeColor="accent1" w:themeShade="7F"/>
          <w:sz w:val="28"/>
          <w:szCs w:val="24"/>
        </w:rPr>
      </w:pPr>
      <w:bookmarkStart w:id="5" w:name="_Toc203483419"/>
      <w:bookmarkStart w:id="6" w:name="_Toc203483420"/>
      <w:bookmarkStart w:id="7" w:name="_Toc203483421"/>
      <w:bookmarkStart w:id="8" w:name="_Toc203483422"/>
      <w:bookmarkStart w:id="9" w:name="_Toc203483423"/>
      <w:bookmarkStart w:id="10" w:name="_Toc203483424"/>
      <w:bookmarkStart w:id="11" w:name="_Toc203483425"/>
      <w:bookmarkStart w:id="12" w:name="_Toc203483426"/>
      <w:bookmarkStart w:id="13" w:name="_Toc203483427"/>
      <w:bookmarkStart w:id="14" w:name="_Toc203483428"/>
      <w:bookmarkStart w:id="15" w:name="_Toc203483429"/>
      <w:bookmarkStart w:id="16" w:name="_Toc203483430"/>
      <w:bookmarkStart w:id="17" w:name="_Toc118829895"/>
      <w:bookmarkStart w:id="18" w:name="_Toc116428038"/>
      <w:bookmarkEnd w:id="5"/>
      <w:bookmarkEnd w:id="6"/>
      <w:bookmarkEnd w:id="7"/>
      <w:bookmarkEnd w:id="8"/>
      <w:bookmarkEnd w:id="9"/>
      <w:bookmarkEnd w:id="10"/>
      <w:bookmarkEnd w:id="11"/>
      <w:bookmarkEnd w:id="12"/>
      <w:bookmarkEnd w:id="13"/>
      <w:bookmarkEnd w:id="14"/>
      <w:bookmarkEnd w:id="15"/>
      <w:bookmarkEnd w:id="16"/>
      <w:bookmarkEnd w:id="17"/>
      <w:r w:rsidRPr="00D16D42">
        <w:rPr>
          <w:b/>
          <w:bCs/>
        </w:rPr>
        <w:br w:type="page"/>
      </w:r>
    </w:p>
    <w:p w14:paraId="3097A727" w14:textId="45CDB6AE" w:rsidR="00602DCA" w:rsidRDefault="00C5530C">
      <w:pPr>
        <w:pStyle w:val="Nadpis1"/>
      </w:pPr>
      <w:bookmarkStart w:id="19" w:name="_Toc210046016"/>
      <w:r>
        <w:lastRenderedPageBreak/>
        <w:t>Úvod</w:t>
      </w:r>
      <w:bookmarkEnd w:id="19"/>
      <w:r>
        <w:t xml:space="preserve"> </w:t>
      </w:r>
    </w:p>
    <w:p w14:paraId="23AE36A9" w14:textId="3181DBD6" w:rsidR="00B436B6" w:rsidRDefault="00B436B6">
      <w:r>
        <w:t xml:space="preserve">První aktualizace Rámcových vodítek environmentálních zásad a podmínek při čerpání EU fondů reflektuje vývoj v oblasti regulace, pokynů i praxe od zavedení rozšířených environmentálních podmínek při čerpání EU fondů v ČR. S ohledem na plynutí času je účinnost těchto vodítek zamýšlena k reflexi při zpracovávání nových programů a výzev, nikoliv však retroaktivně k běžícím dotačním schématům. V plné míře by však měla být vodítka reflektována zejm. při přípravě dalšího programovacího období od roku 2028 (v rámci aktualizovaného víceletého finančního rámce EU), a </w:t>
      </w:r>
      <w:r w:rsidR="007E1D25">
        <w:t xml:space="preserve">u </w:t>
      </w:r>
      <w:r>
        <w:t xml:space="preserve">nových </w:t>
      </w:r>
      <w:r w:rsidR="007E1D25">
        <w:t xml:space="preserve">zdrojů </w:t>
      </w:r>
      <w:r>
        <w:t>EU, při jejichž přípravě je aplikace environmentálních zásad povinná.</w:t>
      </w:r>
    </w:p>
    <w:p w14:paraId="44F44C00" w14:textId="1613C136" w:rsidR="00602DCA" w:rsidRDefault="00C5530C">
      <w:r>
        <w:t xml:space="preserve">S ohledem na závazky EU v oblasti </w:t>
      </w:r>
      <w:r w:rsidR="007E1D25">
        <w:t>klimatu a ochrany životního prostředí</w:t>
      </w:r>
      <w:r>
        <w:t xml:space="preserve"> stanovených zavazujícím politickým rozhodnutím učiněným na úrovni EU nebo unijní legislativou se tyto závazky promítají do přípravy a revizí regulatorního rámce EU unijního rozpočtu včetně nástrojů financování EU – zejm. fondů EU. </w:t>
      </w:r>
    </w:p>
    <w:p w14:paraId="6B1464C1" w14:textId="7986DA7B" w:rsidR="00602DCA" w:rsidRDefault="00C5530C">
      <w:r>
        <w:t xml:space="preserve">Tato rámcová vodítka představují </w:t>
      </w:r>
      <w:r>
        <w:rPr>
          <w:b/>
        </w:rPr>
        <w:t>doporučující</w:t>
      </w:r>
      <w:r>
        <w:t xml:space="preserve"> </w:t>
      </w:r>
      <w:r>
        <w:rPr>
          <w:b/>
        </w:rPr>
        <w:t>metodiku</w:t>
      </w:r>
      <w:r>
        <w:t xml:space="preserve"> pro implementaci environmentálních požadavků v rámci čerpání EU zdrojů v ČR. Zejm. se zaměřují na implementaci tzv. zásady „významně nepoškozovat“ (životní prostředí) a na prověřování infrastruktury z hlediska klimatického dopadu (infrastruktury s očekávanou životností alespoň 5 let), a navazují na metodické dokumenty Evropské komise, </w:t>
      </w:r>
      <w:r w:rsidR="00F05FBF">
        <w:t>Evropské</w:t>
      </w:r>
      <w:r>
        <w:t xml:space="preserve"> investiční banky a dalších institucí Unie.</w:t>
      </w:r>
    </w:p>
    <w:p w14:paraId="5B8D915B" w14:textId="4B060461" w:rsidR="003B08AE" w:rsidRPr="001A199F" w:rsidRDefault="003B08AE">
      <w:pPr>
        <w:rPr>
          <w:b/>
          <w:bCs/>
        </w:rPr>
      </w:pPr>
      <w:r w:rsidRPr="001A199F">
        <w:rPr>
          <w:b/>
          <w:bCs/>
        </w:rPr>
        <w:t>Cíle</w:t>
      </w:r>
      <w:r w:rsidR="007E1D25">
        <w:rPr>
          <w:b/>
          <w:bCs/>
        </w:rPr>
        <w:t>m</w:t>
      </w:r>
      <w:r w:rsidRPr="001A199F">
        <w:rPr>
          <w:b/>
          <w:bCs/>
        </w:rPr>
        <w:t xml:space="preserve"> rámcových vodítek</w:t>
      </w:r>
      <w:r w:rsidR="007E1D25">
        <w:rPr>
          <w:b/>
          <w:bCs/>
        </w:rPr>
        <w:t xml:space="preserve"> je</w:t>
      </w:r>
      <w:r w:rsidRPr="001A199F">
        <w:rPr>
          <w:b/>
          <w:bCs/>
        </w:rPr>
        <w:t>:</w:t>
      </w:r>
    </w:p>
    <w:p w14:paraId="3709C811" w14:textId="32AF7ED7" w:rsidR="003B08AE" w:rsidRDefault="003B08AE" w:rsidP="00A32A7E">
      <w:pPr>
        <w:pStyle w:val="Odstavecseseznamem"/>
        <w:numPr>
          <w:ilvl w:val="0"/>
          <w:numId w:val="56"/>
        </w:numPr>
        <w:rPr>
          <w:bCs/>
        </w:rPr>
      </w:pPr>
      <w:r w:rsidRPr="001A199F">
        <w:rPr>
          <w:b/>
        </w:rPr>
        <w:t>P</w:t>
      </w:r>
      <w:r w:rsidR="00C5530C" w:rsidRPr="001A199F">
        <w:rPr>
          <w:b/>
        </w:rPr>
        <w:t xml:space="preserve">oskytnout zejm. </w:t>
      </w:r>
      <w:r w:rsidR="00085F10" w:rsidRPr="00085F10">
        <w:rPr>
          <w:b/>
        </w:rPr>
        <w:t>administrátor</w:t>
      </w:r>
      <w:r w:rsidR="00085F10">
        <w:rPr>
          <w:b/>
        </w:rPr>
        <w:t>ům</w:t>
      </w:r>
      <w:r w:rsidR="00085F10" w:rsidRPr="00085F10">
        <w:rPr>
          <w:b/>
        </w:rPr>
        <w:t xml:space="preserve"> EU zdroj</w:t>
      </w:r>
      <w:r w:rsidR="00085F10">
        <w:rPr>
          <w:b/>
        </w:rPr>
        <w:t>ů</w:t>
      </w:r>
      <w:r w:rsidR="00C5530C" w:rsidRPr="001A199F">
        <w:rPr>
          <w:b/>
        </w:rPr>
        <w:t xml:space="preserve"> v ČR (tzn. řídící orgány v rámci fondů politiky soudržnosti, vlastníci komponent v rámci Národního plánu obnovy, ostatní administrátoři EU fondů</w:t>
      </w:r>
      <w:r w:rsidR="007E1D25">
        <w:rPr>
          <w:b/>
        </w:rPr>
        <w:t xml:space="preserve">, samostatné </w:t>
      </w:r>
      <w:r w:rsidR="007E1D25" w:rsidRPr="007E1D25">
        <w:rPr>
          <w:b/>
          <w:bCs/>
        </w:rPr>
        <w:t xml:space="preserve">fondy SCF a </w:t>
      </w:r>
      <w:proofErr w:type="spellStart"/>
      <w:r w:rsidR="007E1D25" w:rsidRPr="007E1D25">
        <w:rPr>
          <w:b/>
          <w:bCs/>
        </w:rPr>
        <w:t>ModF</w:t>
      </w:r>
      <w:proofErr w:type="spellEnd"/>
      <w:r w:rsidR="00C5530C" w:rsidRPr="001A199F">
        <w:rPr>
          <w:b/>
        </w:rPr>
        <w:t xml:space="preserve">) vyjasnění mezi účinnou legislativou a metodickými pokyny EU. </w:t>
      </w:r>
      <w:r w:rsidR="00C5530C" w:rsidRPr="001A199F">
        <w:rPr>
          <w:bCs/>
        </w:rPr>
        <w:t>Rámcová vodítka však legislativu EU a metodické pokyny EU nenahrazují – specifikují konkrétní doporučení, jak regulatorní rámec pro EU fondy z pohledu životního prostředí implementovat a slouží jako základní rozcestník pro naplnění těchto požadavků. Úhlem pohledu rámcových vodítek je příprava strategické dokumentace EU fondů v ČR, příprava výzev a pravidel pro žadatele</w:t>
      </w:r>
      <w:r w:rsidR="00221276">
        <w:rPr>
          <w:bCs/>
        </w:rPr>
        <w:t>.</w:t>
      </w:r>
    </w:p>
    <w:p w14:paraId="06E78E73" w14:textId="7EA6E3BF" w:rsidR="004A6FDC" w:rsidRDefault="003B08AE" w:rsidP="00A32A7E">
      <w:pPr>
        <w:pStyle w:val="Odstavecseseznamem"/>
        <w:numPr>
          <w:ilvl w:val="0"/>
          <w:numId w:val="56"/>
        </w:numPr>
      </w:pPr>
      <w:r w:rsidRPr="001A199F">
        <w:rPr>
          <w:b/>
        </w:rPr>
        <w:t>Doporučit</w:t>
      </w:r>
      <w:r w:rsidR="00C5530C" w:rsidRPr="001A199F">
        <w:rPr>
          <w:b/>
        </w:rPr>
        <w:t xml:space="preserve"> administrátorům EU </w:t>
      </w:r>
      <w:r w:rsidR="00085F10">
        <w:rPr>
          <w:b/>
        </w:rPr>
        <w:t>zdrojů</w:t>
      </w:r>
      <w:r w:rsidR="00085F10" w:rsidRPr="001A199F">
        <w:rPr>
          <w:b/>
        </w:rPr>
        <w:t xml:space="preserve"> </w:t>
      </w:r>
      <w:r w:rsidR="00C5530C" w:rsidRPr="001A199F">
        <w:rPr>
          <w:b/>
        </w:rPr>
        <w:t>v ČR rámcové postupy pro usnadnění stanovení požadavků na žadatele.</w:t>
      </w:r>
      <w:r w:rsidR="00C5530C">
        <w:t xml:space="preserve"> Zásada významně nepoškozovat by měla být ve svém základu implementována právě na straně administrace fondů ve smyslu vyhodnocení potřebnosti navýšených požadavků na environmentální ochranu nad rámec současné úrovně legislativní ochrany životního prostředí. Z pohledu žadatele by tak měly být zřejmé konkrétní a praktické požadavky na způsob a charakter provedení projektů, a / nebo procesy vyhodnocení a zvýhodnění zelenějších projektů v rámci </w:t>
      </w:r>
      <w:r w:rsidR="00C5530C">
        <w:lastRenderedPageBreak/>
        <w:t xml:space="preserve">hodnocení projektů přihlášených do výzvy, nebo nastavení vyšší míry podpory. </w:t>
      </w:r>
      <w:r w:rsidR="00C5530C" w:rsidRPr="003B08AE">
        <w:rPr>
          <w:b/>
        </w:rPr>
        <w:t xml:space="preserve">Za nežádoucí praxi se považuje zejm. přenášení </w:t>
      </w:r>
      <w:r w:rsidR="00BF3921">
        <w:rPr>
          <w:b/>
        </w:rPr>
        <w:t xml:space="preserve">plné </w:t>
      </w:r>
      <w:r w:rsidR="00C5530C" w:rsidRPr="003B08AE">
        <w:rPr>
          <w:b/>
        </w:rPr>
        <w:t xml:space="preserve">povinnosti vyhodnocení souladu opatření se zásadou </w:t>
      </w:r>
      <w:r w:rsidR="007E1D25" w:rsidRPr="007E1D25">
        <w:rPr>
          <w:b/>
        </w:rPr>
        <w:t xml:space="preserve">významně </w:t>
      </w:r>
      <w:r w:rsidR="00C5530C" w:rsidRPr="003B08AE">
        <w:rPr>
          <w:b/>
        </w:rPr>
        <w:t>nepoškozovat na žadatele</w:t>
      </w:r>
      <w:r w:rsidR="00BF3921">
        <w:rPr>
          <w:b/>
        </w:rPr>
        <w:t>, kromě velkých investičních projektů</w:t>
      </w:r>
      <w:r w:rsidR="00C5530C" w:rsidRPr="003B08AE">
        <w:rPr>
          <w:b/>
        </w:rPr>
        <w:t xml:space="preserve">. Vyhodnocení, jaké konkrétní podmínky je nutné plnit nebo jakým jiným způsobem bude této zásadě vyhověno na úrovni výběru operací, je úkolem administrátorů EU </w:t>
      </w:r>
      <w:r w:rsidR="00C20162">
        <w:rPr>
          <w:b/>
        </w:rPr>
        <w:t>zdrojů</w:t>
      </w:r>
      <w:r w:rsidR="00C5530C" w:rsidRPr="003B08AE">
        <w:rPr>
          <w:b/>
        </w:rPr>
        <w:t xml:space="preserve">. Vyhodnocení souladu se zásadou nepoškozovat v její obecné rovině (dle čl. 17 </w:t>
      </w:r>
      <w:r w:rsidR="005937DC" w:rsidRPr="005937DC">
        <w:rPr>
          <w:b/>
        </w:rPr>
        <w:t>Nařízení (EU) 2020/852</w:t>
      </w:r>
      <w:r w:rsidR="00C5530C" w:rsidRPr="003B08AE">
        <w:rPr>
          <w:b/>
        </w:rPr>
        <w:t xml:space="preserve"> o taxonomii) nebo dle řady metodických pokynů Evropské komise je nad rámec rozumné kapacity žadatelů s ohledem na komplexnost problematiky.</w:t>
      </w:r>
      <w:r w:rsidR="00C5530C">
        <w:t xml:space="preserve"> </w:t>
      </w:r>
    </w:p>
    <w:p w14:paraId="2DE6D250" w14:textId="71B0B64E" w:rsidR="00602DCA" w:rsidRDefault="004A6FDC" w:rsidP="00A32A7E">
      <w:pPr>
        <w:pStyle w:val="Odstavecseseznamem"/>
        <w:numPr>
          <w:ilvl w:val="0"/>
          <w:numId w:val="56"/>
        </w:numPr>
      </w:pPr>
      <w:r>
        <w:rPr>
          <w:b/>
        </w:rPr>
        <w:t>U</w:t>
      </w:r>
      <w:r w:rsidR="00C5530C" w:rsidRPr="001A199F">
        <w:rPr>
          <w:b/>
        </w:rPr>
        <w:t>snadnit a vyjasnit implementaci požadavku na prověřování infrastruktury z hlediska klimatického dopadu.</w:t>
      </w:r>
      <w:r w:rsidR="00C5530C">
        <w:t xml:space="preserve"> Tento požadavek se týká povinně zejm. fondů politiky soudržnosti. Rámcová vodítka navrhují možnosti, jak při prověřování infrastruktury z hlediska klimatického dopadu snížit administrativní zátěž na straně žadatelů.</w:t>
      </w:r>
      <w:r>
        <w:t xml:space="preserve"> </w:t>
      </w:r>
    </w:p>
    <w:p w14:paraId="6AEB5A33" w14:textId="60E9F518" w:rsidR="004A6FDC" w:rsidRPr="001A199F" w:rsidRDefault="004A6FDC">
      <w:pPr>
        <w:rPr>
          <w:b/>
          <w:bCs/>
        </w:rPr>
      </w:pPr>
      <w:r w:rsidRPr="001A199F">
        <w:rPr>
          <w:b/>
          <w:bCs/>
        </w:rPr>
        <w:t>Regulatorní a metodický rámec environmentálních zásad pro čerpání EU fondů</w:t>
      </w:r>
    </w:p>
    <w:p w14:paraId="0B1F0807" w14:textId="65C5DA06" w:rsidR="00602DCA" w:rsidRDefault="00C5530C">
      <w:r>
        <w:t xml:space="preserve">Rámcová vodítka je nutné vnímat jako zastřešující metodiku pro implementaci zásady významně nepoškozovat a prověřování infrastruktury z hlediska klimatického dopadu na straně </w:t>
      </w:r>
      <w:r w:rsidR="00C20162" w:rsidRPr="00C20162">
        <w:t>administrátor</w:t>
      </w:r>
      <w:r w:rsidR="00C20162">
        <w:t>ů</w:t>
      </w:r>
      <w:r w:rsidR="00C20162" w:rsidRPr="00C20162">
        <w:t xml:space="preserve"> EU zdroj</w:t>
      </w:r>
      <w:r w:rsidR="00C20162">
        <w:t>ů</w:t>
      </w:r>
      <w:r w:rsidR="00221276">
        <w:t>.</w:t>
      </w:r>
      <w:r>
        <w:t xml:space="preserve"> </w:t>
      </w:r>
      <w:r w:rsidR="00C710EC">
        <w:t>Administrátoři jsou</w:t>
      </w:r>
      <w:r>
        <w:t xml:space="preserve"> odpovědn</w:t>
      </w:r>
      <w:r w:rsidR="00C20162">
        <w:t>í</w:t>
      </w:r>
      <w:r>
        <w:t xml:space="preserve"> za konkrétní metodické pokyny související s administrací těchto fondů, administrativní postupy, reporting, a další povinnosti ve spojitosti se správou EU fondů (jak v oblasti environmentálních zásad při správě fondů, tak ostatních závazných postupů při administraci EU fondů). Rámcová vodítka konsolidují komplexní regulatorní a metodický rámec environmentálních zásad povinný pro čerpání EU zdrojů, přičemž čerpají zejm. z těchto metodických pokynů EU</w:t>
      </w:r>
      <w:r w:rsidR="00BF3921">
        <w:t xml:space="preserve"> a vysvětlujících materiálů</w:t>
      </w:r>
      <w:r>
        <w:t>:</w:t>
      </w:r>
    </w:p>
    <w:p w14:paraId="4083BA87" w14:textId="7C5350CC" w:rsidR="00602DCA" w:rsidRDefault="00C5530C" w:rsidP="00A32A7E">
      <w:pPr>
        <w:pStyle w:val="Odstavecseseznamem"/>
        <w:numPr>
          <w:ilvl w:val="0"/>
          <w:numId w:val="53"/>
        </w:numPr>
      </w:pPr>
      <w:r>
        <w:rPr>
          <w:b/>
        </w:rPr>
        <w:t>Technické pokyny k uplatňování zásady „významně nepoškozovat“ podle nařízení o Nástroji pro oživení a odolnost</w:t>
      </w:r>
      <w:r>
        <w:t xml:space="preserve"> (</w:t>
      </w:r>
      <w:hyperlink r:id="rId14" w:tooltip="https://eur-lex.europa.eu/legal-content/CS/TXT/HTML/?uri=CELEX:52021XC0218(01)&amp;from=EN" w:history="1">
        <w:r w:rsidR="00602DCA">
          <w:rPr>
            <w:rStyle w:val="Hypertextovodkaz"/>
          </w:rPr>
          <w:t>2021/C 58/01</w:t>
        </w:r>
      </w:hyperlink>
      <w:r>
        <w:t>) ze dne 18. února 2021</w:t>
      </w:r>
      <w:r w:rsidR="005150DD">
        <w:t xml:space="preserve"> a </w:t>
      </w:r>
      <w:r w:rsidR="005150DD" w:rsidRPr="00E93518">
        <w:rPr>
          <w:b/>
          <w:bCs/>
        </w:rPr>
        <w:t>Technické pokyny k uplatňování zásady „významně nepoškozovat“ podle nařízení o Nástroji pro oživení a odolnost</w:t>
      </w:r>
      <w:r w:rsidR="005150DD">
        <w:t xml:space="preserve"> (</w:t>
      </w:r>
      <w:hyperlink r:id="rId15" w:history="1">
        <w:r w:rsidR="005150DD" w:rsidRPr="005150DD">
          <w:rPr>
            <w:rStyle w:val="Hypertextovodkaz"/>
          </w:rPr>
          <w:t>C(2023) 6454</w:t>
        </w:r>
      </w:hyperlink>
      <w:r w:rsidR="005150DD">
        <w:t>) ze dne 28. září 2023</w:t>
      </w:r>
      <w:r w:rsidR="004B08DF">
        <w:t>.</w:t>
      </w:r>
    </w:p>
    <w:p w14:paraId="1897998C" w14:textId="77777777" w:rsidR="00602DCA" w:rsidRDefault="00C5530C" w:rsidP="00A32A7E">
      <w:pPr>
        <w:pStyle w:val="Odstavecseseznamem"/>
        <w:numPr>
          <w:ilvl w:val="0"/>
          <w:numId w:val="53"/>
        </w:numPr>
      </w:pPr>
      <w:r>
        <w:rPr>
          <w:b/>
        </w:rPr>
        <w:t>Technické pokyny k prověřování infrastruktury z hlediska klimatického dopadu v období 2021–2027</w:t>
      </w:r>
      <w:r>
        <w:t xml:space="preserve"> (</w:t>
      </w:r>
      <w:hyperlink r:id="rId16" w:tooltip="https://eur-lex.europa.eu/legal-content/CS/TXT/HTML/?uri=CELEX:52021XC0916(03)&amp;from=EN" w:history="1">
        <w:r w:rsidR="00602DCA">
          <w:rPr>
            <w:rStyle w:val="Hypertextovodkaz"/>
          </w:rPr>
          <w:t>2021/C 373/01</w:t>
        </w:r>
      </w:hyperlink>
      <w:r>
        <w:t>) ze dne 16. září 2021</w:t>
      </w:r>
      <w:r w:rsidR="004B08DF">
        <w:t>.</w:t>
      </w:r>
    </w:p>
    <w:p w14:paraId="0AEA54CC" w14:textId="77777777" w:rsidR="00602DCA" w:rsidRDefault="00C5530C" w:rsidP="00A32A7E">
      <w:pPr>
        <w:pStyle w:val="Odstavecseseznamem"/>
        <w:numPr>
          <w:ilvl w:val="0"/>
          <w:numId w:val="53"/>
        </w:numPr>
      </w:pPr>
      <w:proofErr w:type="spellStart"/>
      <w:r>
        <w:rPr>
          <w:b/>
        </w:rPr>
        <w:t>Commission</w:t>
      </w:r>
      <w:proofErr w:type="spellEnd"/>
      <w:r>
        <w:rPr>
          <w:b/>
        </w:rPr>
        <w:t xml:space="preserve"> </w:t>
      </w:r>
      <w:proofErr w:type="spellStart"/>
      <w:r>
        <w:rPr>
          <w:b/>
        </w:rPr>
        <w:t>explanatory</w:t>
      </w:r>
      <w:proofErr w:type="spellEnd"/>
      <w:r>
        <w:rPr>
          <w:b/>
        </w:rPr>
        <w:t xml:space="preserve"> </w:t>
      </w:r>
      <w:proofErr w:type="spellStart"/>
      <w:r>
        <w:rPr>
          <w:b/>
        </w:rPr>
        <w:t>note</w:t>
      </w:r>
      <w:proofErr w:type="spellEnd"/>
      <w:r>
        <w:rPr>
          <w:b/>
        </w:rPr>
        <w:t xml:space="preserve"> APPLICATION OF THE “DO NO SIGNIFICANT HARM” PRINCIPLE UNDER COHESION </w:t>
      </w:r>
      <w:proofErr w:type="gramStart"/>
      <w:r>
        <w:rPr>
          <w:b/>
        </w:rPr>
        <w:t>POLICY</w:t>
      </w:r>
      <w:r>
        <w:t xml:space="preserve"> - </w:t>
      </w:r>
      <w:proofErr w:type="spellStart"/>
      <w:r>
        <w:t>European</w:t>
      </w:r>
      <w:proofErr w:type="spellEnd"/>
      <w:proofErr w:type="gramEnd"/>
      <w:r>
        <w:t xml:space="preserve"> </w:t>
      </w:r>
      <w:proofErr w:type="spellStart"/>
      <w:r>
        <w:t>Regional</w:t>
      </w:r>
      <w:proofErr w:type="spellEnd"/>
      <w:r>
        <w:t xml:space="preserve"> Development </w:t>
      </w:r>
      <w:proofErr w:type="spellStart"/>
      <w:r>
        <w:t>Fund</w:t>
      </w:r>
      <w:proofErr w:type="spellEnd"/>
      <w:r>
        <w:t xml:space="preserve">, </w:t>
      </w:r>
      <w:proofErr w:type="spellStart"/>
      <w:r>
        <w:t>European</w:t>
      </w:r>
      <w:proofErr w:type="spellEnd"/>
      <w:r>
        <w:t xml:space="preserve"> </w:t>
      </w:r>
      <w:proofErr w:type="spellStart"/>
      <w:r>
        <w:t>Social</w:t>
      </w:r>
      <w:proofErr w:type="spellEnd"/>
      <w:r>
        <w:t xml:space="preserve"> </w:t>
      </w:r>
      <w:proofErr w:type="spellStart"/>
      <w:r>
        <w:t>Fund</w:t>
      </w:r>
      <w:proofErr w:type="spellEnd"/>
      <w:r>
        <w:t xml:space="preserve"> Plus, </w:t>
      </w:r>
      <w:proofErr w:type="spellStart"/>
      <w:r>
        <w:t>Cohesion</w:t>
      </w:r>
      <w:proofErr w:type="spellEnd"/>
      <w:r>
        <w:t xml:space="preserve"> </w:t>
      </w:r>
      <w:proofErr w:type="spellStart"/>
      <w:r>
        <w:t>Fund</w:t>
      </w:r>
      <w:proofErr w:type="spellEnd"/>
      <w:r>
        <w:t xml:space="preserve">, Just </w:t>
      </w:r>
      <w:proofErr w:type="spellStart"/>
      <w:r>
        <w:t>Transition</w:t>
      </w:r>
      <w:proofErr w:type="spellEnd"/>
      <w:r>
        <w:t xml:space="preserve"> </w:t>
      </w:r>
      <w:proofErr w:type="spellStart"/>
      <w:r>
        <w:t>Fund</w:t>
      </w:r>
      <w:proofErr w:type="spellEnd"/>
      <w:r>
        <w:t xml:space="preserve"> (EGESIF_21-0025-00) ze dne 27. září 2021</w:t>
      </w:r>
      <w:r w:rsidR="004B08DF">
        <w:t>.</w:t>
      </w:r>
    </w:p>
    <w:p w14:paraId="24BA49EC" w14:textId="758E7F3E" w:rsidR="00602DCA" w:rsidRDefault="00C5530C" w:rsidP="00A32A7E">
      <w:pPr>
        <w:pStyle w:val="Odstavecseseznamem"/>
        <w:numPr>
          <w:ilvl w:val="0"/>
          <w:numId w:val="53"/>
        </w:numPr>
      </w:pPr>
      <w:r>
        <w:rPr>
          <w:b/>
        </w:rPr>
        <w:lastRenderedPageBreak/>
        <w:t>Zásada „energetická účinnost v první řadě“</w:t>
      </w:r>
      <w:r>
        <w:t xml:space="preserve"> - DOPORUČENÍ KOMISE (EU) </w:t>
      </w:r>
      <w:hyperlink r:id="rId17" w:history="1">
        <w:r w:rsidR="0058633B" w:rsidRPr="0058633B">
          <w:rPr>
            <w:rStyle w:val="Hypertextovodkaz"/>
          </w:rPr>
          <w:t>2024/2143</w:t>
        </w:r>
      </w:hyperlink>
      <w:r w:rsidR="0058633B" w:rsidRPr="0058633B">
        <w:t xml:space="preserve"> ze dne 29. července 2024, ve kterém se stanoví pokyny pro výklad článku 3 směrnice Evropského parlamentu a Rady (EU) 2023/1791, pokud jde o zásadu „energetická účinnost v první řadě“</w:t>
      </w:r>
      <w:r w:rsidR="0058633B">
        <w:t xml:space="preserve"> </w:t>
      </w:r>
      <w:proofErr w:type="spellStart"/>
      <w:r>
        <w:rPr>
          <w:b/>
        </w:rPr>
        <w:t>Climate</w:t>
      </w:r>
      <w:proofErr w:type="spellEnd"/>
      <w:r>
        <w:rPr>
          <w:b/>
        </w:rPr>
        <w:t xml:space="preserve"> </w:t>
      </w:r>
      <w:proofErr w:type="spellStart"/>
      <w:r>
        <w:rPr>
          <w:b/>
        </w:rPr>
        <w:t>Mainstreaming</w:t>
      </w:r>
      <w:proofErr w:type="spellEnd"/>
      <w:r>
        <w:rPr>
          <w:b/>
        </w:rPr>
        <w:t xml:space="preserve"> </w:t>
      </w:r>
      <w:proofErr w:type="spellStart"/>
      <w:r>
        <w:rPr>
          <w:b/>
        </w:rPr>
        <w:t>Architecture</w:t>
      </w:r>
      <w:proofErr w:type="spellEnd"/>
      <w:r>
        <w:rPr>
          <w:b/>
        </w:rPr>
        <w:t xml:space="preserve"> in </w:t>
      </w:r>
      <w:proofErr w:type="spellStart"/>
      <w:r>
        <w:rPr>
          <w:b/>
        </w:rPr>
        <w:t>the</w:t>
      </w:r>
      <w:proofErr w:type="spellEnd"/>
      <w:r>
        <w:rPr>
          <w:b/>
        </w:rPr>
        <w:t xml:space="preserve"> 2021-2027 </w:t>
      </w:r>
      <w:proofErr w:type="spellStart"/>
      <w:r>
        <w:rPr>
          <w:b/>
        </w:rPr>
        <w:t>Multiannual</w:t>
      </w:r>
      <w:proofErr w:type="spellEnd"/>
      <w:r>
        <w:rPr>
          <w:b/>
        </w:rPr>
        <w:t xml:space="preserve"> </w:t>
      </w:r>
      <w:proofErr w:type="spellStart"/>
      <w:r>
        <w:rPr>
          <w:b/>
        </w:rPr>
        <w:t>Financial</w:t>
      </w:r>
      <w:proofErr w:type="spellEnd"/>
      <w:r>
        <w:rPr>
          <w:b/>
        </w:rPr>
        <w:t xml:space="preserve"> Framework</w:t>
      </w:r>
      <w:r>
        <w:t xml:space="preserve"> (</w:t>
      </w:r>
      <w:hyperlink r:id="rId18" w:tooltip="https://ec.europa.eu/info/sites/default/files/about_the_european_commission/eu_budget/swd_2022_225_climate_mainstreaming_architecture_2021-2027.pdf" w:history="1">
        <w:r w:rsidR="00602DCA">
          <w:rPr>
            <w:rStyle w:val="Hypertextovodkaz"/>
          </w:rPr>
          <w:t xml:space="preserve">SWD(2022) 225 </w:t>
        </w:r>
        <w:proofErr w:type="spellStart"/>
        <w:r w:rsidR="00602DCA">
          <w:rPr>
            <w:rStyle w:val="Hypertextovodkaz"/>
          </w:rPr>
          <w:t>final</w:t>
        </w:r>
        <w:proofErr w:type="spellEnd"/>
      </w:hyperlink>
      <w:r>
        <w:t>) ze dne 20. června 2022</w:t>
      </w:r>
      <w:r w:rsidR="004B08DF">
        <w:t>.</w:t>
      </w:r>
    </w:p>
    <w:p w14:paraId="664EF41D" w14:textId="171984F1" w:rsidR="00B83E4A" w:rsidRPr="00BF3921" w:rsidRDefault="00B83E4A" w:rsidP="00A32A7E">
      <w:pPr>
        <w:pStyle w:val="Odstavecseseznamem"/>
        <w:numPr>
          <w:ilvl w:val="0"/>
          <w:numId w:val="53"/>
        </w:numPr>
      </w:pPr>
      <w:r>
        <w:rPr>
          <w:b/>
        </w:rPr>
        <w:t xml:space="preserve">Návrh technických pokynů </w:t>
      </w:r>
      <w:r w:rsidRPr="00B83E4A">
        <w:rPr>
          <w:b/>
        </w:rPr>
        <w:t>k uplatňování zásady „významně nepoškozovat“ podle nařízení</w:t>
      </w:r>
      <w:r>
        <w:rPr>
          <w:b/>
        </w:rPr>
        <w:t>, kterým se zřizuje Sociální klimatický fond</w:t>
      </w:r>
      <w:r w:rsidR="00C128D1">
        <w:rPr>
          <w:b/>
        </w:rPr>
        <w:t xml:space="preserve"> </w:t>
      </w:r>
      <w:r w:rsidR="00C128D1" w:rsidRPr="00E93518">
        <w:rPr>
          <w:bCs/>
        </w:rPr>
        <w:t xml:space="preserve">(dostupné </w:t>
      </w:r>
      <w:hyperlink r:id="rId19" w:history="1">
        <w:r w:rsidR="00C128D1" w:rsidRPr="00E93518">
          <w:rPr>
            <w:rStyle w:val="Hypertextovodkaz"/>
            <w:bCs/>
          </w:rPr>
          <w:t>zde</w:t>
        </w:r>
      </w:hyperlink>
      <w:r w:rsidR="00C128D1" w:rsidRPr="00E93518">
        <w:rPr>
          <w:bCs/>
        </w:rPr>
        <w:t>).</w:t>
      </w:r>
    </w:p>
    <w:p w14:paraId="010A089E" w14:textId="48EB75C5" w:rsidR="00BF3921" w:rsidRDefault="00BF3921" w:rsidP="00A32A7E">
      <w:pPr>
        <w:pStyle w:val="Odstavecseseznamem"/>
        <w:numPr>
          <w:ilvl w:val="0"/>
          <w:numId w:val="53"/>
        </w:numPr>
      </w:pPr>
      <w:proofErr w:type="spellStart"/>
      <w:r w:rsidRPr="00BF3921">
        <w:rPr>
          <w:b/>
          <w:bCs/>
        </w:rPr>
        <w:t>The</w:t>
      </w:r>
      <w:proofErr w:type="spellEnd"/>
      <w:r w:rsidRPr="00BF3921">
        <w:rPr>
          <w:b/>
          <w:bCs/>
        </w:rPr>
        <w:t xml:space="preserve"> </w:t>
      </w:r>
      <w:proofErr w:type="spellStart"/>
      <w:r w:rsidRPr="00BF3921">
        <w:rPr>
          <w:b/>
          <w:bCs/>
        </w:rPr>
        <w:t>implementation</w:t>
      </w:r>
      <w:proofErr w:type="spellEnd"/>
      <w:r w:rsidRPr="00BF3921">
        <w:rPr>
          <w:b/>
          <w:bCs/>
        </w:rPr>
        <w:t xml:space="preserve"> </w:t>
      </w:r>
      <w:proofErr w:type="spellStart"/>
      <w:r w:rsidRPr="00BF3921">
        <w:rPr>
          <w:b/>
          <w:bCs/>
        </w:rPr>
        <w:t>of</w:t>
      </w:r>
      <w:proofErr w:type="spellEnd"/>
      <w:r w:rsidRPr="00BF3921">
        <w:rPr>
          <w:b/>
          <w:bCs/>
        </w:rPr>
        <w:t xml:space="preserve"> </w:t>
      </w:r>
      <w:proofErr w:type="spellStart"/>
      <w:r w:rsidRPr="00BF3921">
        <w:rPr>
          <w:b/>
          <w:bCs/>
        </w:rPr>
        <w:t>the</w:t>
      </w:r>
      <w:proofErr w:type="spellEnd"/>
      <w:r w:rsidRPr="00BF3921">
        <w:rPr>
          <w:b/>
          <w:bCs/>
        </w:rPr>
        <w:t xml:space="preserve"> ‘Do No </w:t>
      </w:r>
      <w:proofErr w:type="spellStart"/>
      <w:r w:rsidRPr="00BF3921">
        <w:rPr>
          <w:b/>
          <w:bCs/>
        </w:rPr>
        <w:t>Significant</w:t>
      </w:r>
      <w:proofErr w:type="spellEnd"/>
      <w:r w:rsidRPr="00BF3921">
        <w:rPr>
          <w:b/>
          <w:bCs/>
        </w:rPr>
        <w:t xml:space="preserve"> </w:t>
      </w:r>
      <w:proofErr w:type="spellStart"/>
      <w:r w:rsidRPr="00BF3921">
        <w:rPr>
          <w:b/>
          <w:bCs/>
        </w:rPr>
        <w:t>Harm</w:t>
      </w:r>
      <w:proofErr w:type="spellEnd"/>
      <w:r w:rsidRPr="00BF3921">
        <w:rPr>
          <w:b/>
          <w:bCs/>
        </w:rPr>
        <w:t xml:space="preserve">’ </w:t>
      </w:r>
      <w:proofErr w:type="spellStart"/>
      <w:r w:rsidRPr="00BF3921">
        <w:rPr>
          <w:b/>
          <w:bCs/>
        </w:rPr>
        <w:t>principle</w:t>
      </w:r>
      <w:proofErr w:type="spellEnd"/>
      <w:r w:rsidRPr="00BF3921">
        <w:rPr>
          <w:b/>
          <w:bCs/>
        </w:rPr>
        <w:t xml:space="preserve"> in </w:t>
      </w:r>
      <w:proofErr w:type="spellStart"/>
      <w:r w:rsidRPr="00BF3921">
        <w:rPr>
          <w:b/>
          <w:bCs/>
        </w:rPr>
        <w:t>selected</w:t>
      </w:r>
      <w:proofErr w:type="spellEnd"/>
      <w:r w:rsidRPr="00BF3921">
        <w:rPr>
          <w:b/>
          <w:bCs/>
        </w:rPr>
        <w:t xml:space="preserve"> EU </w:t>
      </w:r>
      <w:proofErr w:type="spellStart"/>
      <w:r w:rsidRPr="00BF3921">
        <w:rPr>
          <w:b/>
          <w:bCs/>
        </w:rPr>
        <w:t>instruments</w:t>
      </w:r>
      <w:proofErr w:type="spellEnd"/>
      <w:r>
        <w:t xml:space="preserve"> (</w:t>
      </w:r>
      <w:hyperlink r:id="rId20" w:history="1">
        <w:r w:rsidRPr="00BF3921">
          <w:rPr>
            <w:rStyle w:val="Hypertextovodkaz"/>
          </w:rPr>
          <w:t>dostupné zde</w:t>
        </w:r>
      </w:hyperlink>
      <w:r>
        <w:t>) ze dne 19. prosince 2023</w:t>
      </w:r>
      <w:r w:rsidR="004B08DF">
        <w:t>.</w:t>
      </w:r>
    </w:p>
    <w:p w14:paraId="19B2BB87" w14:textId="77777777" w:rsidR="00602DCA" w:rsidRDefault="00602DCA"/>
    <w:p w14:paraId="5AF9FED0" w14:textId="08E25A13" w:rsidR="00462F05" w:rsidRDefault="00462F05">
      <w:pPr>
        <w:keepNext/>
        <w:rPr>
          <w:b/>
        </w:rPr>
      </w:pPr>
      <w:r>
        <w:rPr>
          <w:b/>
        </w:rPr>
        <w:t>Působnost rámcových vodítek</w:t>
      </w:r>
    </w:p>
    <w:p w14:paraId="4C36806A" w14:textId="396F5ABD" w:rsidR="00602DCA" w:rsidRDefault="00FB1D17" w:rsidP="001A199F">
      <w:pPr>
        <w:keepNext/>
      </w:pPr>
      <w:r>
        <w:rPr>
          <w:bCs/>
        </w:rPr>
        <w:t>R</w:t>
      </w:r>
      <w:r w:rsidR="00C5530C" w:rsidRPr="001A199F">
        <w:rPr>
          <w:bCs/>
        </w:rPr>
        <w:t>ámcov</w:t>
      </w:r>
      <w:r>
        <w:rPr>
          <w:bCs/>
        </w:rPr>
        <w:t>á</w:t>
      </w:r>
      <w:r w:rsidR="00C5530C" w:rsidRPr="001A199F">
        <w:rPr>
          <w:bCs/>
        </w:rPr>
        <w:t xml:space="preserve"> vodít</w:t>
      </w:r>
      <w:r>
        <w:rPr>
          <w:bCs/>
        </w:rPr>
        <w:t>ka</w:t>
      </w:r>
      <w:r w:rsidR="00C5530C" w:rsidRPr="001A199F">
        <w:rPr>
          <w:bCs/>
        </w:rPr>
        <w:t xml:space="preserve"> </w:t>
      </w:r>
      <w:r>
        <w:rPr>
          <w:bCs/>
        </w:rPr>
        <w:t xml:space="preserve">jsou určena </w:t>
      </w:r>
      <w:r w:rsidR="00C5530C" w:rsidRPr="001A199F">
        <w:rPr>
          <w:bCs/>
        </w:rPr>
        <w:t>primárně pro fondy politiky soudržnosti</w:t>
      </w:r>
      <w:r w:rsidR="00462F05" w:rsidRPr="001A199F">
        <w:rPr>
          <w:bCs/>
        </w:rPr>
        <w:t>. L</w:t>
      </w:r>
      <w:r w:rsidR="00C5530C" w:rsidRPr="001A199F">
        <w:rPr>
          <w:bCs/>
        </w:rPr>
        <w:t xml:space="preserve">ze je </w:t>
      </w:r>
      <w:r w:rsidR="00462F05" w:rsidRPr="001A199F">
        <w:rPr>
          <w:bCs/>
        </w:rPr>
        <w:t xml:space="preserve">však </w:t>
      </w:r>
      <w:r w:rsidR="00C5530C" w:rsidRPr="001A199F">
        <w:rPr>
          <w:bCs/>
        </w:rPr>
        <w:t xml:space="preserve">využít i pro implementaci zásady významně </w:t>
      </w:r>
      <w:r w:rsidR="007C07F4" w:rsidRPr="001A199F">
        <w:rPr>
          <w:bCs/>
        </w:rPr>
        <w:t>nepoškozovat</w:t>
      </w:r>
      <w:r w:rsidR="00C5530C" w:rsidRPr="001A199F">
        <w:rPr>
          <w:bCs/>
        </w:rPr>
        <w:t xml:space="preserve"> v rámci Národního plánu obnovy a jeho rozšiřování. </w:t>
      </w:r>
      <w:r w:rsidR="007A665C">
        <w:rPr>
          <w:bCs/>
        </w:rPr>
        <w:t xml:space="preserve">V případě </w:t>
      </w:r>
      <w:r w:rsidR="007A665C" w:rsidRPr="001A199F">
        <w:rPr>
          <w:bCs/>
        </w:rPr>
        <w:t>Sociální</w:t>
      </w:r>
      <w:r w:rsidR="007A665C">
        <w:rPr>
          <w:bCs/>
        </w:rPr>
        <w:t>ho</w:t>
      </w:r>
      <w:r w:rsidR="007A665C" w:rsidRPr="001A199F">
        <w:rPr>
          <w:bCs/>
        </w:rPr>
        <w:t xml:space="preserve"> klimatick</w:t>
      </w:r>
      <w:r w:rsidR="007A665C">
        <w:rPr>
          <w:bCs/>
        </w:rPr>
        <w:t>ého</w:t>
      </w:r>
      <w:r w:rsidR="007A665C" w:rsidRPr="001A199F">
        <w:rPr>
          <w:bCs/>
        </w:rPr>
        <w:t xml:space="preserve"> fond</w:t>
      </w:r>
      <w:r w:rsidR="007A665C">
        <w:rPr>
          <w:bCs/>
        </w:rPr>
        <w:t>u</w:t>
      </w:r>
      <w:r w:rsidR="007A665C" w:rsidRPr="001A199F">
        <w:rPr>
          <w:bCs/>
        </w:rPr>
        <w:t xml:space="preserve"> </w:t>
      </w:r>
      <w:r w:rsidR="007A665C">
        <w:rPr>
          <w:bCs/>
        </w:rPr>
        <w:t xml:space="preserve">je nutné zohlednit, že pro SCF </w:t>
      </w:r>
      <w:r w:rsidR="007E1D25">
        <w:rPr>
          <w:bCs/>
        </w:rPr>
        <w:t xml:space="preserve">je </w:t>
      </w:r>
      <w:r w:rsidR="007A665C">
        <w:rPr>
          <w:bCs/>
        </w:rPr>
        <w:t xml:space="preserve">vydán vlastní pokyn DNSH ze strany EK, a v případě Modernizačního fondu </w:t>
      </w:r>
      <w:r w:rsidR="007E1D25">
        <w:rPr>
          <w:bCs/>
        </w:rPr>
        <w:t>jsou pak</w:t>
      </w:r>
      <w:r w:rsidR="007A665C">
        <w:rPr>
          <w:bCs/>
        </w:rPr>
        <w:t xml:space="preserve"> přímo využitelná technická screeningová kritéria taxonomie. Nicméně Rámcová vodítka tyto přístupy </w:t>
      </w:r>
      <w:r w:rsidR="00C7343C">
        <w:rPr>
          <w:bCs/>
        </w:rPr>
        <w:t xml:space="preserve">v maximální možné míře </w:t>
      </w:r>
      <w:r w:rsidR="007A665C">
        <w:rPr>
          <w:bCs/>
        </w:rPr>
        <w:t>syntetizují</w:t>
      </w:r>
      <w:r w:rsidR="007E1D25">
        <w:rPr>
          <w:bCs/>
        </w:rPr>
        <w:t xml:space="preserve"> tak, aby se směřovalo k</w:t>
      </w:r>
      <w:r w:rsidR="007A665C">
        <w:rPr>
          <w:bCs/>
        </w:rPr>
        <w:t xml:space="preserve"> žádoucí </w:t>
      </w:r>
      <w:r w:rsidR="007E1D25">
        <w:rPr>
          <w:bCs/>
        </w:rPr>
        <w:t xml:space="preserve">koherenci </w:t>
      </w:r>
      <w:r w:rsidR="007A665C">
        <w:rPr>
          <w:bCs/>
        </w:rPr>
        <w:t xml:space="preserve">podmínek mezi všemi EU </w:t>
      </w:r>
      <w:r w:rsidR="007E1D25">
        <w:rPr>
          <w:bCs/>
        </w:rPr>
        <w:t>fondy.</w:t>
      </w:r>
      <w:r w:rsidR="007A665C">
        <w:rPr>
          <w:bCs/>
        </w:rPr>
        <w:t xml:space="preserve"> </w:t>
      </w:r>
      <w:r w:rsidR="007E1D25">
        <w:rPr>
          <w:bCs/>
        </w:rPr>
        <w:t>P</w:t>
      </w:r>
      <w:r w:rsidR="007A665C">
        <w:rPr>
          <w:bCs/>
        </w:rPr>
        <w:t xml:space="preserve">roto se doporučuje v maximální míře přístupy zde představené zohlednit i v rámci SCF a </w:t>
      </w:r>
      <w:proofErr w:type="spellStart"/>
      <w:r w:rsidR="007A665C">
        <w:rPr>
          <w:bCs/>
        </w:rPr>
        <w:t>ModF</w:t>
      </w:r>
      <w:proofErr w:type="spellEnd"/>
      <w:r w:rsidR="00C7343C">
        <w:rPr>
          <w:bCs/>
        </w:rPr>
        <w:t>, je však nutné dbát i na separátní pokyny ze strany EK nebo EIB</w:t>
      </w:r>
      <w:r w:rsidR="007A665C">
        <w:rPr>
          <w:bCs/>
        </w:rPr>
        <w:t>.</w:t>
      </w:r>
      <w:r w:rsidR="007A665C" w:rsidRPr="001A199F">
        <w:rPr>
          <w:bCs/>
        </w:rPr>
        <w:t xml:space="preserve"> </w:t>
      </w:r>
      <w:r w:rsidR="00C5530C" w:rsidRPr="001A199F">
        <w:rPr>
          <w:bCs/>
        </w:rPr>
        <w:t xml:space="preserve">Rámcová vodítka jsou relevantní průřezově pro všechny nástroje EU, </w:t>
      </w:r>
      <w:r w:rsidR="007E1D25">
        <w:rPr>
          <w:bCs/>
        </w:rPr>
        <w:t>u kterých je</w:t>
      </w:r>
      <w:r w:rsidR="00C5530C" w:rsidRPr="001A199F">
        <w:rPr>
          <w:bCs/>
        </w:rPr>
        <w:t xml:space="preserve"> legislativní požadavek na zásadu významně nepoškozovat. </w:t>
      </w:r>
    </w:p>
    <w:p w14:paraId="5023C0CB" w14:textId="77777777" w:rsidR="00FB1D17" w:rsidRDefault="00FB1D17">
      <w:pPr>
        <w:rPr>
          <w:b/>
          <w:u w:val="single"/>
        </w:rPr>
      </w:pPr>
    </w:p>
    <w:p w14:paraId="61E949CB" w14:textId="7CA7E5B1" w:rsidR="00602DCA" w:rsidRDefault="00C5530C">
      <w:pPr>
        <w:rPr>
          <w:b/>
          <w:u w:val="single"/>
        </w:rPr>
      </w:pPr>
      <w:r>
        <w:rPr>
          <w:b/>
          <w:u w:val="single"/>
        </w:rPr>
        <w:t>Cílem a působností rámcových vodítek není:</w:t>
      </w:r>
    </w:p>
    <w:p w14:paraId="4DC0ECD4" w14:textId="77777777" w:rsidR="00602DCA" w:rsidRDefault="00C5530C" w:rsidP="00A32A7E">
      <w:pPr>
        <w:pStyle w:val="Odstavecseseznamem"/>
        <w:numPr>
          <w:ilvl w:val="0"/>
          <w:numId w:val="54"/>
        </w:numPr>
      </w:pPr>
      <w:r>
        <w:rPr>
          <w:b/>
        </w:rPr>
        <w:t>Rámcová vodítka nestanovují povinné způsoby implementace</w:t>
      </w:r>
      <w:r>
        <w:t xml:space="preserve"> – s ohledem na dynamiku vývoje jak sektorové legislativy EU a ČR, tak změny v nastavení a zaměření EU fondů (a příslušných výzev) v průběhu času, a dále šíři věcné problematiky všech typů podporovaných opatření není možné, a ani žádoucí stanovovat konkrétní postupy pro každou specifickou výzvu / program.</w:t>
      </w:r>
    </w:p>
    <w:p w14:paraId="7D4A530F" w14:textId="77777777" w:rsidR="00602DCA" w:rsidRDefault="00C5530C" w:rsidP="00A32A7E">
      <w:pPr>
        <w:pStyle w:val="Odstavecseseznamem"/>
        <w:numPr>
          <w:ilvl w:val="0"/>
          <w:numId w:val="54"/>
        </w:numPr>
      </w:pPr>
      <w:r>
        <w:rPr>
          <w:b/>
        </w:rPr>
        <w:t xml:space="preserve">Rámcová vodítka nenahrazují relevantní legislativu EU a metodické pokyny EU, stejně tak legislativu a právní normy ČR. </w:t>
      </w:r>
    </w:p>
    <w:p w14:paraId="276162AF" w14:textId="77777777" w:rsidR="00602DCA" w:rsidRDefault="00C5530C" w:rsidP="00A32A7E">
      <w:pPr>
        <w:pStyle w:val="Odstavecseseznamem"/>
        <w:numPr>
          <w:ilvl w:val="0"/>
          <w:numId w:val="54"/>
        </w:numPr>
      </w:pPr>
      <w:r>
        <w:rPr>
          <w:b/>
        </w:rPr>
        <w:t xml:space="preserve">Rámcová vodítka nenahrazují specifická konkrétní ujednání mezi ČR a EU </w:t>
      </w:r>
      <w:r>
        <w:t>(Evropskou komisí, Evropskou investiční bankou), dále nenahrazují závazné strategické dokumentace EU fondů, pokud upravují požadavky odlišně.</w:t>
      </w:r>
    </w:p>
    <w:p w14:paraId="5E138D58" w14:textId="144C5C89" w:rsidR="00602DCA" w:rsidRPr="000F5C0D" w:rsidRDefault="00C5530C" w:rsidP="00A32A7E">
      <w:pPr>
        <w:pStyle w:val="Odstavecseseznamem"/>
        <w:numPr>
          <w:ilvl w:val="0"/>
          <w:numId w:val="54"/>
        </w:numPr>
      </w:pPr>
      <w:r w:rsidRPr="000F5C0D">
        <w:rPr>
          <w:b/>
        </w:rPr>
        <w:lastRenderedPageBreak/>
        <w:t xml:space="preserve">Rámcová vodítka nespecifikují </w:t>
      </w:r>
      <w:r w:rsidR="007A665C">
        <w:rPr>
          <w:b/>
        </w:rPr>
        <w:t xml:space="preserve">postup pro </w:t>
      </w:r>
      <w:r w:rsidRPr="000F5C0D">
        <w:rPr>
          <w:b/>
        </w:rPr>
        <w:t xml:space="preserve">program </w:t>
      </w:r>
      <w:proofErr w:type="spellStart"/>
      <w:r w:rsidRPr="000F5C0D">
        <w:rPr>
          <w:b/>
        </w:rPr>
        <w:t>InvestEU</w:t>
      </w:r>
      <w:proofErr w:type="spellEnd"/>
      <w:r w:rsidR="007A665C">
        <w:rPr>
          <w:b/>
        </w:rPr>
        <w:t xml:space="preserve">, kde je zavedeno prověřování udržitelnosti zahrnující i sociální aspekty a dimenzi dobré správy. Nicméně v environmentální dimenzi lze postupovat pro program </w:t>
      </w:r>
      <w:proofErr w:type="spellStart"/>
      <w:r w:rsidR="007A665C">
        <w:rPr>
          <w:b/>
        </w:rPr>
        <w:t>InvestEU</w:t>
      </w:r>
      <w:proofErr w:type="spellEnd"/>
      <w:r w:rsidR="007A665C">
        <w:rPr>
          <w:b/>
        </w:rPr>
        <w:t xml:space="preserve"> obdobně v souladu s přístupy v těchto vodítcích.</w:t>
      </w:r>
    </w:p>
    <w:p w14:paraId="2F224488" w14:textId="5086A8AB" w:rsidR="00602DCA" w:rsidRDefault="00C5530C" w:rsidP="00A32A7E">
      <w:pPr>
        <w:pStyle w:val="Odstavecseseznamem"/>
        <w:numPr>
          <w:ilvl w:val="0"/>
          <w:numId w:val="54"/>
        </w:numPr>
      </w:pPr>
      <w:r>
        <w:rPr>
          <w:b/>
        </w:rPr>
        <w:t>Rámcová vodítka nespecifikují otázky související s koordinací EU fondů</w:t>
      </w:r>
      <w:r>
        <w:t xml:space="preserve"> v gescích Ministerstva pro místní rozvoj (EU fondy politiky soudržnosti)</w:t>
      </w:r>
      <w:r w:rsidR="007A665C">
        <w:t>,</w:t>
      </w:r>
      <w:r>
        <w:t xml:space="preserve"> Ministerstva průmyslu a obchodu (Národní plán obnovy)</w:t>
      </w:r>
      <w:r w:rsidR="007A665C">
        <w:t xml:space="preserve"> a dále samostatných fondů SCF a </w:t>
      </w:r>
      <w:proofErr w:type="spellStart"/>
      <w:r w:rsidR="007A665C">
        <w:t>ModF</w:t>
      </w:r>
      <w:proofErr w:type="spellEnd"/>
      <w:r>
        <w:t>. Rámcová vodítka jsou tak komplementární k závazným metodickým pokynům koordinátorů EU fondů v ČR. Z tohoto důvodu vodítka nestanovují podobu a procesy vypracování konkrétní dokumentace (např. vyhodnocení DNSH, reportování atd.).</w:t>
      </w:r>
    </w:p>
    <w:p w14:paraId="0D905B62" w14:textId="76D8990C" w:rsidR="007A665C" w:rsidRDefault="007A665C" w:rsidP="00A32A7E">
      <w:pPr>
        <w:pStyle w:val="Odstavecseseznamem"/>
        <w:numPr>
          <w:ilvl w:val="0"/>
          <w:numId w:val="54"/>
        </w:numPr>
      </w:pPr>
      <w:r>
        <w:rPr>
          <w:b/>
        </w:rPr>
        <w:t>Rámcová vodítka nenahrazují pravidla EU pro státní podporu</w:t>
      </w:r>
      <w:r>
        <w:rPr>
          <w:bCs/>
        </w:rPr>
        <w:t xml:space="preserve">, nicméně z věcné </w:t>
      </w:r>
      <w:proofErr w:type="spellStart"/>
      <w:r>
        <w:rPr>
          <w:bCs/>
        </w:rPr>
        <w:t>materiality</w:t>
      </w:r>
      <w:proofErr w:type="spellEnd"/>
      <w:r>
        <w:rPr>
          <w:bCs/>
        </w:rPr>
        <w:t xml:space="preserve"> ustanovení týkajících se ochrany životního prostředí a klimatu jsou s nimi v souladu.</w:t>
      </w:r>
    </w:p>
    <w:p w14:paraId="6ED257E2" w14:textId="4DA61B7B" w:rsidR="00992BDB" w:rsidRDefault="00992BDB">
      <w:r>
        <w:br w:type="page"/>
      </w:r>
    </w:p>
    <w:p w14:paraId="1682764F" w14:textId="77777777" w:rsidR="00602DCA" w:rsidRDefault="00C5530C">
      <w:pPr>
        <w:pStyle w:val="Nadpis1"/>
      </w:pPr>
      <w:bookmarkStart w:id="20" w:name="_Toc120892217"/>
      <w:bookmarkStart w:id="21" w:name="_Toc120892515"/>
      <w:bookmarkStart w:id="22" w:name="_Toc210046017"/>
      <w:bookmarkEnd w:id="20"/>
      <w:bookmarkEnd w:id="21"/>
      <w:r>
        <w:lastRenderedPageBreak/>
        <w:t xml:space="preserve">Kontext průřezového zohlednění ochrany klimatu a životního prostředí v relevanci k EU </w:t>
      </w:r>
      <w:bookmarkEnd w:id="18"/>
      <w:r>
        <w:t>fondům</w:t>
      </w:r>
      <w:bookmarkEnd w:id="22"/>
    </w:p>
    <w:p w14:paraId="26017C42" w14:textId="49228A3E" w:rsidR="00602DCA" w:rsidRDefault="0042547C">
      <w:r>
        <w:t>V období</w:t>
      </w:r>
      <w:r w:rsidR="00C5530C">
        <w:t xml:space="preserve"> </w:t>
      </w:r>
      <w:r w:rsidR="004B08DF">
        <w:t>2019–2024</w:t>
      </w:r>
      <w:r>
        <w:t xml:space="preserve"> byly</w:t>
      </w:r>
      <w:r w:rsidR="00C5530C">
        <w:t xml:space="preserve"> strategické a legislativní kroky EU rámovány zelenou </w:t>
      </w:r>
      <w:r w:rsidR="001050DC">
        <w:t xml:space="preserve">transformací </w:t>
      </w:r>
      <w:r w:rsidR="00C5530C">
        <w:t xml:space="preserve">– </w:t>
      </w:r>
      <w:proofErr w:type="gramStart"/>
      <w:r w:rsidR="00C5530C">
        <w:t>Zelená</w:t>
      </w:r>
      <w:proofErr w:type="gramEnd"/>
      <w:r w:rsidR="00C5530C">
        <w:t xml:space="preserve"> dohoda pro Evropu, evropský právní rámec pro klima atd. Obdobně je tento směr zohledněn ve víceletém finančním rámci pro období </w:t>
      </w:r>
      <w:r w:rsidR="004B08DF">
        <w:t>2021–2027</w:t>
      </w:r>
      <w:r w:rsidR="00C5530C">
        <w:t>, který navazuje na průřezové zohlednění ochrany klimatu již v období 2014</w:t>
      </w:r>
      <w:r w:rsidR="004B08DF">
        <w:t>–</w:t>
      </w:r>
      <w:r w:rsidR="00C5530C">
        <w:t>2020</w:t>
      </w:r>
      <w:r>
        <w:t xml:space="preserve">. Víceletý finanční rámec je dále </w:t>
      </w:r>
      <w:r w:rsidR="00C5530C">
        <w:t>doprovázen Interinstitucionální dohodou z roku 2020, která obsahuje tyto klíčové nástroje:</w:t>
      </w:r>
    </w:p>
    <w:p w14:paraId="2208B55D" w14:textId="53B6B039" w:rsidR="00602DCA" w:rsidRDefault="00C5530C" w:rsidP="00A32A7E">
      <w:pPr>
        <w:pStyle w:val="Odstavecseseznamem"/>
        <w:numPr>
          <w:ilvl w:val="0"/>
          <w:numId w:val="8"/>
        </w:numPr>
      </w:pPr>
      <w:r>
        <w:t>Celkový cíl dedikovat výdaje EU ve výši alespoň 30</w:t>
      </w:r>
      <w:r w:rsidR="004B08DF">
        <w:t> </w:t>
      </w:r>
      <w:r>
        <w:t>% na opatření související s klimatem v období 2021</w:t>
      </w:r>
      <w:r w:rsidR="004B08DF">
        <w:t>–</w:t>
      </w:r>
      <w:r>
        <w:t xml:space="preserve">2027; </w:t>
      </w:r>
    </w:p>
    <w:p w14:paraId="43226BE7" w14:textId="22935FCA" w:rsidR="00602DCA" w:rsidRDefault="00C5530C" w:rsidP="00A32A7E">
      <w:pPr>
        <w:pStyle w:val="Odstavecseseznamem"/>
        <w:numPr>
          <w:ilvl w:val="0"/>
          <w:numId w:val="8"/>
        </w:numPr>
      </w:pPr>
      <w:r>
        <w:t>Záruka financování opatření na ochranu klimatu, která umožňuje přijmout opatření v případě, že úrovně výdajů pravděpodobně nebudou dostatečné k dosažení cílů (specifických pro daný program);</w:t>
      </w:r>
    </w:p>
    <w:p w14:paraId="1A9262D3" w14:textId="77777777" w:rsidR="00602DCA" w:rsidRDefault="00C5530C" w:rsidP="00A32A7E">
      <w:pPr>
        <w:pStyle w:val="Odstavecseseznamem"/>
        <w:numPr>
          <w:ilvl w:val="0"/>
          <w:numId w:val="8"/>
        </w:numPr>
      </w:pPr>
      <w:r>
        <w:t>Vývoj metodiky sledování klimatu pro sledování úrovně výdajů;</w:t>
      </w:r>
    </w:p>
    <w:p w14:paraId="7CE5ED53" w14:textId="0ACE7D23" w:rsidR="00602DCA" w:rsidRDefault="00C5530C" w:rsidP="00A32A7E">
      <w:pPr>
        <w:pStyle w:val="Odstavecseseznamem"/>
        <w:numPr>
          <w:ilvl w:val="0"/>
          <w:numId w:val="8"/>
        </w:numPr>
      </w:pPr>
      <w:r>
        <w:t>Dedikovat alespoň 7,5</w:t>
      </w:r>
      <w:r w:rsidR="004B08DF">
        <w:t> </w:t>
      </w:r>
      <w:r>
        <w:t>% ročních výdajů na cíle ochrany biodiverzity v roce 2024, a 10 % v roce 2026 a 2027;</w:t>
      </w:r>
    </w:p>
    <w:p w14:paraId="1BCE7D98" w14:textId="2EA35666" w:rsidR="00602DCA" w:rsidRDefault="00C5530C" w:rsidP="00A32A7E">
      <w:pPr>
        <w:pStyle w:val="Odstavecseseznamem"/>
        <w:numPr>
          <w:ilvl w:val="0"/>
          <w:numId w:val="8"/>
        </w:numPr>
      </w:pPr>
      <w:r>
        <w:t xml:space="preserve">Uplatňování zásady „významně nepoškozovat“, aby bylo zajištěno, že </w:t>
      </w:r>
      <w:r w:rsidR="004B08DF">
        <w:t>finanční prostředky</w:t>
      </w:r>
      <w:r>
        <w:t xml:space="preserve"> vynaložené v rámci rozpočtu EU nebudou bránit v dosahování jejích cílů v oblasti ochrany klimatu a životního prostředí.</w:t>
      </w:r>
    </w:p>
    <w:p w14:paraId="5BB4EE2F" w14:textId="06DEA2B6" w:rsidR="00602DCA" w:rsidRDefault="00C5530C">
      <w:r>
        <w:t>Více informací ohledně celkové struktury a nástrojů propsání politik ochrany klimatu a životního prostředí je rozvedeno v dokumentu „</w:t>
      </w:r>
      <w:proofErr w:type="spellStart"/>
      <w:r>
        <w:t>Climate</w:t>
      </w:r>
      <w:proofErr w:type="spellEnd"/>
      <w:r>
        <w:t xml:space="preserve"> </w:t>
      </w:r>
      <w:proofErr w:type="spellStart"/>
      <w:r>
        <w:t>Mainstreaming</w:t>
      </w:r>
      <w:proofErr w:type="spellEnd"/>
      <w:r>
        <w:t xml:space="preserve"> </w:t>
      </w:r>
      <w:proofErr w:type="spellStart"/>
      <w:r>
        <w:t>Architecture</w:t>
      </w:r>
      <w:proofErr w:type="spellEnd"/>
      <w:r>
        <w:t xml:space="preserve"> in </w:t>
      </w:r>
      <w:proofErr w:type="spellStart"/>
      <w:r>
        <w:t>the</w:t>
      </w:r>
      <w:proofErr w:type="spellEnd"/>
      <w:r>
        <w:t xml:space="preserve"> 2021</w:t>
      </w:r>
      <w:r w:rsidR="004B08DF">
        <w:t>–</w:t>
      </w:r>
      <w:r>
        <w:t xml:space="preserve">2027 </w:t>
      </w:r>
      <w:proofErr w:type="spellStart"/>
      <w:r>
        <w:t>Multiannual</w:t>
      </w:r>
      <w:proofErr w:type="spellEnd"/>
      <w:r>
        <w:t xml:space="preserve"> </w:t>
      </w:r>
      <w:proofErr w:type="spellStart"/>
      <w:r>
        <w:t>Financial</w:t>
      </w:r>
      <w:proofErr w:type="spellEnd"/>
      <w:r>
        <w:t xml:space="preserve"> Framework“.</w:t>
      </w:r>
      <w:r>
        <w:rPr>
          <w:rStyle w:val="Znakapoznpodarou"/>
        </w:rPr>
        <w:footnoteReference w:id="2"/>
      </w:r>
      <w:r>
        <w:t xml:space="preserve"> Celkový přehled zohlednění horizontálních cílů EU v rámci evropského rozpočtu</w:t>
      </w:r>
      <w:r>
        <w:rPr>
          <w:rStyle w:val="Znakapoznpodarou"/>
        </w:rPr>
        <w:footnoteReference w:id="3"/>
      </w:r>
      <w:r>
        <w:t xml:space="preserve"> a zejm. k problematice DNSH zásadních cílů v oblasti ochrany biodiverzity</w:t>
      </w:r>
      <w:r>
        <w:rPr>
          <w:rStyle w:val="Znakapoznpodarou"/>
        </w:rPr>
        <w:footnoteReference w:id="4"/>
      </w:r>
      <w:r>
        <w:t xml:space="preserve"> je dostupný na stránkách Evropské komise.</w:t>
      </w:r>
      <w:r w:rsidR="00FB1D17">
        <w:t xml:space="preserve"> Konkrétní návrhy Víceletého finančního rámce pro období 2028–2034 se očekávají v průběhu roku 2025.</w:t>
      </w:r>
    </w:p>
    <w:p w14:paraId="4722633B" w14:textId="77777777" w:rsidR="00602DCA" w:rsidRDefault="00602DCA"/>
    <w:p w14:paraId="0D45A654" w14:textId="77777777" w:rsidR="00602DCA" w:rsidRDefault="00C5530C">
      <w:pPr>
        <w:pStyle w:val="Nadpis2"/>
      </w:pPr>
      <w:bookmarkStart w:id="23" w:name="_Toc116428039"/>
      <w:bookmarkStart w:id="24" w:name="_Toc210046018"/>
      <w:r>
        <w:t>Kontext zásady „významně nepoškozovat“ (životní prostředí</w:t>
      </w:r>
      <w:bookmarkEnd w:id="23"/>
      <w:r>
        <w:t>)</w:t>
      </w:r>
      <w:bookmarkEnd w:id="24"/>
    </w:p>
    <w:p w14:paraId="440A9A77" w14:textId="0A8F8B51" w:rsidR="00602DCA" w:rsidRDefault="00C5530C">
      <w:r>
        <w:t xml:space="preserve">Zásada „významně nepoškozovat“ (životního prostředí) („Do No </w:t>
      </w:r>
      <w:proofErr w:type="spellStart"/>
      <w:r>
        <w:t>Significant</w:t>
      </w:r>
      <w:proofErr w:type="spellEnd"/>
      <w:r>
        <w:t xml:space="preserve"> </w:t>
      </w:r>
      <w:proofErr w:type="spellStart"/>
      <w:r>
        <w:t>Harm</w:t>
      </w:r>
      <w:proofErr w:type="spellEnd"/>
      <w:r>
        <w:t>“; dále jen „DNSH“) je ukotven</w:t>
      </w:r>
      <w:r w:rsidR="0088197F">
        <w:t>a</w:t>
      </w:r>
      <w:r>
        <w:t xml:space="preserve"> ve sdělení </w:t>
      </w:r>
      <w:proofErr w:type="gramStart"/>
      <w:r>
        <w:t>Zelená</w:t>
      </w:r>
      <w:proofErr w:type="gramEnd"/>
      <w:r>
        <w:t xml:space="preserve"> dohoda pro Evropu (</w:t>
      </w:r>
      <w:proofErr w:type="spellStart"/>
      <w:r>
        <w:t>European</w:t>
      </w:r>
      <w:proofErr w:type="spellEnd"/>
      <w:r>
        <w:t xml:space="preserve"> Green </w:t>
      </w:r>
      <w:proofErr w:type="spellStart"/>
      <w:r>
        <w:t>Deal</w:t>
      </w:r>
      <w:proofErr w:type="spellEnd"/>
      <w:r>
        <w:t xml:space="preserve">) v podobě „do no </w:t>
      </w:r>
      <w:proofErr w:type="spellStart"/>
      <w:r>
        <w:t>harm</w:t>
      </w:r>
      <w:proofErr w:type="spellEnd"/>
      <w:r>
        <w:t xml:space="preserve">“ či „green </w:t>
      </w:r>
      <w:proofErr w:type="spellStart"/>
      <w:r>
        <w:t>oath</w:t>
      </w:r>
      <w:proofErr w:type="spellEnd"/>
      <w:r>
        <w:t>“ a dále viz řada další legislativy. V praxi by měl</w:t>
      </w:r>
      <w:r w:rsidR="0088197F">
        <w:t>a</w:t>
      </w:r>
      <w:r>
        <w:t xml:space="preserve"> směřovat k neposkytování environmentálně škodlivých dotací či jiné veřejné podpory, k čemuž se Evropská komise zavázala napříč EU financováním.</w:t>
      </w:r>
    </w:p>
    <w:p w14:paraId="65D498AD" w14:textId="77777777" w:rsidR="00602DCA" w:rsidRDefault="00C5530C">
      <w:r>
        <w:lastRenderedPageBreak/>
        <w:t xml:space="preserve">Byť je splnění zásady DNSH v řadě oblastí založeno na plnění požadavků EU legislativy, DNSH může jít nad rámec legislativy – vychází z předpokladu, že legislativní rámec je minimálním standardem, ale z pohledu nových investic a podpory z veřejných rozpočtů by měly být prostředky vynakládány účelně. DNSH tak předpokládá, že by měl být automaticky využit dostupný vyšší standard ochrany životního prostředí, resp. aby podporované projekty byly provedeny takovým způsobem, který nebude v budoucnu představovat vyšší environmentální zátěž a s tím spojené náklady, a zároveň způsobem, kdy investice budou </w:t>
      </w:r>
      <w:proofErr w:type="spellStart"/>
      <w:r>
        <w:t>resilientní</w:t>
      </w:r>
      <w:proofErr w:type="spellEnd"/>
      <w:r>
        <w:t xml:space="preserve"> vůči environmentálním rizikům.</w:t>
      </w:r>
    </w:p>
    <w:p w14:paraId="0C34276C" w14:textId="430030E1" w:rsidR="00066606" w:rsidRDefault="00066606">
      <w:r w:rsidRPr="000F5C0D">
        <w:t>Zásada DNSH tak, jak je dnes využívána v rámci EU, byla původně ukotvena v rámci EU pro udržitelné finance, zejména v taxonomii EU pro udržitelné hospodářské činnosti. Nařízení o taxonomii stanovuje šest environmentálních cílů a právně definuje, v jakých případech se má za to, že daná hospodářská činnost významně poškozuje jakýkoliv z těchto cílů. Způsob integrace tohoto principu do dalších nástrojů politik EU analyzuje studie JRC „Provádění zásady Významně nepoškozovat ve vybraných nástrojích EU – Komparativní analýza“.</w:t>
      </w:r>
      <w:r w:rsidRPr="000F5C0D">
        <w:rPr>
          <w:rStyle w:val="Znakapoznpodarou"/>
        </w:rPr>
        <w:footnoteReference w:id="5"/>
      </w:r>
      <w:r>
        <w:t xml:space="preserve"> </w:t>
      </w:r>
    </w:p>
    <w:p w14:paraId="27F20FB2" w14:textId="0AB3D08B" w:rsidR="00602DCA" w:rsidRDefault="00C5530C">
      <w:r>
        <w:t>Ve většině dokumentů/právních rámcích slouží pro operacionalizaci této zásady odkaz na čl. 17 nařízení Evropského parlamentu a Rady (EU) 2020/852 ze dne 18. června 2020 o zřízení rámce pro usnadnění udržitelných investic a o změně nařízení (EU) 2019/2088</w:t>
      </w:r>
      <w:r>
        <w:rPr>
          <w:rStyle w:val="Znakapoznpodarou"/>
        </w:rPr>
        <w:footnoteReference w:id="6"/>
      </w:r>
      <w:r>
        <w:t xml:space="preserve"> (dále jako „nařízení o taxonomii“), který uvádí:</w:t>
      </w:r>
    </w:p>
    <w:p w14:paraId="0C50FA41" w14:textId="77777777" w:rsidR="00602DCA" w:rsidRDefault="00C5530C">
      <w:pPr>
        <w:spacing w:line="240" w:lineRule="auto"/>
        <w:jc w:val="center"/>
        <w:rPr>
          <w:i/>
          <w:u w:val="single"/>
        </w:rPr>
      </w:pPr>
      <w:r>
        <w:rPr>
          <w:i/>
          <w:u w:val="single"/>
        </w:rPr>
        <w:t>Článek 17</w:t>
      </w:r>
    </w:p>
    <w:p w14:paraId="199D5A3F" w14:textId="77777777" w:rsidR="00602DCA" w:rsidRDefault="00C5530C">
      <w:pPr>
        <w:spacing w:line="240" w:lineRule="auto"/>
        <w:jc w:val="center"/>
        <w:rPr>
          <w:i/>
          <w:u w:val="single"/>
        </w:rPr>
      </w:pPr>
      <w:r>
        <w:rPr>
          <w:i/>
          <w:u w:val="single"/>
        </w:rPr>
        <w:t>Významné poškozování environmentálních cílů</w:t>
      </w:r>
    </w:p>
    <w:p w14:paraId="449BD311" w14:textId="77777777" w:rsidR="00602DCA" w:rsidRDefault="00C5530C">
      <w:pPr>
        <w:spacing w:line="240" w:lineRule="auto"/>
        <w:rPr>
          <w:i/>
        </w:rPr>
      </w:pPr>
      <w:r>
        <w:rPr>
          <w:i/>
        </w:rPr>
        <w:t>1. Pro účely čl. 3 písm. b) se při zohlednění životního cyklu výrobků a služeb poskytovaných v rámci hospodářské činnosti, včetně důkazů vyplývajících ze stávajících posouzení životního cyklu, hospodářská činnost považuje za činnost, která významně poškozuje:</w:t>
      </w:r>
    </w:p>
    <w:p w14:paraId="28FD0526" w14:textId="77777777" w:rsidR="00602DCA" w:rsidRDefault="00C5530C">
      <w:pPr>
        <w:spacing w:line="240" w:lineRule="auto"/>
        <w:ind w:left="708"/>
        <w:rPr>
          <w:i/>
        </w:rPr>
      </w:pPr>
      <w:r>
        <w:rPr>
          <w:i/>
        </w:rPr>
        <w:t>a) zmírňování změny klimatu, pokud tato činnost vede ke značným emisím skleníkových plynů;</w:t>
      </w:r>
    </w:p>
    <w:p w14:paraId="0DBB51B5" w14:textId="77777777" w:rsidR="00602DCA" w:rsidRDefault="00C5530C">
      <w:pPr>
        <w:spacing w:line="240" w:lineRule="auto"/>
        <w:ind w:left="708"/>
        <w:rPr>
          <w:i/>
        </w:rPr>
      </w:pPr>
      <w:r>
        <w:rPr>
          <w:i/>
        </w:rPr>
        <w:t>b) přizpůsobování se změně klimatu, pokud tato činnost vede k nárůstu nepříznivého dopadu stávajícího a očekávaného budoucího klimatu na tuto činnost samotnou nebo na osoby, přírodu nebo aktiva;</w:t>
      </w:r>
    </w:p>
    <w:p w14:paraId="663A4A7E" w14:textId="77777777" w:rsidR="00602DCA" w:rsidRDefault="00C5530C">
      <w:pPr>
        <w:spacing w:line="240" w:lineRule="auto"/>
        <w:ind w:left="708"/>
        <w:rPr>
          <w:i/>
        </w:rPr>
      </w:pPr>
      <w:r>
        <w:rPr>
          <w:i/>
        </w:rPr>
        <w:t>c) udržitelné využívání a ochranu vodních a mořských zdrojů, pokud tato činnost poškozuje:</w:t>
      </w:r>
    </w:p>
    <w:p w14:paraId="6548B763" w14:textId="77777777" w:rsidR="00602DCA" w:rsidRDefault="00C5530C">
      <w:pPr>
        <w:spacing w:line="240" w:lineRule="auto"/>
        <w:ind w:left="1416"/>
        <w:rPr>
          <w:i/>
        </w:rPr>
      </w:pPr>
      <w:r>
        <w:rPr>
          <w:i/>
        </w:rPr>
        <w:t>i) dobrý stav nebo dobrý ekologický potenciál vodních útvarů, včetně povrchových a podzemních vod, nebo</w:t>
      </w:r>
    </w:p>
    <w:p w14:paraId="31B03538" w14:textId="77777777" w:rsidR="00602DCA" w:rsidRDefault="00C5530C">
      <w:pPr>
        <w:spacing w:line="240" w:lineRule="auto"/>
        <w:ind w:left="1416"/>
        <w:rPr>
          <w:i/>
        </w:rPr>
      </w:pPr>
      <w:proofErr w:type="spellStart"/>
      <w:r>
        <w:rPr>
          <w:i/>
        </w:rPr>
        <w:t>ii</w:t>
      </w:r>
      <w:proofErr w:type="spellEnd"/>
      <w:r>
        <w:rPr>
          <w:i/>
        </w:rPr>
        <w:t>) dobrý stav prostředí mořských vod;</w:t>
      </w:r>
    </w:p>
    <w:p w14:paraId="4FF68088" w14:textId="77777777" w:rsidR="00602DCA" w:rsidRDefault="00C5530C">
      <w:pPr>
        <w:spacing w:line="240" w:lineRule="auto"/>
        <w:ind w:left="708"/>
        <w:rPr>
          <w:i/>
        </w:rPr>
      </w:pPr>
      <w:r>
        <w:rPr>
          <w:i/>
        </w:rPr>
        <w:t>d) oběhové hospodářství včetně předcházení vzniku odpadů a recyklace, pokud:</w:t>
      </w:r>
    </w:p>
    <w:p w14:paraId="3EADBD6B" w14:textId="77777777" w:rsidR="00602DCA" w:rsidRDefault="00C5530C">
      <w:pPr>
        <w:spacing w:line="240" w:lineRule="auto"/>
        <w:ind w:left="1416"/>
        <w:rPr>
          <w:i/>
        </w:rPr>
      </w:pPr>
      <w:r>
        <w:rPr>
          <w:i/>
        </w:rPr>
        <w:t xml:space="preserve">i) tato činnost vede k významné nehospodárnosti v používání materiálů nebo v přímém nebo nepřímém využívání přírodních zdrojů, jako jsou neobnovitelné zdroje energie, suroviny, voda a krajina, v jedné nebo více fázích životního cyklu </w:t>
      </w:r>
      <w:r>
        <w:rPr>
          <w:i/>
        </w:rPr>
        <w:lastRenderedPageBreak/>
        <w:t xml:space="preserve">výrobků, mimo jiné i z hlediska trvanlivosti, opravitelnosti, </w:t>
      </w:r>
      <w:proofErr w:type="spellStart"/>
      <w:r>
        <w:rPr>
          <w:i/>
        </w:rPr>
        <w:t>modernizovatelnosti</w:t>
      </w:r>
      <w:proofErr w:type="spellEnd"/>
      <w:r>
        <w:rPr>
          <w:i/>
        </w:rPr>
        <w:t>, opětovné použitelnosti či recyklovatelnosti výrobků;</w:t>
      </w:r>
    </w:p>
    <w:p w14:paraId="2A488DCF" w14:textId="77777777" w:rsidR="00602DCA" w:rsidRDefault="00C5530C">
      <w:pPr>
        <w:spacing w:line="240" w:lineRule="auto"/>
        <w:ind w:left="1416"/>
        <w:rPr>
          <w:i/>
        </w:rPr>
      </w:pPr>
      <w:proofErr w:type="spellStart"/>
      <w:r>
        <w:rPr>
          <w:i/>
        </w:rPr>
        <w:t>ii</w:t>
      </w:r>
      <w:proofErr w:type="spellEnd"/>
      <w:r>
        <w:rPr>
          <w:i/>
        </w:rPr>
        <w:t>) tato činnost vede k významnému zvýšení vzniku, spalování nebo odstraňování odpadu, s výjimkou spalování nerecyklovatelného nebezpečného odpadu, nebo</w:t>
      </w:r>
    </w:p>
    <w:p w14:paraId="3C75132B" w14:textId="77777777" w:rsidR="00602DCA" w:rsidRDefault="00C5530C">
      <w:pPr>
        <w:spacing w:line="240" w:lineRule="auto"/>
        <w:ind w:left="1416"/>
        <w:rPr>
          <w:i/>
        </w:rPr>
      </w:pPr>
      <w:proofErr w:type="spellStart"/>
      <w:r>
        <w:rPr>
          <w:i/>
        </w:rPr>
        <w:t>iii</w:t>
      </w:r>
      <w:proofErr w:type="spellEnd"/>
      <w:r>
        <w:rPr>
          <w:i/>
        </w:rPr>
        <w:t>) může dlouhodobé odstraňování odpadu způsobit významné a dlouhodobé škody na životním prostředí;</w:t>
      </w:r>
    </w:p>
    <w:p w14:paraId="726D31B5" w14:textId="77777777" w:rsidR="00602DCA" w:rsidRDefault="00C5530C">
      <w:pPr>
        <w:spacing w:line="240" w:lineRule="auto"/>
        <w:ind w:left="708"/>
        <w:rPr>
          <w:i/>
        </w:rPr>
      </w:pPr>
      <w:r>
        <w:rPr>
          <w:i/>
        </w:rPr>
        <w:t>e) prevenci a omezování znečištění, pokud tato činnost vede k významnému zvýšení emisí znečišťujících látek do ovzduší, vody nebo krajiny ve srovnání se situací před zahájením této činnosti; nebo</w:t>
      </w:r>
    </w:p>
    <w:p w14:paraId="6218EBD5" w14:textId="77777777" w:rsidR="00602DCA" w:rsidRDefault="00C5530C">
      <w:pPr>
        <w:spacing w:line="240" w:lineRule="auto"/>
        <w:ind w:left="708"/>
        <w:rPr>
          <w:i/>
        </w:rPr>
      </w:pPr>
      <w:r>
        <w:rPr>
          <w:i/>
        </w:rPr>
        <w:t>f) ochranu a obnovu biologické rozmanitosti a ekosystémů, pokud tato činnost:</w:t>
      </w:r>
    </w:p>
    <w:p w14:paraId="711C269D" w14:textId="77777777" w:rsidR="00602DCA" w:rsidRDefault="00C5530C">
      <w:pPr>
        <w:spacing w:line="240" w:lineRule="auto"/>
        <w:ind w:left="1416"/>
        <w:rPr>
          <w:i/>
        </w:rPr>
      </w:pPr>
      <w:r>
        <w:rPr>
          <w:i/>
        </w:rPr>
        <w:t>i) ve významné míře poškozuje dobrý stav a odolnost ekosystémů nebo</w:t>
      </w:r>
    </w:p>
    <w:p w14:paraId="600245E0" w14:textId="77777777" w:rsidR="00602DCA" w:rsidRDefault="00C5530C">
      <w:pPr>
        <w:spacing w:line="240" w:lineRule="auto"/>
        <w:ind w:left="1416"/>
        <w:rPr>
          <w:i/>
        </w:rPr>
      </w:pPr>
      <w:proofErr w:type="spellStart"/>
      <w:r>
        <w:rPr>
          <w:i/>
        </w:rPr>
        <w:t>ii</w:t>
      </w:r>
      <w:proofErr w:type="spellEnd"/>
      <w:r>
        <w:rPr>
          <w:i/>
        </w:rPr>
        <w:t>) pokud tato činnost poškozuje stav stanovišť a druhů, včetně stanovišť a druhů v zájmu Unie, z hlediska jejich ochrany.</w:t>
      </w:r>
    </w:p>
    <w:p w14:paraId="523F917E" w14:textId="77777777" w:rsidR="00602DCA" w:rsidRDefault="00C5530C">
      <w:pPr>
        <w:spacing w:line="240" w:lineRule="auto"/>
        <w:rPr>
          <w:i/>
        </w:rPr>
      </w:pPr>
      <w:r>
        <w:rPr>
          <w:i/>
        </w:rPr>
        <w:t>2. Při posuzování hospodářské činnosti podle kritérií uvedených v odstavci 1 se vezmou v úvahu environmentální dopady činnosti samotné, jakož i environmentální dopady výrobků a služeb poskytovaných v rámci této činnosti během celého jejich životního cyklu, a to zejména zohledněním výroby, používání a skončení životnosti těchto výrobků a služeb.</w:t>
      </w:r>
    </w:p>
    <w:p w14:paraId="6BBD76EC" w14:textId="77777777" w:rsidR="00602DCA" w:rsidRDefault="00602DCA">
      <w:pPr>
        <w:spacing w:line="240" w:lineRule="auto"/>
        <w:rPr>
          <w:i/>
        </w:rPr>
      </w:pPr>
    </w:p>
    <w:p w14:paraId="5E882801" w14:textId="77777777" w:rsidR="00602DCA" w:rsidRDefault="00C5530C">
      <w:pPr>
        <w:pStyle w:val="Nadpis2"/>
      </w:pPr>
      <w:bookmarkStart w:id="25" w:name="_Kontext_taxonomie_EU"/>
      <w:bookmarkStart w:id="26" w:name="_Toc116428040"/>
      <w:bookmarkStart w:id="27" w:name="_Toc210046019"/>
      <w:bookmarkEnd w:id="25"/>
      <w:r>
        <w:t>Kontext taxonomie EU pro udržitelné investice</w:t>
      </w:r>
      <w:bookmarkEnd w:id="26"/>
      <w:bookmarkEnd w:id="27"/>
    </w:p>
    <w:p w14:paraId="28739A56" w14:textId="58649E97" w:rsidR="00602DCA" w:rsidRDefault="00C5530C">
      <w:pPr>
        <w:spacing w:line="240" w:lineRule="auto"/>
      </w:pPr>
      <w:r>
        <w:t xml:space="preserve">Nařízení o taxonomii představuje rámec pro tvorbu konkrétních technických screeningových kritérií, která představují podmínky, za kterých lze považovat hospodářskou činnost a investice za environmentálně udržitelnou, (tzv. technická screeningová kritéria jsou vydávávána v podobě delegovaných aktů). </w:t>
      </w:r>
      <w:r w:rsidR="009126CE" w:rsidRPr="009126CE">
        <w:t>Taxonomie je závazná pro označování zelených investic na finančních trzích a vybrané podniky, které mají povinnost uvádět nefinanční informace podle účetní směrnice 2013/34/EU v platném znění, a dále členské státy, které nastavují schémata podpory nebo vydávají známky pro zelené finanční produkty.</w:t>
      </w:r>
    </w:p>
    <w:p w14:paraId="75F4A543" w14:textId="77777777" w:rsidR="00602DCA" w:rsidRDefault="00C5530C">
      <w:pPr>
        <w:spacing w:line="240" w:lineRule="auto"/>
        <w:rPr>
          <w:b/>
        </w:rPr>
      </w:pPr>
      <w:r>
        <w:rPr>
          <w:b/>
        </w:rPr>
        <w:t>Působnost taxonomie jako takové ale nezahrnuje veřejnou podporu, působnost je vymezena v nařízení 852/2020 o taxonomii v čl. 1. V legislativě EU fondů / EU rozpočtu je využíván pouze koncept zásady DNSH v odkazu (ve smyslu) na čl. 17 nařízení o taxonomii (viz následující kapitola):</w:t>
      </w:r>
    </w:p>
    <w:p w14:paraId="4574FB3E" w14:textId="77777777" w:rsidR="00602DCA" w:rsidRDefault="00C5530C">
      <w:pPr>
        <w:spacing w:line="240" w:lineRule="auto"/>
        <w:rPr>
          <w:i/>
        </w:rPr>
      </w:pPr>
      <w:r>
        <w:rPr>
          <w:i/>
        </w:rPr>
        <w:t>Článek 1</w:t>
      </w:r>
    </w:p>
    <w:p w14:paraId="33D755C3" w14:textId="77777777" w:rsidR="00602DCA" w:rsidRDefault="00C5530C">
      <w:pPr>
        <w:spacing w:line="240" w:lineRule="auto"/>
        <w:rPr>
          <w:i/>
        </w:rPr>
      </w:pPr>
      <w:r>
        <w:rPr>
          <w:i/>
        </w:rPr>
        <w:t>Předmět a oblast působnosti</w:t>
      </w:r>
    </w:p>
    <w:p w14:paraId="6701E451" w14:textId="77777777" w:rsidR="00602DCA" w:rsidRDefault="00C5530C">
      <w:pPr>
        <w:spacing w:line="240" w:lineRule="auto"/>
        <w:rPr>
          <w:i/>
        </w:rPr>
      </w:pPr>
      <w:r>
        <w:rPr>
          <w:i/>
        </w:rPr>
        <w:t>1. Toto nařízení stanoví kritéria pro určení toho, zda se hospodářská činnost kvalifikuje jako environmentálně udržitelná, a to pro účely stanovení míry, do jaké je investice environmentálně udržitelná.</w:t>
      </w:r>
    </w:p>
    <w:p w14:paraId="4EA0E665" w14:textId="77777777" w:rsidR="00602DCA" w:rsidRDefault="00C5530C">
      <w:pPr>
        <w:keepNext/>
        <w:spacing w:line="240" w:lineRule="auto"/>
        <w:rPr>
          <w:i/>
        </w:rPr>
      </w:pPr>
      <w:r>
        <w:rPr>
          <w:i/>
        </w:rPr>
        <w:t>2. Toto nařízení se vztahuje na:</w:t>
      </w:r>
    </w:p>
    <w:p w14:paraId="0DB38AE9" w14:textId="77777777" w:rsidR="00602DCA" w:rsidRDefault="00C5530C">
      <w:pPr>
        <w:spacing w:line="240" w:lineRule="auto"/>
        <w:rPr>
          <w:i/>
        </w:rPr>
      </w:pPr>
      <w:r>
        <w:rPr>
          <w:i/>
        </w:rPr>
        <w:t>a) opatření přijatá členskými státy nebo Unií, kterými se stanovují požadavky na účastníky finančního trhu nebo emitenty v souvislosti s finančními produkty nebo podnikovými dluhopisy, které jsou na trhu poskytovány jako environmentálně udržitelné;</w:t>
      </w:r>
    </w:p>
    <w:p w14:paraId="3BE4B46F" w14:textId="77777777" w:rsidR="00602DCA" w:rsidRDefault="00C5530C">
      <w:pPr>
        <w:spacing w:line="240" w:lineRule="auto"/>
        <w:rPr>
          <w:i/>
        </w:rPr>
      </w:pPr>
      <w:r>
        <w:rPr>
          <w:i/>
        </w:rPr>
        <w:t>b) účastníky finančního trhu poskytující finanční produkty;</w:t>
      </w:r>
    </w:p>
    <w:p w14:paraId="7D7EC144" w14:textId="5E8F6F31" w:rsidR="00602DCA" w:rsidRDefault="00C5530C">
      <w:pPr>
        <w:spacing w:line="240" w:lineRule="auto"/>
        <w:rPr>
          <w:b/>
        </w:rPr>
      </w:pPr>
      <w:r>
        <w:rPr>
          <w:i/>
        </w:rPr>
        <w:lastRenderedPageBreak/>
        <w:t xml:space="preserve">c) podniky, na něž se vztahuje povinnost zveřejňovat přehled nefinančních informací nebo konsolidovaný přehled nefinančních informací podle článků </w:t>
      </w:r>
      <w:proofErr w:type="gramStart"/>
      <w:r>
        <w:rPr>
          <w:i/>
        </w:rPr>
        <w:t>19a</w:t>
      </w:r>
      <w:proofErr w:type="gramEnd"/>
      <w:r>
        <w:rPr>
          <w:i/>
        </w:rPr>
        <w:t xml:space="preserve"> nebo 29a směrnice Evropského parlamentu a Rady 2013/34/EU</w:t>
      </w:r>
      <w:r>
        <w:rPr>
          <w:rStyle w:val="Znakapoznpodarou"/>
          <w:i/>
        </w:rPr>
        <w:footnoteReference w:id="7"/>
      </w:r>
      <w:r>
        <w:rPr>
          <w:i/>
        </w:rPr>
        <w:t>.</w:t>
      </w:r>
    </w:p>
    <w:p w14:paraId="02C95494" w14:textId="77777777" w:rsidR="00602DCA" w:rsidRDefault="00C5530C">
      <w:pPr>
        <w:spacing w:line="240" w:lineRule="auto"/>
        <w:rPr>
          <w:b/>
        </w:rPr>
      </w:pPr>
      <w:r>
        <w:rPr>
          <w:b/>
        </w:rPr>
        <w:t xml:space="preserve">V obecném nařízení k EU fondům (dále jen CPR) a v nařízeních k FST, EFRR a Fond soudržnosti je </w:t>
      </w:r>
      <w:r>
        <w:rPr>
          <w:b/>
          <w:bCs/>
        </w:rPr>
        <w:t>v recitálech</w:t>
      </w:r>
      <w:r>
        <w:rPr>
          <w:b/>
        </w:rPr>
        <w:t xml:space="preserve"> požadavek, </w:t>
      </w:r>
      <w:r>
        <w:rPr>
          <w:b/>
          <w:bCs/>
        </w:rPr>
        <w:t>aby podpory respektovaly</w:t>
      </w:r>
      <w:r>
        <w:rPr>
          <w:b/>
        </w:rPr>
        <w:t xml:space="preserve"> zásadu „</w:t>
      </w:r>
      <w:r>
        <w:rPr>
          <w:b/>
          <w:i/>
          <w:iCs/>
        </w:rPr>
        <w:t xml:space="preserve">do no </w:t>
      </w:r>
      <w:proofErr w:type="spellStart"/>
      <w:r>
        <w:rPr>
          <w:b/>
          <w:i/>
          <w:iCs/>
        </w:rPr>
        <w:t>significant</w:t>
      </w:r>
      <w:proofErr w:type="spellEnd"/>
      <w:r>
        <w:rPr>
          <w:b/>
          <w:i/>
          <w:iCs/>
        </w:rPr>
        <w:t xml:space="preserve"> </w:t>
      </w:r>
      <w:proofErr w:type="spellStart"/>
      <w:r>
        <w:rPr>
          <w:b/>
          <w:i/>
          <w:iCs/>
        </w:rPr>
        <w:t>harm</w:t>
      </w:r>
      <w:proofErr w:type="spellEnd"/>
      <w:r>
        <w:rPr>
          <w:b/>
        </w:rPr>
        <w:t xml:space="preserve">“ </w:t>
      </w:r>
      <w:r>
        <w:rPr>
          <w:b/>
          <w:bCs/>
        </w:rPr>
        <w:t>ve smyslu čl. 17 nařízení o taxonomii pro udržitelné investice</w:t>
      </w:r>
      <w:r>
        <w:rPr>
          <w:b/>
        </w:rPr>
        <w:t>. Tento závazek byl na základě požadavku EK promítnut do Dohody o partnerství 2021–2027 (kap. 2). Pro zásadu DNSH při poskytování dotací nejsou technická screeningová kritéria taxonomie (delegované akty) závazná, ale jsou považována za referenční rámec.</w:t>
      </w:r>
    </w:p>
    <w:p w14:paraId="00BE6373" w14:textId="0E2C2D23" w:rsidR="00602DCA" w:rsidRDefault="00C5530C">
      <w:pPr>
        <w:spacing w:line="240" w:lineRule="auto"/>
        <w:rPr>
          <w:b/>
        </w:rPr>
      </w:pPr>
      <w:r>
        <w:rPr>
          <w:b/>
        </w:rPr>
        <w:t xml:space="preserve">V praxi se však mohou podmínky DNSH lišit nástroj od nástroje – tzn. je možné, že v určitých oblastech budou vyžadovány jiné podmínky mezi taxonomií, politikou soudržnosti, RRF, </w:t>
      </w:r>
      <w:r w:rsidR="00353ADF">
        <w:rPr>
          <w:b/>
        </w:rPr>
        <w:t xml:space="preserve">SCF, </w:t>
      </w:r>
      <w:r>
        <w:rPr>
          <w:b/>
        </w:rPr>
        <w:t xml:space="preserve">Modernizačním fondem a </w:t>
      </w:r>
      <w:proofErr w:type="spellStart"/>
      <w:r>
        <w:rPr>
          <w:b/>
        </w:rPr>
        <w:t>InvestEU</w:t>
      </w:r>
      <w:proofErr w:type="spellEnd"/>
      <w:r>
        <w:rPr>
          <w:b/>
        </w:rPr>
        <w:t>.</w:t>
      </w:r>
    </w:p>
    <w:p w14:paraId="22F9D04E" w14:textId="77777777" w:rsidR="00602DCA" w:rsidRDefault="00C5530C">
      <w:pPr>
        <w:spacing w:line="240" w:lineRule="auto"/>
      </w:pPr>
      <w:r>
        <w:rPr>
          <w:bCs/>
        </w:rPr>
        <w:t>Evropská komise posuzuje při schvalování programů dle čl. 23 bod 1 obecného nařízení soulad s tímto nařízením a nařízeními pro jednotlivé fondy a v případě EFRR, ESF+, Fond soudržnosti a ENRAF rovněž soulad s příslušnou dohodou o partnerství. V CPR čl. 9 Horizontální zásady, bod 4 se pak uvádí, že cíle fondů jsou naplňovány v souladu s cílem podpory udržitelného rozvoje podle ustanovení článku 11 Smlouvy o fungování EU s přihlédnutím k cílům OSN pro udržitelný rozvoj, Pařížské dohodě a zásadou „významně nepoškozovat“.</w:t>
      </w:r>
    </w:p>
    <w:p w14:paraId="64B8FA2C" w14:textId="77777777" w:rsidR="00602DCA" w:rsidRDefault="00C5530C">
      <w:pPr>
        <w:spacing w:line="240" w:lineRule="auto"/>
      </w:pPr>
      <w:r>
        <w:t xml:space="preserve">Práce na přípravě technických screeningových kritérií Taxonomie částečně ovlivnily některé </w:t>
      </w:r>
      <w:r>
        <w:rPr>
          <w:bCs/>
        </w:rPr>
        <w:t>kódy intervence</w:t>
      </w:r>
      <w:r>
        <w:t xml:space="preserve"> (energetické úspory, OZE, vodohospodářská infrastruktura) při návrhu a vyjednávání CPR (příloha 1) a RRF (příloha 6). Plnění případných podmínek u koeficientu pro výpočet podpory na plnění cílů v oblasti změny klimatu je </w:t>
      </w:r>
      <w:r>
        <w:rPr>
          <w:b/>
        </w:rPr>
        <w:t>důležité pro celkový příspěvek na klima,</w:t>
      </w:r>
      <w:r>
        <w:t xml:space="preserve"> který má být dosažen v rámci rozpočtu EU jako celku, ale i dle příslušných legislativ v případě konkrétních EU fondů. Obdobně je tomu v případě koeficientu pro výpočet podpory na plnění environmentálních cílů. </w:t>
      </w:r>
      <w:r>
        <w:rPr>
          <w:b/>
        </w:rPr>
        <w:t>Koeficient pro výpočet podpory na plnění cílů v oblasti změny klimatu a koeficient pro výpočet podpory na plnění environmentálních cílů je automaticky spojen s kódem oblasti intervence dle přílohy 1 CPR nebo přílohy 6 RRF a je samostatným nástrojem – nezávislým na taxonomii, DNSH nebo CP – ale jak je uvedeno níže, v rámci DNSH se s těmito koeficienty pracuje.</w:t>
      </w:r>
    </w:p>
    <w:p w14:paraId="27625FBC" w14:textId="06F80C0D" w:rsidR="00602DCA" w:rsidRDefault="00C5530C">
      <w:pPr>
        <w:spacing w:line="240" w:lineRule="auto"/>
      </w:pPr>
      <w:r>
        <w:t xml:space="preserve">Taxonomie se dále propsala svou filozofií i do revidovaných </w:t>
      </w:r>
      <w:r>
        <w:rPr>
          <w:b/>
          <w:bCs/>
        </w:rPr>
        <w:t>pravidel pro veřejnou podporu, nicméně taxonomie není pro pravidla veřejné podpory závaznou legislativou</w:t>
      </w:r>
      <w:r>
        <w:t>.</w:t>
      </w:r>
      <w:r w:rsidR="00CE1EF5">
        <w:t xml:space="preserve"> V tomto duchu je přehled relevantních ustanovení obsažen v příloze </w:t>
      </w:r>
      <w:hyperlink w:anchor="_Přehled_environmentálních_podmínek" w:history="1">
        <w:r w:rsidR="00CE1EF5" w:rsidRPr="00BF3921">
          <w:rPr>
            <w:rStyle w:val="Hypertextovodkaz"/>
            <w:b/>
            <w:bCs/>
          </w:rPr>
          <w:t>5.</w:t>
        </w:r>
        <w:r w:rsidR="00CA2A8A">
          <w:rPr>
            <w:rStyle w:val="Hypertextovodkaz"/>
            <w:b/>
            <w:bCs/>
          </w:rPr>
          <w:t>6</w:t>
        </w:r>
        <w:r w:rsidR="00CA2A8A" w:rsidRPr="00BF3921">
          <w:rPr>
            <w:rStyle w:val="Hypertextovodkaz"/>
            <w:b/>
            <w:bCs/>
          </w:rPr>
          <w:t xml:space="preserve"> </w:t>
        </w:r>
        <w:r w:rsidR="00CE1EF5" w:rsidRPr="00BF3921">
          <w:rPr>
            <w:rStyle w:val="Hypertextovodkaz"/>
            <w:b/>
            <w:bCs/>
          </w:rPr>
          <w:t>Přehled environmentálních podmínek ukotvených v rámci pravidel veřejné podpory</w:t>
        </w:r>
      </w:hyperlink>
      <w:r w:rsidR="00CE1EF5" w:rsidRPr="00BF3921">
        <w:rPr>
          <w:b/>
          <w:bCs/>
        </w:rPr>
        <w:t xml:space="preserve"> </w:t>
      </w:r>
      <w:r w:rsidR="00CE1EF5">
        <w:t>tohoto dokumentu.</w:t>
      </w:r>
    </w:p>
    <w:p w14:paraId="03FF871E" w14:textId="3FA98C5C" w:rsidR="00602DCA" w:rsidRDefault="00C5530C">
      <w:pPr>
        <w:spacing w:line="240" w:lineRule="auto"/>
      </w:pPr>
      <w:r>
        <w:t xml:space="preserve">Je potřeba mít na paměti, že </w:t>
      </w:r>
      <w:r>
        <w:rPr>
          <w:b/>
          <w:bCs/>
        </w:rPr>
        <w:t>taxonomie byla vytvořena univerzálně</w:t>
      </w:r>
      <w:r>
        <w:t xml:space="preserve"> a je proto možné, že některé požadavky technických screeningových kritérií jsou plněny implicitně, protože to vyžaduje česká / evropská legislativa. Z pohledu zásady DNSH představují technická screeningová kritéria referenční rámec</w:t>
      </w:r>
      <w:r w:rsidR="00822232">
        <w:t>,</w:t>
      </w:r>
      <w:r>
        <w:t xml:space="preserve"> a proto je soulad s legislativou součástí konceptu zásady DNSH – např. v rámci přípravy Národních plánů obnovy (dále jen NPO) bylo nutné, aby bylo splnění těchto podmínek explicitně uvedeno v rámci vyhodnocení DNSH. Důvodem je mimo jiné i financování zdrojů v </w:t>
      </w:r>
      <w:proofErr w:type="spellStart"/>
      <w:r>
        <w:t>Ne</w:t>
      </w:r>
      <w:r w:rsidR="00822232">
        <w:t>x</w:t>
      </w:r>
      <w:r>
        <w:t>tGeneration</w:t>
      </w:r>
      <w:proofErr w:type="spellEnd"/>
      <w:r>
        <w:t xml:space="preserve"> EU skrze vydávání zelených dluhopisů EU na globální finanční trh a s tím spojená nutná dokumentace.</w:t>
      </w:r>
    </w:p>
    <w:p w14:paraId="7CEF38E0" w14:textId="2A26AA83" w:rsidR="00602DCA" w:rsidRDefault="005E4C15">
      <w:pPr>
        <w:spacing w:line="240" w:lineRule="auto"/>
        <w:rPr>
          <w:b/>
        </w:rPr>
      </w:pPr>
      <w:r>
        <w:rPr>
          <w:b/>
        </w:rPr>
        <w:lastRenderedPageBreak/>
        <w:t>T</w:t>
      </w:r>
      <w:r w:rsidR="00C5530C">
        <w:rPr>
          <w:b/>
        </w:rPr>
        <w:t>echnická screeningová kritéria taxonomie pro cíle zmírňování změny klimatu (</w:t>
      </w:r>
      <w:proofErr w:type="spellStart"/>
      <w:r w:rsidR="00C5530C">
        <w:rPr>
          <w:b/>
        </w:rPr>
        <w:t>mitigace</w:t>
      </w:r>
      <w:proofErr w:type="spellEnd"/>
      <w:r w:rsidR="00C5530C">
        <w:rPr>
          <w:b/>
        </w:rPr>
        <w:t>) a přizpůsobování se změně klimatu (adaptace)</w:t>
      </w:r>
      <w:r>
        <w:rPr>
          <w:b/>
        </w:rPr>
        <w:t xml:space="preserve"> a technická screeningová kritéria pro ostatní environmentální cíle, tedy udržitelné využívání a ochrana vodních a mořských zdrojů, přechod na oběhové hospodářství, prevence a omezování znečištění a ochrana a obnova biologické rozmanitosti a ekosystémů (tzv. taxo4)</w:t>
      </w:r>
      <w:r w:rsidR="00CA2A8A">
        <w:rPr>
          <w:b/>
        </w:rPr>
        <w:t xml:space="preserve"> jsou definována následujícími předpisy</w:t>
      </w:r>
      <w:r w:rsidR="00C5530C">
        <w:rPr>
          <w:b/>
        </w:rPr>
        <w:t>:</w:t>
      </w:r>
    </w:p>
    <w:p w14:paraId="0065E550" w14:textId="77777777" w:rsidR="00602DCA" w:rsidRDefault="00C5530C" w:rsidP="00A32A7E">
      <w:pPr>
        <w:pStyle w:val="Odstavecseseznamem"/>
        <w:numPr>
          <w:ilvl w:val="0"/>
          <w:numId w:val="48"/>
        </w:numPr>
        <w:spacing w:line="240" w:lineRule="auto"/>
      </w:pPr>
      <w:r>
        <w:t>Nařízení Komise v přenesené pravomoci (EU) 2021/2139 ze dne 4. června 2021, kterým se doplňuje nařízení Evropského parlamentu a Rady (EU) 2020/852, pokud jde o stanovení technických screeningových kritérií pro určení toho, za jakých podmínek se hospodářská činnost kvalifikuje jako významně přispívající ke zmírňování změny klimatu nebo k přizpůsobování se změně klimatu, a toho, zda tato hospodářská činnost významně nepoškozuje některý z dalších environmentálních cílů,</w:t>
      </w:r>
      <w:r>
        <w:rPr>
          <w:rStyle w:val="Znakapoznpodarou"/>
        </w:rPr>
        <w:footnoteReference w:id="8"/>
      </w:r>
      <w:r>
        <w:t xml:space="preserve"> </w:t>
      </w:r>
    </w:p>
    <w:p w14:paraId="601ACBF5" w14:textId="77777777" w:rsidR="00602DCA" w:rsidRDefault="00C5530C" w:rsidP="00A32A7E">
      <w:pPr>
        <w:pStyle w:val="Odstavecseseznamem"/>
        <w:numPr>
          <w:ilvl w:val="0"/>
          <w:numId w:val="48"/>
        </w:numPr>
        <w:spacing w:line="240" w:lineRule="auto"/>
      </w:pPr>
      <w:r>
        <w:t>Nařízení Komise v přenesené pravomoci (EU) 2022/1214 ze dne 9. března 2022, kterým se mění nařízení v přenesené pravomoci (EU) 2021/2139, pokud jde o hospodářské činnosti v některých odvětvích energetiky, a nařízení v přenesené pravomoci (EU) 2021/2178, pokud jde o specifické zveřejňování informací v souvislosti s těmito hospodářskými činnostmi.</w:t>
      </w:r>
      <w:r>
        <w:rPr>
          <w:rStyle w:val="Znakapoznpodarou"/>
        </w:rPr>
        <w:footnoteReference w:id="9"/>
      </w:r>
    </w:p>
    <w:p w14:paraId="78EE45CE" w14:textId="3009824F" w:rsidR="005E4C15" w:rsidRDefault="005E4C15" w:rsidP="00A32A7E">
      <w:pPr>
        <w:pStyle w:val="Odstavecseseznamem"/>
        <w:numPr>
          <w:ilvl w:val="0"/>
          <w:numId w:val="48"/>
        </w:numPr>
        <w:spacing w:line="240" w:lineRule="auto"/>
      </w:pPr>
      <w:r w:rsidRPr="005E4C15">
        <w:t>Nařízení Komise v přenesené pravomoci (EU) 2023/2485 ze dne 27. června 2023, kterým se mění nařízení v přenesené pravomoci (EU) 2021/2139 stanovující další technická screeningová kritéria pro určení toho, za jakých podmínek se určité hospodářské činnosti kvalifikují jako významně přispívající ke zmírňování změny klimatu nebo k přizpůsobování se změně klimatu, a toho, zda tyto hospodářské činnosti významně nepoškozují některý z dalších environmentálních cílů</w:t>
      </w:r>
      <w:r>
        <w:t>.</w:t>
      </w:r>
      <w:r>
        <w:rPr>
          <w:rStyle w:val="Znakapoznpodarou"/>
        </w:rPr>
        <w:footnoteReference w:id="10"/>
      </w:r>
    </w:p>
    <w:p w14:paraId="261AF623" w14:textId="10B67F47" w:rsidR="005E4C15" w:rsidRDefault="005E4C15" w:rsidP="00A32A7E">
      <w:pPr>
        <w:pStyle w:val="Odstavecseseznamem"/>
        <w:numPr>
          <w:ilvl w:val="0"/>
          <w:numId w:val="48"/>
        </w:numPr>
        <w:spacing w:line="240" w:lineRule="auto"/>
      </w:pPr>
      <w:r w:rsidRPr="005E4C15">
        <w:t>Nařízení Komise v přenesené pravomoci (EU) 2023/2486 ze dne 27. června 2023, kterým se doplňuje nařízení Evropského parlamentu a Rady (EU) 2020/852 stanovením technických screeningových kritérií pro určení toho, za jakých podmínek se hospodářská činnost kvalifikuje jako významně přispívající k udržitelnému využívání a ochraně vodních a mořských zdrojů, k přechodu na oběhové hospodářství, k prevenci a omezování znečištění nebo k ochraně a obnově biologické rozmanitosti a ekosystémů, a toho, zda tato hospodářská činnost významně nepoškozuje některý z dalších environmentálních cílů, a kterým se mění nařízení Komise v přenesené pravomoci (EU) 2021/2178, pokud jde o specifické zveřejňování informací v souvislosti s těmito hospodářskými činnostmi</w:t>
      </w:r>
      <w:r>
        <w:t>.</w:t>
      </w:r>
      <w:r>
        <w:rPr>
          <w:rStyle w:val="Znakapoznpodarou"/>
        </w:rPr>
        <w:footnoteReference w:id="11"/>
      </w:r>
    </w:p>
    <w:p w14:paraId="5E236587" w14:textId="3D293FD0" w:rsidR="00602DCA" w:rsidRDefault="000202EA" w:rsidP="006A45B6">
      <w:pPr>
        <w:pStyle w:val="Nadpis3"/>
      </w:pPr>
      <w:r>
        <w:t>Vztah DNSH v EU fondech vůči technickým screeningovým kritériím DNSH taxonomie EU pro udržitelné investice</w:t>
      </w:r>
      <w:r>
        <w:rPr>
          <w:rStyle w:val="Znakapoznpodarou"/>
        </w:rPr>
        <w:footnoteReference w:id="12"/>
      </w:r>
    </w:p>
    <w:p w14:paraId="6EEDF1F2" w14:textId="0ADB994B" w:rsidR="000202EA" w:rsidRDefault="000202EA" w:rsidP="000202EA">
      <w:bookmarkStart w:id="28" w:name="_Toc116428041"/>
      <w:r w:rsidRPr="006A45B6">
        <w:rPr>
          <w:b/>
          <w:bCs/>
        </w:rPr>
        <w:t>Princip DNSH byl začleněn ze soukromých finančních nástrojů do nástrojů veřejného financování, ale účely těchto dvou kategorií nástrojů se v současnosti liší.</w:t>
      </w:r>
      <w:r>
        <w:rPr>
          <w:b/>
          <w:bCs/>
        </w:rPr>
        <w:t xml:space="preserve"> </w:t>
      </w:r>
      <w:r>
        <w:t xml:space="preserve">Právní základ </w:t>
      </w:r>
      <w:r>
        <w:lastRenderedPageBreak/>
        <w:t>pro určení, zda je třeba mít za to, že činnost významně poškozuje každý ze šesti environmentálních cílů, byl poprvé stanoven v článku 17 nařízení o taxonomii. Avšak (s odkazem na článek 17 nařízení o taxonomii) se původní zdůvodnění a účel principu DNSH za soukromými a veřejnými nástroji v současnosti výrazně liší.</w:t>
      </w:r>
      <w:r w:rsidR="009126CE">
        <w:rPr>
          <w:rStyle w:val="Znakapoznpodarou"/>
        </w:rPr>
        <w:footnoteReference w:id="13"/>
      </w:r>
    </w:p>
    <w:p w14:paraId="3967C487" w14:textId="56598E6A" w:rsidR="000202EA" w:rsidRDefault="000202EA" w:rsidP="000202EA">
      <w:r>
        <w:t>Taxonomie EU byla vytvořena s cílem pomoci hospodářským subjektům získat finanční prostředky pro jejich environmentálně udržitelné činnosti. Podniky spadající do oblasti působnosti nařízení o taxonomii mají povinnost zveřejňovat informace o míře způsobilosti a souladu svých ekonomických činností s kritérii technické kontroly taxonomie, která zahrnují požadavky DNSH. Nevyžaduje se však, aby dosáhly nějaké konkrétní míry souladu s taxonomií EU. Účel principu DNSH v taxonomii EU tedy souvisí se základní otázkou, které ekonomické aktivity mohou tvrdit, že jsou environmentálně udržitelné? Důvodem je poskytovat informace a transparentnost o environmentální výkonnosti ekonomických činností s cílem usnadnit rozhodování finančních subjektů.</w:t>
      </w:r>
    </w:p>
    <w:p w14:paraId="49E9108D" w14:textId="2724EFFB" w:rsidR="0013010E" w:rsidRPr="006A45B6" w:rsidRDefault="000202EA" w:rsidP="000202EA">
      <w:pPr>
        <w:rPr>
          <w:b/>
          <w:bCs/>
        </w:rPr>
      </w:pPr>
      <w:r>
        <w:t xml:space="preserve">Naopak </w:t>
      </w:r>
      <w:r w:rsidR="0013010E">
        <w:t xml:space="preserve">cílem </w:t>
      </w:r>
      <w:r>
        <w:t>nástroj</w:t>
      </w:r>
      <w:r w:rsidR="0013010E">
        <w:t>ů</w:t>
      </w:r>
      <w:r>
        <w:t xml:space="preserve"> veřejného financování je spíše přispět k dosažení konkrétních cílů stanovených v jejich právním základu poskytováním finanční podpory konkrétním intervencím. Navzdory </w:t>
      </w:r>
      <w:r w:rsidR="0013010E">
        <w:t xml:space="preserve">stejnému právnímu odkazu </w:t>
      </w:r>
      <w:r>
        <w:t xml:space="preserve">v právní integraci zásady DNSH mezi nástroji veřejného </w:t>
      </w:r>
      <w:r w:rsidR="0013010E">
        <w:t xml:space="preserve">a soukromého </w:t>
      </w:r>
      <w:r>
        <w:t>financování</w:t>
      </w:r>
      <w:r w:rsidR="0001414A">
        <w:t>,</w:t>
      </w:r>
      <w:r>
        <w:t xml:space="preserve"> integrace </w:t>
      </w:r>
      <w:r w:rsidR="0013010E">
        <w:t xml:space="preserve">DNSH v EU fondech </w:t>
      </w:r>
      <w:r>
        <w:t>souvis</w:t>
      </w:r>
      <w:r w:rsidR="0013010E">
        <w:t>í</w:t>
      </w:r>
      <w:r>
        <w:t xml:space="preserve"> se základními otázkami: Na jaký typ intervencí (</w:t>
      </w:r>
      <w:r w:rsidR="0013010E">
        <w:t xml:space="preserve">a </w:t>
      </w:r>
      <w:r>
        <w:t>refor</w:t>
      </w:r>
      <w:r w:rsidR="0013010E">
        <w:t>e</w:t>
      </w:r>
      <w:r>
        <w:t>m</w:t>
      </w:r>
      <w:r w:rsidR="0013010E">
        <w:t>) by</w:t>
      </w:r>
      <w:r>
        <w:t xml:space="preserve"> měl být rozpočet EU směřován? Do kterých by </w:t>
      </w:r>
      <w:r w:rsidR="00865F14">
        <w:t xml:space="preserve">směřovat </w:t>
      </w:r>
      <w:r>
        <w:t>neměl?</w:t>
      </w:r>
      <w:r w:rsidR="0013010E" w:rsidRPr="0013010E">
        <w:t xml:space="preserve"> </w:t>
      </w:r>
      <w:r w:rsidR="0013010E" w:rsidRPr="006A45B6">
        <w:rPr>
          <w:b/>
          <w:bCs/>
        </w:rPr>
        <w:t xml:space="preserve">V tomto smyslu </w:t>
      </w:r>
      <w:r w:rsidR="00C518EB">
        <w:rPr>
          <w:b/>
          <w:bCs/>
        </w:rPr>
        <w:t xml:space="preserve">mohou být </w:t>
      </w:r>
      <w:r w:rsidR="0013010E" w:rsidRPr="006A45B6">
        <w:rPr>
          <w:b/>
          <w:bCs/>
        </w:rPr>
        <w:t>požadavky DNSH v EU fondech pro konkrétní investice nad rámec požadavků stanovených technických screeningových kritériích DNSH v taxonomii EU.</w:t>
      </w:r>
    </w:p>
    <w:p w14:paraId="3247C8E6" w14:textId="77777777" w:rsidR="0013010E" w:rsidRDefault="0013010E" w:rsidP="000202EA"/>
    <w:p w14:paraId="20CEDF1D" w14:textId="417FDD5D" w:rsidR="0013010E" w:rsidRDefault="0013010E" w:rsidP="006A45B6">
      <w:pPr>
        <w:sectPr w:rsidR="0013010E">
          <w:headerReference w:type="even" r:id="rId21"/>
          <w:footerReference w:type="even" r:id="rId22"/>
          <w:footerReference w:type="default" r:id="rId23"/>
          <w:pgSz w:w="11906" w:h="16838"/>
          <w:pgMar w:top="1417" w:right="1417" w:bottom="709" w:left="1417" w:header="708" w:footer="708" w:gutter="0"/>
          <w:cols w:space="708"/>
        </w:sectPr>
      </w:pPr>
    </w:p>
    <w:p w14:paraId="0EFAD94B" w14:textId="77777777" w:rsidR="00602DCA" w:rsidRDefault="00C5530C">
      <w:pPr>
        <w:pStyle w:val="Nadpis2"/>
      </w:pPr>
      <w:bookmarkStart w:id="29" w:name="_Legislativní_odkazy_DNSH"/>
      <w:bookmarkStart w:id="30" w:name="_Toc210046020"/>
      <w:bookmarkEnd w:id="29"/>
      <w:r>
        <w:lastRenderedPageBreak/>
        <w:t>Legislativní odkazy DNSH a klimatického prověřování infrastruktury pro EU financování</w:t>
      </w:r>
      <w:bookmarkEnd w:id="28"/>
      <w:bookmarkEnd w:id="30"/>
    </w:p>
    <w:p w14:paraId="60EA71F7" w14:textId="77777777" w:rsidR="00662B8C" w:rsidRDefault="00662B8C">
      <w:pPr>
        <w:keepNext/>
        <w:spacing w:line="240" w:lineRule="auto"/>
        <w:rPr>
          <w:b/>
          <w:u w:val="single"/>
        </w:rPr>
      </w:pPr>
    </w:p>
    <w:tbl>
      <w:tblPr>
        <w:tblW w:w="15582" w:type="dxa"/>
        <w:tblCellMar>
          <w:left w:w="70" w:type="dxa"/>
          <w:right w:w="70" w:type="dxa"/>
        </w:tblCellMar>
        <w:tblLook w:val="04A0" w:firstRow="1" w:lastRow="0" w:firstColumn="1" w:lastColumn="0" w:noHBand="0" w:noVBand="1"/>
      </w:tblPr>
      <w:tblGrid>
        <w:gridCol w:w="2305"/>
        <w:gridCol w:w="1938"/>
        <w:gridCol w:w="11339"/>
      </w:tblGrid>
      <w:tr w:rsidR="003C04D8" w:rsidRPr="003C04D8" w14:paraId="718AB64C" w14:textId="77777777" w:rsidTr="003C04D8">
        <w:trPr>
          <w:trHeight w:val="315"/>
        </w:trPr>
        <w:tc>
          <w:tcPr>
            <w:tcW w:w="2305" w:type="dxa"/>
            <w:tcBorders>
              <w:top w:val="single" w:sz="8" w:space="0" w:color="auto"/>
              <w:left w:val="single" w:sz="8" w:space="0" w:color="auto"/>
              <w:bottom w:val="single" w:sz="8" w:space="0" w:color="auto"/>
              <w:right w:val="single" w:sz="8" w:space="0" w:color="auto"/>
            </w:tcBorders>
            <w:noWrap/>
            <w:vAlign w:val="center"/>
            <w:hideMark/>
          </w:tcPr>
          <w:p w14:paraId="32497830" w14:textId="77777777" w:rsidR="003C04D8" w:rsidRPr="003C04D8" w:rsidRDefault="003C04D8" w:rsidP="003C04D8">
            <w:pPr>
              <w:spacing w:after="0" w:line="240" w:lineRule="auto"/>
              <w:jc w:val="left"/>
              <w:rPr>
                <w:rFonts w:ascii="Aptos Narrow" w:eastAsia="Times New Roman" w:hAnsi="Aptos Narrow" w:cs="Times New Roman"/>
                <w:b/>
                <w:bCs/>
                <w:color w:val="000000"/>
                <w:lang w:eastAsia="cs-CZ"/>
              </w:rPr>
            </w:pPr>
            <w:r w:rsidRPr="003C04D8">
              <w:rPr>
                <w:rFonts w:ascii="Aptos Narrow" w:eastAsia="Times New Roman" w:hAnsi="Aptos Narrow" w:cs="Times New Roman"/>
                <w:b/>
                <w:bCs/>
                <w:color w:val="000000"/>
                <w:lang w:eastAsia="cs-CZ"/>
              </w:rPr>
              <w:t>Legislativní odkaz</w:t>
            </w:r>
          </w:p>
        </w:tc>
        <w:tc>
          <w:tcPr>
            <w:tcW w:w="1938" w:type="dxa"/>
            <w:tcBorders>
              <w:top w:val="single" w:sz="8" w:space="0" w:color="auto"/>
              <w:left w:val="nil"/>
              <w:bottom w:val="single" w:sz="8" w:space="0" w:color="auto"/>
              <w:right w:val="single" w:sz="8" w:space="0" w:color="auto"/>
            </w:tcBorders>
            <w:noWrap/>
            <w:vAlign w:val="center"/>
            <w:hideMark/>
          </w:tcPr>
          <w:p w14:paraId="479495CA" w14:textId="77777777" w:rsidR="003C04D8" w:rsidRPr="003C04D8" w:rsidRDefault="003C04D8" w:rsidP="003C04D8">
            <w:pPr>
              <w:spacing w:after="0" w:line="240" w:lineRule="auto"/>
              <w:jc w:val="left"/>
              <w:rPr>
                <w:rFonts w:ascii="Aptos Narrow" w:eastAsia="Times New Roman" w:hAnsi="Aptos Narrow" w:cs="Times New Roman"/>
                <w:b/>
                <w:bCs/>
                <w:color w:val="000000"/>
                <w:lang w:eastAsia="cs-CZ"/>
              </w:rPr>
            </w:pPr>
            <w:r w:rsidRPr="003C04D8">
              <w:rPr>
                <w:rFonts w:ascii="Aptos Narrow" w:eastAsia="Times New Roman" w:hAnsi="Aptos Narrow" w:cs="Times New Roman"/>
                <w:b/>
                <w:bCs/>
                <w:color w:val="000000"/>
                <w:lang w:eastAsia="cs-CZ"/>
              </w:rPr>
              <w:t>Umístění</w:t>
            </w:r>
          </w:p>
        </w:tc>
        <w:tc>
          <w:tcPr>
            <w:tcW w:w="11339" w:type="dxa"/>
            <w:tcBorders>
              <w:top w:val="single" w:sz="8" w:space="0" w:color="auto"/>
              <w:left w:val="nil"/>
              <w:bottom w:val="single" w:sz="8" w:space="0" w:color="auto"/>
              <w:right w:val="single" w:sz="8" w:space="0" w:color="auto"/>
            </w:tcBorders>
            <w:noWrap/>
            <w:vAlign w:val="center"/>
            <w:hideMark/>
          </w:tcPr>
          <w:p w14:paraId="2A4343BF" w14:textId="77777777" w:rsidR="003C04D8" w:rsidRPr="003C04D8" w:rsidRDefault="003C04D8" w:rsidP="003C04D8">
            <w:pPr>
              <w:spacing w:after="0" w:line="240" w:lineRule="auto"/>
              <w:jc w:val="left"/>
              <w:rPr>
                <w:rFonts w:ascii="Aptos Narrow" w:eastAsia="Times New Roman" w:hAnsi="Aptos Narrow" w:cs="Times New Roman"/>
                <w:b/>
                <w:bCs/>
                <w:color w:val="000000"/>
                <w:lang w:eastAsia="cs-CZ"/>
              </w:rPr>
            </w:pPr>
            <w:r w:rsidRPr="003C04D8">
              <w:rPr>
                <w:rFonts w:ascii="Aptos Narrow" w:eastAsia="Times New Roman" w:hAnsi="Aptos Narrow" w:cs="Times New Roman"/>
                <w:b/>
                <w:bCs/>
                <w:color w:val="000000"/>
                <w:lang w:eastAsia="cs-CZ"/>
              </w:rPr>
              <w:t>Znění</w:t>
            </w:r>
          </w:p>
        </w:tc>
      </w:tr>
      <w:tr w:rsidR="003C04D8" w:rsidRPr="003C04D8" w14:paraId="4B4F6E3F" w14:textId="77777777" w:rsidTr="003C04D8">
        <w:trPr>
          <w:trHeight w:val="615"/>
        </w:trPr>
        <w:tc>
          <w:tcPr>
            <w:tcW w:w="2305" w:type="dxa"/>
            <w:vMerge w:val="restart"/>
            <w:tcBorders>
              <w:top w:val="nil"/>
              <w:left w:val="single" w:sz="8" w:space="0" w:color="auto"/>
              <w:bottom w:val="single" w:sz="8" w:space="0" w:color="auto"/>
              <w:right w:val="single" w:sz="8" w:space="0" w:color="auto"/>
            </w:tcBorders>
            <w:vAlign w:val="center"/>
            <w:hideMark/>
          </w:tcPr>
          <w:p w14:paraId="71807F7C" w14:textId="2F072149" w:rsidR="003C04D8" w:rsidRPr="003C04D8" w:rsidRDefault="003C04D8" w:rsidP="003C04D8">
            <w:pPr>
              <w:spacing w:after="0" w:line="240" w:lineRule="auto"/>
              <w:jc w:val="left"/>
              <w:rPr>
                <w:rFonts w:ascii="Aptos Narrow" w:eastAsia="Times New Roman" w:hAnsi="Aptos Narrow" w:cs="Times New Roman"/>
                <w:color w:val="0000FF"/>
                <w:lang w:eastAsia="cs-CZ"/>
              </w:rPr>
            </w:pPr>
            <w:hyperlink r:id="rId24" w:history="1">
              <w:r w:rsidRPr="003C04D8">
                <w:rPr>
                  <w:rStyle w:val="Hypertextovodkaz"/>
                  <w:rFonts w:ascii="Aptos Narrow" w:eastAsia="Times New Roman" w:hAnsi="Aptos Narrow" w:cs="Times New Roman"/>
                  <w:lang w:eastAsia="cs-CZ"/>
                </w:rPr>
                <w:t>INTERINSTITUCIONÁLNÍ DOHODA mezi Evropským parlamentem, Radou Evropské unie a Evropskou komisí o rozpočtové kázni, spolupráci v rozpočtových záležitostech a řádném finančním řízení, jakož i o nových vlastních zdrojích, včetně plánu zavádění nových vlastních zdrojů</w:t>
              </w:r>
            </w:hyperlink>
          </w:p>
        </w:tc>
        <w:tc>
          <w:tcPr>
            <w:tcW w:w="1938" w:type="dxa"/>
            <w:vMerge w:val="restart"/>
            <w:tcBorders>
              <w:top w:val="nil"/>
              <w:left w:val="single" w:sz="8" w:space="0" w:color="auto"/>
              <w:bottom w:val="single" w:sz="8" w:space="0" w:color="auto"/>
              <w:right w:val="single" w:sz="8" w:space="0" w:color="auto"/>
            </w:tcBorders>
            <w:noWrap/>
            <w:vAlign w:val="center"/>
            <w:hideMark/>
          </w:tcPr>
          <w:p w14:paraId="69A7BE3E" w14:textId="77777777" w:rsidR="003C04D8" w:rsidRPr="003C04D8" w:rsidRDefault="003C04D8" w:rsidP="003C04D8">
            <w:pPr>
              <w:spacing w:after="0" w:line="240" w:lineRule="auto"/>
              <w:jc w:val="left"/>
              <w:rPr>
                <w:rFonts w:ascii="Aptos Narrow" w:eastAsia="Times New Roman" w:hAnsi="Aptos Narrow" w:cs="Times New Roman"/>
                <w:color w:val="000000"/>
                <w:lang w:eastAsia="cs-CZ"/>
              </w:rPr>
            </w:pPr>
            <w:r w:rsidRPr="003C04D8">
              <w:rPr>
                <w:rFonts w:ascii="Aptos Narrow" w:eastAsia="Times New Roman" w:hAnsi="Aptos Narrow" w:cs="Times New Roman"/>
                <w:color w:val="000000"/>
                <w:lang w:eastAsia="cs-CZ"/>
              </w:rPr>
              <w:t>Bod 16</w:t>
            </w:r>
          </w:p>
        </w:tc>
        <w:tc>
          <w:tcPr>
            <w:tcW w:w="11339" w:type="dxa"/>
            <w:tcBorders>
              <w:top w:val="nil"/>
              <w:left w:val="nil"/>
              <w:bottom w:val="single" w:sz="8" w:space="0" w:color="auto"/>
              <w:right w:val="single" w:sz="8" w:space="0" w:color="auto"/>
            </w:tcBorders>
            <w:vAlign w:val="center"/>
            <w:hideMark/>
          </w:tcPr>
          <w:p w14:paraId="633A36A6" w14:textId="77777777" w:rsidR="003C04D8" w:rsidRPr="003C04D8" w:rsidRDefault="003C04D8" w:rsidP="003C04D8">
            <w:pPr>
              <w:spacing w:after="0" w:line="240" w:lineRule="auto"/>
              <w:jc w:val="left"/>
              <w:rPr>
                <w:rFonts w:ascii="Aptos Narrow" w:eastAsia="Times New Roman" w:hAnsi="Aptos Narrow" w:cs="Times New Roman"/>
                <w:color w:val="000000"/>
                <w:lang w:eastAsia="cs-CZ"/>
              </w:rPr>
            </w:pPr>
            <w:r w:rsidRPr="003C04D8">
              <w:rPr>
                <w:rFonts w:ascii="Aptos Narrow" w:eastAsia="Times New Roman" w:hAnsi="Aptos Narrow" w:cs="Times New Roman"/>
                <w:color w:val="000000"/>
                <w:lang w:eastAsia="cs-CZ"/>
              </w:rPr>
              <w:t>Komise vypracuje výroční zprávu, která se připojí k souhrnnému rozpočtu Unie a v níž jsou zahrnuty dostupné informace, jež nejsou důvěrné povahy a týkají se:</w:t>
            </w:r>
          </w:p>
        </w:tc>
      </w:tr>
      <w:tr w:rsidR="003C04D8" w:rsidRPr="003C04D8" w14:paraId="3B0A55C2" w14:textId="77777777" w:rsidTr="003C04D8">
        <w:trPr>
          <w:trHeight w:val="1417"/>
        </w:trPr>
        <w:tc>
          <w:tcPr>
            <w:tcW w:w="2305" w:type="dxa"/>
            <w:vMerge/>
            <w:tcBorders>
              <w:top w:val="nil"/>
              <w:left w:val="single" w:sz="8" w:space="0" w:color="auto"/>
              <w:bottom w:val="single" w:sz="8" w:space="0" w:color="auto"/>
              <w:right w:val="single" w:sz="8" w:space="0" w:color="auto"/>
            </w:tcBorders>
            <w:vAlign w:val="center"/>
            <w:hideMark/>
          </w:tcPr>
          <w:p w14:paraId="41454EF6" w14:textId="77777777" w:rsidR="003C04D8" w:rsidRPr="003C04D8" w:rsidRDefault="003C04D8" w:rsidP="003C04D8">
            <w:pPr>
              <w:spacing w:after="0" w:line="240" w:lineRule="auto"/>
              <w:jc w:val="left"/>
              <w:rPr>
                <w:rFonts w:ascii="Aptos Narrow" w:eastAsia="Times New Roman" w:hAnsi="Aptos Narrow" w:cs="Times New Roman"/>
                <w:color w:val="0000FF"/>
                <w:lang w:eastAsia="cs-CZ"/>
              </w:rPr>
            </w:pPr>
          </w:p>
        </w:tc>
        <w:tc>
          <w:tcPr>
            <w:tcW w:w="1938" w:type="dxa"/>
            <w:vMerge/>
            <w:tcBorders>
              <w:top w:val="nil"/>
              <w:left w:val="single" w:sz="8" w:space="0" w:color="auto"/>
              <w:bottom w:val="single" w:sz="8" w:space="0" w:color="auto"/>
              <w:right w:val="single" w:sz="8" w:space="0" w:color="auto"/>
            </w:tcBorders>
            <w:vAlign w:val="center"/>
            <w:hideMark/>
          </w:tcPr>
          <w:p w14:paraId="1AF318AC" w14:textId="77777777" w:rsidR="003C04D8" w:rsidRPr="003C04D8" w:rsidRDefault="003C04D8" w:rsidP="003C04D8">
            <w:pPr>
              <w:spacing w:after="0" w:line="240" w:lineRule="auto"/>
              <w:jc w:val="left"/>
              <w:rPr>
                <w:rFonts w:ascii="Aptos Narrow" w:eastAsia="Times New Roman" w:hAnsi="Aptos Narrow" w:cs="Times New Roman"/>
                <w:color w:val="000000"/>
                <w:lang w:eastAsia="cs-CZ"/>
              </w:rPr>
            </w:pPr>
          </w:p>
        </w:tc>
        <w:tc>
          <w:tcPr>
            <w:tcW w:w="11339" w:type="dxa"/>
            <w:tcBorders>
              <w:top w:val="nil"/>
              <w:left w:val="nil"/>
              <w:bottom w:val="single" w:sz="8" w:space="0" w:color="auto"/>
              <w:right w:val="single" w:sz="8" w:space="0" w:color="auto"/>
            </w:tcBorders>
            <w:vAlign w:val="center"/>
            <w:hideMark/>
          </w:tcPr>
          <w:p w14:paraId="7B064823" w14:textId="77777777" w:rsidR="003C04D8" w:rsidRPr="003C04D8" w:rsidRDefault="003C04D8" w:rsidP="003C04D8">
            <w:pPr>
              <w:spacing w:after="0" w:line="240" w:lineRule="auto"/>
              <w:jc w:val="left"/>
              <w:rPr>
                <w:rFonts w:ascii="Aptos Narrow" w:eastAsia="Times New Roman" w:hAnsi="Aptos Narrow" w:cs="Times New Roman"/>
                <w:color w:val="000000"/>
                <w:lang w:eastAsia="cs-CZ"/>
              </w:rPr>
            </w:pPr>
            <w:r w:rsidRPr="003C04D8">
              <w:rPr>
                <w:rFonts w:ascii="Aptos Narrow" w:eastAsia="Times New Roman" w:hAnsi="Aptos Narrow" w:cs="Times New Roman"/>
                <w:color w:val="000000"/>
                <w:lang w:eastAsia="cs-CZ"/>
              </w:rPr>
              <w:t xml:space="preserve">d) </w:t>
            </w:r>
            <w:r w:rsidRPr="003C04D8">
              <w:rPr>
                <w:rFonts w:ascii="Aptos Narrow" w:eastAsia="Times New Roman" w:hAnsi="Aptos Narrow" w:cs="Times New Roman"/>
                <w:b/>
                <w:bCs/>
                <w:color w:val="000000"/>
                <w:lang w:eastAsia="cs-CZ"/>
              </w:rPr>
              <w:t>výdajů v oblasti klimatu</w:t>
            </w:r>
            <w:r w:rsidRPr="003C04D8">
              <w:rPr>
                <w:rFonts w:ascii="Aptos Narrow" w:eastAsia="Times New Roman" w:hAnsi="Aptos Narrow" w:cs="Times New Roman"/>
                <w:color w:val="000000"/>
                <w:lang w:eastAsia="cs-CZ"/>
              </w:rPr>
              <w:t>, na základě účinné metodiky, kterou stanoví Komise, a případně v souladu s odvětvovými právními předpisy, pro sledování těchto výdajů a jejich efektivnosti, s cílem dosáhnout celkového cíle, aby alespoň 30 % celkového rozpočtu Unie a výdajů z Nástroje Evropské unie na podporu oživení podporovalo cíle v oblasti klimatu, při zohlednění účinků postupného ukončování financování z Nástroje Evropské unie na podporu oživení a za rozlišení mezi zmírňováním změny klimatu a přizpůsobením se jí tam, kde je to možné.</w:t>
            </w:r>
          </w:p>
        </w:tc>
      </w:tr>
      <w:tr w:rsidR="003C04D8" w:rsidRPr="003C04D8" w14:paraId="76D2DA75" w14:textId="77777777" w:rsidTr="003C04D8">
        <w:trPr>
          <w:trHeight w:val="1531"/>
        </w:trPr>
        <w:tc>
          <w:tcPr>
            <w:tcW w:w="2305" w:type="dxa"/>
            <w:vMerge/>
            <w:tcBorders>
              <w:top w:val="nil"/>
              <w:left w:val="single" w:sz="8" w:space="0" w:color="auto"/>
              <w:bottom w:val="single" w:sz="8" w:space="0" w:color="auto"/>
              <w:right w:val="single" w:sz="8" w:space="0" w:color="auto"/>
            </w:tcBorders>
            <w:vAlign w:val="center"/>
            <w:hideMark/>
          </w:tcPr>
          <w:p w14:paraId="1688D4D0" w14:textId="77777777" w:rsidR="003C04D8" w:rsidRPr="003C04D8" w:rsidRDefault="003C04D8" w:rsidP="003C04D8">
            <w:pPr>
              <w:spacing w:after="0" w:line="240" w:lineRule="auto"/>
              <w:jc w:val="left"/>
              <w:rPr>
                <w:rFonts w:ascii="Aptos Narrow" w:eastAsia="Times New Roman" w:hAnsi="Aptos Narrow" w:cs="Times New Roman"/>
                <w:color w:val="0000FF"/>
                <w:lang w:eastAsia="cs-CZ"/>
              </w:rPr>
            </w:pPr>
          </w:p>
        </w:tc>
        <w:tc>
          <w:tcPr>
            <w:tcW w:w="1938" w:type="dxa"/>
            <w:vMerge/>
            <w:tcBorders>
              <w:top w:val="nil"/>
              <w:left w:val="single" w:sz="8" w:space="0" w:color="auto"/>
              <w:bottom w:val="single" w:sz="8" w:space="0" w:color="auto"/>
              <w:right w:val="single" w:sz="8" w:space="0" w:color="auto"/>
            </w:tcBorders>
            <w:vAlign w:val="center"/>
            <w:hideMark/>
          </w:tcPr>
          <w:p w14:paraId="1A58E12B" w14:textId="77777777" w:rsidR="003C04D8" w:rsidRPr="003C04D8" w:rsidRDefault="003C04D8" w:rsidP="003C04D8">
            <w:pPr>
              <w:spacing w:after="0" w:line="240" w:lineRule="auto"/>
              <w:jc w:val="left"/>
              <w:rPr>
                <w:rFonts w:ascii="Aptos Narrow" w:eastAsia="Times New Roman" w:hAnsi="Aptos Narrow" w:cs="Times New Roman"/>
                <w:color w:val="000000"/>
                <w:lang w:eastAsia="cs-CZ"/>
              </w:rPr>
            </w:pPr>
          </w:p>
        </w:tc>
        <w:tc>
          <w:tcPr>
            <w:tcW w:w="11339" w:type="dxa"/>
            <w:tcBorders>
              <w:top w:val="nil"/>
              <w:left w:val="nil"/>
              <w:bottom w:val="single" w:sz="8" w:space="0" w:color="auto"/>
              <w:right w:val="single" w:sz="8" w:space="0" w:color="auto"/>
            </w:tcBorders>
            <w:vAlign w:val="center"/>
            <w:hideMark/>
          </w:tcPr>
          <w:p w14:paraId="5EC2EB89" w14:textId="77777777" w:rsidR="003C04D8" w:rsidRPr="003C04D8" w:rsidRDefault="003C04D8" w:rsidP="003C04D8">
            <w:pPr>
              <w:spacing w:after="0" w:line="240" w:lineRule="auto"/>
              <w:jc w:val="left"/>
              <w:rPr>
                <w:rFonts w:ascii="Aptos Narrow" w:eastAsia="Times New Roman" w:hAnsi="Aptos Narrow" w:cs="Times New Roman"/>
                <w:b/>
                <w:bCs/>
                <w:color w:val="000000"/>
                <w:lang w:eastAsia="cs-CZ"/>
              </w:rPr>
            </w:pPr>
            <w:r w:rsidRPr="003C04D8">
              <w:rPr>
                <w:rFonts w:ascii="Aptos Narrow" w:eastAsia="Times New Roman" w:hAnsi="Aptos Narrow" w:cs="Times New Roman"/>
                <w:b/>
                <w:bCs/>
                <w:color w:val="000000"/>
                <w:lang w:eastAsia="cs-CZ"/>
              </w:rPr>
              <w:t>Nebude-li v jednom nebo více příslušných programech dosaženo dostatečného pokroku při plnění cíle výdajů v oblasti klimatu</w:t>
            </w:r>
            <w:r w:rsidRPr="003C04D8">
              <w:rPr>
                <w:rFonts w:ascii="Aptos Narrow" w:eastAsia="Times New Roman" w:hAnsi="Aptos Narrow" w:cs="Times New Roman"/>
                <w:color w:val="000000"/>
                <w:lang w:eastAsia="cs-CZ"/>
              </w:rPr>
              <w:t>, budou se orgány v souladu se svými povinnostmi a příslušnými právními předpisy navzájem konzultovat o vhodných opatřeních, která je třeba přijmout k zajištění toho, aby výdaje Unie na cíle v oblasti klimatu v průběhu celého víceletého finančního rámce na období 2021–2027 činily alespoň 30 % celkové částky rozpočtu Unie a výdajů z Nástroje Evropské unie na podporu oživení;</w:t>
            </w:r>
          </w:p>
        </w:tc>
      </w:tr>
      <w:tr w:rsidR="003C04D8" w:rsidRPr="003C04D8" w14:paraId="4C6AFA40" w14:textId="77777777" w:rsidTr="003C04D8">
        <w:trPr>
          <w:trHeight w:val="1531"/>
        </w:trPr>
        <w:tc>
          <w:tcPr>
            <w:tcW w:w="2305" w:type="dxa"/>
            <w:vMerge/>
            <w:tcBorders>
              <w:top w:val="nil"/>
              <w:left w:val="single" w:sz="8" w:space="0" w:color="auto"/>
              <w:bottom w:val="single" w:sz="8" w:space="0" w:color="auto"/>
              <w:right w:val="single" w:sz="8" w:space="0" w:color="auto"/>
            </w:tcBorders>
            <w:vAlign w:val="center"/>
            <w:hideMark/>
          </w:tcPr>
          <w:p w14:paraId="1213A5BB" w14:textId="77777777" w:rsidR="003C04D8" w:rsidRPr="003C04D8" w:rsidRDefault="003C04D8" w:rsidP="003C04D8">
            <w:pPr>
              <w:spacing w:after="0" w:line="240" w:lineRule="auto"/>
              <w:jc w:val="left"/>
              <w:rPr>
                <w:rFonts w:ascii="Aptos Narrow" w:eastAsia="Times New Roman" w:hAnsi="Aptos Narrow" w:cs="Times New Roman"/>
                <w:color w:val="0000FF"/>
                <w:lang w:eastAsia="cs-CZ"/>
              </w:rPr>
            </w:pPr>
          </w:p>
        </w:tc>
        <w:tc>
          <w:tcPr>
            <w:tcW w:w="1938" w:type="dxa"/>
            <w:vMerge/>
            <w:tcBorders>
              <w:top w:val="nil"/>
              <w:left w:val="single" w:sz="8" w:space="0" w:color="auto"/>
              <w:bottom w:val="single" w:sz="8" w:space="0" w:color="auto"/>
              <w:right w:val="single" w:sz="8" w:space="0" w:color="auto"/>
            </w:tcBorders>
            <w:vAlign w:val="center"/>
            <w:hideMark/>
          </w:tcPr>
          <w:p w14:paraId="16C9A7B7" w14:textId="77777777" w:rsidR="003C04D8" w:rsidRPr="003C04D8" w:rsidRDefault="003C04D8" w:rsidP="003C04D8">
            <w:pPr>
              <w:spacing w:after="0" w:line="240" w:lineRule="auto"/>
              <w:jc w:val="left"/>
              <w:rPr>
                <w:rFonts w:ascii="Aptos Narrow" w:eastAsia="Times New Roman" w:hAnsi="Aptos Narrow" w:cs="Times New Roman"/>
                <w:color w:val="000000"/>
                <w:lang w:eastAsia="cs-CZ"/>
              </w:rPr>
            </w:pPr>
          </w:p>
        </w:tc>
        <w:tc>
          <w:tcPr>
            <w:tcW w:w="11339" w:type="dxa"/>
            <w:tcBorders>
              <w:top w:val="nil"/>
              <w:left w:val="nil"/>
              <w:bottom w:val="single" w:sz="8" w:space="0" w:color="auto"/>
              <w:right w:val="single" w:sz="8" w:space="0" w:color="auto"/>
            </w:tcBorders>
            <w:vAlign w:val="center"/>
            <w:hideMark/>
          </w:tcPr>
          <w:p w14:paraId="5133D479" w14:textId="1478620F" w:rsidR="003C04D8" w:rsidRPr="003C04D8" w:rsidRDefault="003C04D8" w:rsidP="003C04D8">
            <w:pPr>
              <w:spacing w:after="0" w:line="240" w:lineRule="auto"/>
              <w:jc w:val="left"/>
              <w:rPr>
                <w:rFonts w:ascii="Aptos Narrow" w:eastAsia="Times New Roman" w:hAnsi="Aptos Narrow" w:cs="Times New Roman"/>
                <w:color w:val="000000"/>
                <w:lang w:eastAsia="cs-CZ"/>
              </w:rPr>
            </w:pPr>
            <w:r w:rsidRPr="003C04D8">
              <w:rPr>
                <w:rFonts w:ascii="Aptos Narrow" w:eastAsia="Times New Roman" w:hAnsi="Aptos Narrow" w:cs="Times New Roman"/>
                <w:color w:val="000000"/>
                <w:lang w:eastAsia="cs-CZ"/>
              </w:rPr>
              <w:t xml:space="preserve">e) </w:t>
            </w:r>
            <w:r w:rsidRPr="003C04D8">
              <w:rPr>
                <w:rFonts w:ascii="Aptos Narrow" w:eastAsia="Times New Roman" w:hAnsi="Aptos Narrow" w:cs="Times New Roman"/>
                <w:b/>
                <w:bCs/>
                <w:color w:val="000000"/>
                <w:lang w:eastAsia="cs-CZ"/>
              </w:rPr>
              <w:t>výdajů přispívajících k zastavení a zvrácení úbytku biologické rozmanitosti</w:t>
            </w:r>
            <w:r w:rsidRPr="003C04D8">
              <w:rPr>
                <w:rFonts w:ascii="Aptos Narrow" w:eastAsia="Times New Roman" w:hAnsi="Aptos Narrow" w:cs="Times New Roman"/>
                <w:color w:val="000000"/>
                <w:lang w:eastAsia="cs-CZ"/>
              </w:rPr>
              <w:t xml:space="preserve"> na základě účinné, transparentní a komplexní metodiky stanovené Komisí ve spolupráci s Evropským parlamentem a Radou a případně v souladu s odvětvovými právními předpisy se záměrem dosáhnout ambice, aby na cíle v oblasti biologické rozmanitosti bylo v roce 2024 poskytováno 7,5 %</w:t>
            </w:r>
            <w:r w:rsidR="00865F14">
              <w:rPr>
                <w:rFonts w:ascii="Aptos Narrow" w:eastAsia="Times New Roman" w:hAnsi="Aptos Narrow" w:cs="Times New Roman"/>
                <w:color w:val="000000"/>
                <w:lang w:eastAsia="cs-CZ"/>
              </w:rPr>
              <w:t>,</w:t>
            </w:r>
            <w:r w:rsidRPr="003C04D8">
              <w:rPr>
                <w:rFonts w:ascii="Aptos Narrow" w:eastAsia="Times New Roman" w:hAnsi="Aptos Narrow" w:cs="Times New Roman"/>
                <w:color w:val="000000"/>
                <w:lang w:eastAsia="cs-CZ"/>
              </w:rPr>
              <w:t xml:space="preserve"> v </w:t>
            </w:r>
            <w:r w:rsidR="00865F14">
              <w:rPr>
                <w:rFonts w:ascii="Aptos Narrow" w:eastAsia="Times New Roman" w:hAnsi="Aptos Narrow" w:cs="Times New Roman"/>
                <w:color w:val="000000"/>
                <w:lang w:eastAsia="cs-CZ"/>
              </w:rPr>
              <w:t>letech</w:t>
            </w:r>
            <w:r w:rsidRPr="003C04D8">
              <w:rPr>
                <w:rFonts w:ascii="Aptos Narrow" w:eastAsia="Times New Roman" w:hAnsi="Aptos Narrow" w:cs="Times New Roman"/>
                <w:color w:val="000000"/>
                <w:lang w:eastAsia="cs-CZ"/>
              </w:rPr>
              <w:t xml:space="preserve"> 2026 a 2027 10 % ročních výdajů v rámci víceletého finančního rámce, přičemž se zohlední, kde se překrývají cíle v oblasti klimatu a cíle v oblasti biologické rozmanitosti; </w:t>
            </w:r>
          </w:p>
        </w:tc>
      </w:tr>
      <w:tr w:rsidR="003C04D8" w:rsidRPr="003C04D8" w14:paraId="259BF6F1" w14:textId="77777777" w:rsidTr="003C04D8">
        <w:trPr>
          <w:trHeight w:val="615"/>
        </w:trPr>
        <w:tc>
          <w:tcPr>
            <w:tcW w:w="2305" w:type="dxa"/>
            <w:vMerge/>
            <w:tcBorders>
              <w:top w:val="nil"/>
              <w:left w:val="single" w:sz="8" w:space="0" w:color="auto"/>
              <w:bottom w:val="single" w:sz="8" w:space="0" w:color="auto"/>
              <w:right w:val="single" w:sz="8" w:space="0" w:color="auto"/>
            </w:tcBorders>
            <w:vAlign w:val="center"/>
            <w:hideMark/>
          </w:tcPr>
          <w:p w14:paraId="3F0F505A" w14:textId="77777777" w:rsidR="003C04D8" w:rsidRPr="003C04D8" w:rsidRDefault="003C04D8" w:rsidP="003C04D8">
            <w:pPr>
              <w:spacing w:after="0" w:line="240" w:lineRule="auto"/>
              <w:jc w:val="left"/>
              <w:rPr>
                <w:rFonts w:ascii="Aptos Narrow" w:eastAsia="Times New Roman" w:hAnsi="Aptos Narrow" w:cs="Times New Roman"/>
                <w:color w:val="0000FF"/>
                <w:lang w:eastAsia="cs-CZ"/>
              </w:rPr>
            </w:pPr>
          </w:p>
        </w:tc>
        <w:tc>
          <w:tcPr>
            <w:tcW w:w="1938" w:type="dxa"/>
            <w:vMerge/>
            <w:tcBorders>
              <w:top w:val="nil"/>
              <w:left w:val="single" w:sz="8" w:space="0" w:color="auto"/>
              <w:bottom w:val="single" w:sz="8" w:space="0" w:color="auto"/>
              <w:right w:val="single" w:sz="8" w:space="0" w:color="auto"/>
            </w:tcBorders>
            <w:vAlign w:val="center"/>
            <w:hideMark/>
          </w:tcPr>
          <w:p w14:paraId="498A6423" w14:textId="77777777" w:rsidR="003C04D8" w:rsidRPr="003C04D8" w:rsidRDefault="003C04D8" w:rsidP="003C04D8">
            <w:pPr>
              <w:spacing w:after="0" w:line="240" w:lineRule="auto"/>
              <w:jc w:val="left"/>
              <w:rPr>
                <w:rFonts w:ascii="Aptos Narrow" w:eastAsia="Times New Roman" w:hAnsi="Aptos Narrow" w:cs="Times New Roman"/>
                <w:color w:val="000000"/>
                <w:lang w:eastAsia="cs-CZ"/>
              </w:rPr>
            </w:pPr>
          </w:p>
        </w:tc>
        <w:tc>
          <w:tcPr>
            <w:tcW w:w="11339" w:type="dxa"/>
            <w:tcBorders>
              <w:top w:val="nil"/>
              <w:left w:val="nil"/>
              <w:bottom w:val="single" w:sz="8" w:space="0" w:color="auto"/>
              <w:right w:val="single" w:sz="8" w:space="0" w:color="auto"/>
            </w:tcBorders>
            <w:vAlign w:val="center"/>
            <w:hideMark/>
          </w:tcPr>
          <w:p w14:paraId="5D306B94" w14:textId="77777777" w:rsidR="003C04D8" w:rsidRPr="003C04D8" w:rsidRDefault="003C04D8" w:rsidP="003C04D8">
            <w:pPr>
              <w:spacing w:after="0" w:line="240" w:lineRule="auto"/>
              <w:jc w:val="left"/>
              <w:rPr>
                <w:rFonts w:ascii="Aptos Narrow" w:eastAsia="Times New Roman" w:hAnsi="Aptos Narrow" w:cs="Times New Roman"/>
                <w:color w:val="000000"/>
                <w:lang w:eastAsia="cs-CZ"/>
              </w:rPr>
            </w:pPr>
            <w:r w:rsidRPr="003C04D8">
              <w:rPr>
                <w:rFonts w:ascii="Aptos Narrow" w:eastAsia="Times New Roman" w:hAnsi="Aptos Narrow" w:cs="Times New Roman"/>
                <w:color w:val="000000"/>
                <w:lang w:eastAsia="cs-CZ"/>
              </w:rPr>
              <w:t>g</w:t>
            </w:r>
            <w:r w:rsidRPr="003C04D8">
              <w:rPr>
                <w:rFonts w:ascii="Aptos Narrow" w:eastAsia="Times New Roman" w:hAnsi="Aptos Narrow" w:cs="Times New Roman"/>
                <w:b/>
                <w:bCs/>
                <w:color w:val="000000"/>
                <w:lang w:eastAsia="cs-CZ"/>
              </w:rPr>
              <w:t xml:space="preserve">) provádění cílů OSN v oblasti udržitelného rozvoje </w:t>
            </w:r>
            <w:r w:rsidRPr="003C04D8">
              <w:rPr>
                <w:rFonts w:ascii="Aptos Narrow" w:eastAsia="Times New Roman" w:hAnsi="Aptos Narrow" w:cs="Times New Roman"/>
                <w:color w:val="000000"/>
                <w:lang w:eastAsia="cs-CZ"/>
              </w:rPr>
              <w:t>ve všech příslušných programech Unie víceletého finančního rámce na období 2021–2027.</w:t>
            </w:r>
          </w:p>
        </w:tc>
      </w:tr>
      <w:tr w:rsidR="003C04D8" w:rsidRPr="003C04D8" w14:paraId="5C3E36A0" w14:textId="77777777" w:rsidTr="003C04D8">
        <w:trPr>
          <w:trHeight w:val="567"/>
        </w:trPr>
        <w:tc>
          <w:tcPr>
            <w:tcW w:w="2305" w:type="dxa"/>
            <w:vMerge/>
            <w:tcBorders>
              <w:top w:val="nil"/>
              <w:left w:val="single" w:sz="8" w:space="0" w:color="auto"/>
              <w:bottom w:val="single" w:sz="8" w:space="0" w:color="auto"/>
              <w:right w:val="single" w:sz="8" w:space="0" w:color="auto"/>
            </w:tcBorders>
            <w:vAlign w:val="center"/>
            <w:hideMark/>
          </w:tcPr>
          <w:p w14:paraId="6B5D3DC9" w14:textId="77777777" w:rsidR="003C04D8" w:rsidRPr="003C04D8" w:rsidRDefault="003C04D8" w:rsidP="003C04D8">
            <w:pPr>
              <w:spacing w:after="0" w:line="240" w:lineRule="auto"/>
              <w:jc w:val="left"/>
              <w:rPr>
                <w:rFonts w:ascii="Aptos Narrow" w:eastAsia="Times New Roman" w:hAnsi="Aptos Narrow" w:cs="Times New Roman"/>
                <w:color w:val="0000FF"/>
                <w:lang w:eastAsia="cs-CZ"/>
              </w:rPr>
            </w:pPr>
          </w:p>
        </w:tc>
        <w:tc>
          <w:tcPr>
            <w:tcW w:w="1938" w:type="dxa"/>
            <w:vMerge w:val="restart"/>
            <w:tcBorders>
              <w:top w:val="nil"/>
              <w:left w:val="single" w:sz="8" w:space="0" w:color="auto"/>
              <w:bottom w:val="single" w:sz="8" w:space="0" w:color="auto"/>
              <w:right w:val="single" w:sz="8" w:space="0" w:color="auto"/>
            </w:tcBorders>
            <w:noWrap/>
            <w:vAlign w:val="center"/>
            <w:hideMark/>
          </w:tcPr>
          <w:p w14:paraId="731837BC" w14:textId="77777777" w:rsidR="003C04D8" w:rsidRPr="003C04D8" w:rsidRDefault="003C04D8" w:rsidP="003C04D8">
            <w:pPr>
              <w:spacing w:after="0" w:line="240" w:lineRule="auto"/>
              <w:jc w:val="left"/>
              <w:rPr>
                <w:rFonts w:ascii="Aptos Narrow" w:eastAsia="Times New Roman" w:hAnsi="Aptos Narrow" w:cs="Times New Roman"/>
                <w:color w:val="000000"/>
                <w:lang w:eastAsia="cs-CZ"/>
              </w:rPr>
            </w:pPr>
            <w:r w:rsidRPr="003C04D8">
              <w:rPr>
                <w:rFonts w:ascii="Aptos Narrow" w:eastAsia="Times New Roman" w:hAnsi="Aptos Narrow" w:cs="Times New Roman"/>
                <w:color w:val="000000"/>
                <w:lang w:eastAsia="cs-CZ"/>
              </w:rPr>
              <w:t>Zásady provádění</w:t>
            </w:r>
          </w:p>
        </w:tc>
        <w:tc>
          <w:tcPr>
            <w:tcW w:w="11339" w:type="dxa"/>
            <w:tcBorders>
              <w:top w:val="nil"/>
              <w:left w:val="nil"/>
              <w:bottom w:val="single" w:sz="8" w:space="0" w:color="auto"/>
              <w:right w:val="single" w:sz="8" w:space="0" w:color="auto"/>
            </w:tcBorders>
            <w:vAlign w:val="center"/>
            <w:hideMark/>
          </w:tcPr>
          <w:p w14:paraId="031F20E9" w14:textId="77777777" w:rsidR="003C04D8" w:rsidRPr="003C04D8" w:rsidRDefault="003C04D8" w:rsidP="003C04D8">
            <w:pPr>
              <w:spacing w:after="0" w:line="240" w:lineRule="auto"/>
              <w:jc w:val="left"/>
              <w:rPr>
                <w:rFonts w:ascii="Aptos Narrow" w:eastAsia="Times New Roman" w:hAnsi="Aptos Narrow" w:cs="Times New Roman"/>
                <w:color w:val="000000"/>
                <w:lang w:eastAsia="cs-CZ"/>
              </w:rPr>
            </w:pPr>
            <w:r w:rsidRPr="003C04D8">
              <w:rPr>
                <w:rFonts w:ascii="Aptos Narrow" w:eastAsia="Times New Roman" w:hAnsi="Aptos Narrow" w:cs="Times New Roman"/>
                <w:color w:val="000000"/>
                <w:lang w:eastAsia="cs-CZ"/>
              </w:rPr>
              <w:t>(2) Orgány se dohodly na těchto hlavních zásadách pro zavedení souboru nových vlastních zdrojů:</w:t>
            </w:r>
          </w:p>
        </w:tc>
      </w:tr>
      <w:tr w:rsidR="003C04D8" w:rsidRPr="003C04D8" w14:paraId="5D205A8A" w14:textId="77777777" w:rsidTr="003C04D8">
        <w:trPr>
          <w:trHeight w:val="737"/>
        </w:trPr>
        <w:tc>
          <w:tcPr>
            <w:tcW w:w="2305" w:type="dxa"/>
            <w:vMerge/>
            <w:tcBorders>
              <w:top w:val="nil"/>
              <w:left w:val="single" w:sz="8" w:space="0" w:color="auto"/>
              <w:bottom w:val="single" w:sz="8" w:space="0" w:color="auto"/>
              <w:right w:val="single" w:sz="8" w:space="0" w:color="auto"/>
            </w:tcBorders>
            <w:vAlign w:val="center"/>
            <w:hideMark/>
          </w:tcPr>
          <w:p w14:paraId="59C289DE" w14:textId="77777777" w:rsidR="003C04D8" w:rsidRPr="003C04D8" w:rsidRDefault="003C04D8" w:rsidP="003C04D8">
            <w:pPr>
              <w:spacing w:after="0" w:line="240" w:lineRule="auto"/>
              <w:jc w:val="left"/>
              <w:rPr>
                <w:rFonts w:ascii="Aptos Narrow" w:eastAsia="Times New Roman" w:hAnsi="Aptos Narrow" w:cs="Times New Roman"/>
                <w:color w:val="0000FF"/>
                <w:lang w:eastAsia="cs-CZ"/>
              </w:rPr>
            </w:pPr>
          </w:p>
        </w:tc>
        <w:tc>
          <w:tcPr>
            <w:tcW w:w="1938" w:type="dxa"/>
            <w:vMerge/>
            <w:tcBorders>
              <w:top w:val="nil"/>
              <w:left w:val="single" w:sz="8" w:space="0" w:color="auto"/>
              <w:bottom w:val="single" w:sz="8" w:space="0" w:color="auto"/>
              <w:right w:val="single" w:sz="8" w:space="0" w:color="auto"/>
            </w:tcBorders>
            <w:vAlign w:val="center"/>
            <w:hideMark/>
          </w:tcPr>
          <w:p w14:paraId="172FF027" w14:textId="77777777" w:rsidR="003C04D8" w:rsidRPr="003C04D8" w:rsidRDefault="003C04D8" w:rsidP="003C04D8">
            <w:pPr>
              <w:spacing w:after="0" w:line="240" w:lineRule="auto"/>
              <w:jc w:val="left"/>
              <w:rPr>
                <w:rFonts w:ascii="Aptos Narrow" w:eastAsia="Times New Roman" w:hAnsi="Aptos Narrow" w:cs="Times New Roman"/>
                <w:color w:val="000000"/>
                <w:lang w:eastAsia="cs-CZ"/>
              </w:rPr>
            </w:pPr>
          </w:p>
        </w:tc>
        <w:tc>
          <w:tcPr>
            <w:tcW w:w="11339" w:type="dxa"/>
            <w:tcBorders>
              <w:top w:val="nil"/>
              <w:left w:val="nil"/>
              <w:bottom w:val="single" w:sz="8" w:space="0" w:color="auto"/>
              <w:right w:val="single" w:sz="8" w:space="0" w:color="auto"/>
            </w:tcBorders>
            <w:vAlign w:val="center"/>
            <w:hideMark/>
          </w:tcPr>
          <w:p w14:paraId="251CCE3A" w14:textId="77777777" w:rsidR="003C04D8" w:rsidRPr="003C04D8" w:rsidRDefault="003C04D8" w:rsidP="003C04D8">
            <w:pPr>
              <w:spacing w:after="0" w:line="240" w:lineRule="auto"/>
              <w:jc w:val="left"/>
              <w:rPr>
                <w:rFonts w:ascii="Aptos Narrow" w:eastAsia="Times New Roman" w:hAnsi="Aptos Narrow" w:cs="Times New Roman"/>
                <w:color w:val="000000"/>
                <w:lang w:eastAsia="cs-CZ"/>
              </w:rPr>
            </w:pPr>
            <w:r w:rsidRPr="003C04D8">
              <w:rPr>
                <w:rFonts w:ascii="Aptos Narrow" w:eastAsia="Times New Roman" w:hAnsi="Aptos Narrow" w:cs="Times New Roman"/>
                <w:color w:val="000000"/>
                <w:lang w:eastAsia="cs-CZ"/>
              </w:rPr>
              <w:t xml:space="preserve">c) </w:t>
            </w:r>
            <w:r w:rsidRPr="003C04D8">
              <w:rPr>
                <w:rFonts w:ascii="Aptos Narrow" w:eastAsia="Times New Roman" w:hAnsi="Aptos Narrow" w:cs="Times New Roman"/>
                <w:b/>
                <w:bCs/>
                <w:color w:val="000000"/>
                <w:lang w:eastAsia="cs-CZ"/>
              </w:rPr>
              <w:t>vlastní zdroje budou sladěny s prioritami Unie, jako je boj proti změně klimatu, oběhové hospodářství</w:t>
            </w:r>
            <w:r w:rsidRPr="003C04D8">
              <w:rPr>
                <w:rFonts w:ascii="Aptos Narrow" w:eastAsia="Times New Roman" w:hAnsi="Aptos Narrow" w:cs="Times New Roman"/>
                <w:color w:val="000000"/>
                <w:lang w:eastAsia="cs-CZ"/>
              </w:rPr>
              <w:t xml:space="preserve"> a Evropa připravená na digitální věk, a budou přispívat ke spravedlivému zdanění a posílení boje proti daňovým podvodům a daňovým únikům;</w:t>
            </w:r>
          </w:p>
        </w:tc>
      </w:tr>
      <w:tr w:rsidR="003C04D8" w:rsidRPr="003C04D8" w14:paraId="64F9A98E" w14:textId="77777777" w:rsidTr="003C04D8">
        <w:trPr>
          <w:trHeight w:val="1836"/>
        </w:trPr>
        <w:tc>
          <w:tcPr>
            <w:tcW w:w="2305" w:type="dxa"/>
            <w:vMerge w:val="restart"/>
            <w:tcBorders>
              <w:top w:val="nil"/>
              <w:left w:val="single" w:sz="8" w:space="0" w:color="auto"/>
              <w:bottom w:val="single" w:sz="8" w:space="0" w:color="auto"/>
              <w:right w:val="single" w:sz="8" w:space="0" w:color="auto"/>
            </w:tcBorders>
            <w:vAlign w:val="center"/>
            <w:hideMark/>
          </w:tcPr>
          <w:p w14:paraId="3D3E474F" w14:textId="0BF15194" w:rsidR="003C04D8" w:rsidRPr="003C04D8" w:rsidRDefault="003C04D8" w:rsidP="003C04D8">
            <w:pPr>
              <w:spacing w:after="0" w:line="240" w:lineRule="auto"/>
              <w:jc w:val="left"/>
              <w:rPr>
                <w:rFonts w:ascii="Aptos Narrow" w:eastAsia="Times New Roman" w:hAnsi="Aptos Narrow" w:cs="Times New Roman"/>
                <w:color w:val="0000FF"/>
                <w:lang w:eastAsia="cs-CZ"/>
              </w:rPr>
            </w:pPr>
            <w:hyperlink r:id="rId25" w:history="1">
              <w:r w:rsidRPr="003C04D8">
                <w:rPr>
                  <w:rStyle w:val="Hypertextovodkaz"/>
                  <w:rFonts w:ascii="Aptos Narrow" w:eastAsia="Times New Roman" w:hAnsi="Aptos Narrow" w:cs="Times New Roman"/>
                  <w:lang w:eastAsia="cs-CZ"/>
                </w:rPr>
                <w:t>NAŘÍZENÍ EVROPSKÉHO PARLAMENTU A RADY (EU) 2021/1060 ze dne 24. června 2021 o společných ustanoveních pro Evropský fond pro regionální rozvoj, Evropský sociální fond plus, Fond soudržnosti, Fond pro spravedlivou transformaci a Evropský námořní, rybářský a akvakulturní fond a o finančních pravidlech pro tyto fondy a pro Azylový, migrační a integrační fond, Fond pro vnitřní bezpečnost a Nástroj pro finanční podporu správy hranic a vízové politiky</w:t>
              </w:r>
            </w:hyperlink>
          </w:p>
        </w:tc>
        <w:tc>
          <w:tcPr>
            <w:tcW w:w="1938" w:type="dxa"/>
            <w:tcBorders>
              <w:top w:val="nil"/>
              <w:left w:val="nil"/>
              <w:bottom w:val="single" w:sz="8" w:space="0" w:color="auto"/>
              <w:right w:val="single" w:sz="8" w:space="0" w:color="auto"/>
            </w:tcBorders>
            <w:noWrap/>
            <w:vAlign w:val="center"/>
            <w:hideMark/>
          </w:tcPr>
          <w:p w14:paraId="1942801D" w14:textId="77777777" w:rsidR="003C04D8" w:rsidRPr="003C04D8" w:rsidRDefault="003C04D8" w:rsidP="003C04D8">
            <w:pPr>
              <w:spacing w:after="0" w:line="240" w:lineRule="auto"/>
              <w:jc w:val="left"/>
              <w:rPr>
                <w:rFonts w:ascii="Aptos Narrow" w:eastAsia="Times New Roman" w:hAnsi="Aptos Narrow" w:cs="Times New Roman"/>
                <w:color w:val="000000"/>
                <w:lang w:eastAsia="cs-CZ"/>
              </w:rPr>
            </w:pPr>
            <w:r w:rsidRPr="003C04D8">
              <w:rPr>
                <w:rFonts w:ascii="Aptos Narrow" w:eastAsia="Times New Roman" w:hAnsi="Aptos Narrow" w:cs="Times New Roman"/>
                <w:color w:val="000000"/>
                <w:lang w:eastAsia="cs-CZ"/>
              </w:rPr>
              <w:t>Preambule (10)</w:t>
            </w:r>
          </w:p>
        </w:tc>
        <w:tc>
          <w:tcPr>
            <w:tcW w:w="11339" w:type="dxa"/>
            <w:tcBorders>
              <w:top w:val="nil"/>
              <w:left w:val="nil"/>
              <w:bottom w:val="single" w:sz="8" w:space="0" w:color="auto"/>
              <w:right w:val="single" w:sz="8" w:space="0" w:color="auto"/>
            </w:tcBorders>
            <w:vAlign w:val="center"/>
            <w:hideMark/>
          </w:tcPr>
          <w:p w14:paraId="273986EB" w14:textId="77777777" w:rsidR="003C04D8" w:rsidRPr="003C04D8" w:rsidRDefault="003C04D8" w:rsidP="003C04D8">
            <w:pPr>
              <w:spacing w:after="0" w:line="240" w:lineRule="auto"/>
              <w:jc w:val="left"/>
              <w:rPr>
                <w:rFonts w:ascii="Aptos Narrow" w:eastAsia="Times New Roman" w:hAnsi="Aptos Narrow" w:cs="Times New Roman"/>
                <w:color w:val="000000"/>
                <w:lang w:eastAsia="cs-CZ"/>
              </w:rPr>
            </w:pPr>
            <w:r w:rsidRPr="003C04D8">
              <w:rPr>
                <w:rFonts w:ascii="Aptos Narrow" w:eastAsia="Times New Roman" w:hAnsi="Aptos Narrow" w:cs="Times New Roman"/>
                <w:color w:val="000000"/>
                <w:lang w:eastAsia="cs-CZ"/>
              </w:rPr>
              <w:t xml:space="preserve">S ohledem na význam boje proti změně klimatu v souladu se závazky Unie provádět Pařížskou dohodu a cíle OSN pro udržitelný rozvoj by měly fondy přispívat k začleňování opatření v oblasti klimatu a k dosahování obecného cíle, kterým je vynakládat 30 % výdajů z rozpočtu Unie na podporu cílů v oblasti klimatu. V této souvislosti by fondy měly podporovat činnosti, které respektují klimatické a environmentální normy a priority Unie </w:t>
            </w:r>
            <w:r w:rsidRPr="003C04D8">
              <w:rPr>
                <w:rFonts w:ascii="Aptos Narrow" w:eastAsia="Times New Roman" w:hAnsi="Aptos Narrow" w:cs="Times New Roman"/>
                <w:b/>
                <w:bCs/>
                <w:color w:val="000000"/>
                <w:lang w:eastAsia="cs-CZ"/>
              </w:rPr>
              <w:t>a významně nepoškozují environmentální cíle ve smyslu článku 17 nařízení Evropského parlamentu a Rady (EU) 2020/852</w:t>
            </w:r>
            <w:r w:rsidRPr="003C04D8">
              <w:rPr>
                <w:rFonts w:ascii="Aptos Narrow" w:eastAsia="Times New Roman" w:hAnsi="Aptos Narrow" w:cs="Times New Roman"/>
                <w:color w:val="000000"/>
                <w:lang w:eastAsia="cs-CZ"/>
              </w:rPr>
              <w:t>. Nedílnou součástí programování a využívání fondů by měly být odpovídající mechanismy pro zajištění prověřování podporovaných investic do infrastruktury z hlediska klimatického dopadu.</w:t>
            </w:r>
          </w:p>
        </w:tc>
      </w:tr>
      <w:tr w:rsidR="003C04D8" w:rsidRPr="003C04D8" w14:paraId="22550225" w14:textId="77777777" w:rsidTr="003C04D8">
        <w:trPr>
          <w:trHeight w:val="2098"/>
        </w:trPr>
        <w:tc>
          <w:tcPr>
            <w:tcW w:w="2305" w:type="dxa"/>
            <w:vMerge/>
            <w:tcBorders>
              <w:top w:val="nil"/>
              <w:left w:val="single" w:sz="8" w:space="0" w:color="auto"/>
              <w:bottom w:val="single" w:sz="8" w:space="0" w:color="auto"/>
              <w:right w:val="single" w:sz="8" w:space="0" w:color="auto"/>
            </w:tcBorders>
            <w:vAlign w:val="center"/>
            <w:hideMark/>
          </w:tcPr>
          <w:p w14:paraId="58EA91AA" w14:textId="77777777" w:rsidR="003C04D8" w:rsidRPr="003C04D8" w:rsidRDefault="003C04D8" w:rsidP="003C04D8">
            <w:pPr>
              <w:spacing w:after="0" w:line="240" w:lineRule="auto"/>
              <w:jc w:val="left"/>
              <w:rPr>
                <w:rFonts w:ascii="Aptos Narrow" w:eastAsia="Times New Roman" w:hAnsi="Aptos Narrow" w:cs="Times New Roman"/>
                <w:color w:val="0000FF"/>
                <w:lang w:eastAsia="cs-CZ"/>
              </w:rPr>
            </w:pPr>
          </w:p>
        </w:tc>
        <w:tc>
          <w:tcPr>
            <w:tcW w:w="1938" w:type="dxa"/>
            <w:tcBorders>
              <w:top w:val="nil"/>
              <w:left w:val="nil"/>
              <w:bottom w:val="single" w:sz="8" w:space="0" w:color="auto"/>
              <w:right w:val="single" w:sz="8" w:space="0" w:color="auto"/>
            </w:tcBorders>
            <w:noWrap/>
            <w:vAlign w:val="center"/>
            <w:hideMark/>
          </w:tcPr>
          <w:p w14:paraId="39E301DF" w14:textId="77777777" w:rsidR="003C04D8" w:rsidRPr="003C04D8" w:rsidRDefault="003C04D8" w:rsidP="003C04D8">
            <w:pPr>
              <w:spacing w:after="0" w:line="240" w:lineRule="auto"/>
              <w:jc w:val="left"/>
              <w:rPr>
                <w:rFonts w:ascii="Aptos Narrow" w:eastAsia="Times New Roman" w:hAnsi="Aptos Narrow" w:cs="Times New Roman"/>
                <w:color w:val="000000"/>
                <w:lang w:eastAsia="cs-CZ"/>
              </w:rPr>
            </w:pPr>
            <w:r w:rsidRPr="003C04D8">
              <w:rPr>
                <w:rFonts w:ascii="Aptos Narrow" w:eastAsia="Times New Roman" w:hAnsi="Aptos Narrow" w:cs="Times New Roman"/>
                <w:color w:val="000000"/>
                <w:lang w:eastAsia="cs-CZ"/>
              </w:rPr>
              <w:t>Preambule (60)</w:t>
            </w:r>
          </w:p>
        </w:tc>
        <w:tc>
          <w:tcPr>
            <w:tcW w:w="11339" w:type="dxa"/>
            <w:tcBorders>
              <w:top w:val="nil"/>
              <w:left w:val="nil"/>
              <w:bottom w:val="single" w:sz="8" w:space="0" w:color="auto"/>
              <w:right w:val="single" w:sz="8" w:space="0" w:color="auto"/>
            </w:tcBorders>
            <w:vAlign w:val="center"/>
            <w:hideMark/>
          </w:tcPr>
          <w:p w14:paraId="54CB9D0E" w14:textId="77777777" w:rsidR="003C04D8" w:rsidRPr="003C04D8" w:rsidRDefault="003C04D8" w:rsidP="003C04D8">
            <w:pPr>
              <w:spacing w:after="0" w:line="240" w:lineRule="auto"/>
              <w:jc w:val="left"/>
              <w:rPr>
                <w:rFonts w:ascii="Aptos Narrow" w:eastAsia="Times New Roman" w:hAnsi="Aptos Narrow" w:cs="Times New Roman"/>
                <w:b/>
                <w:bCs/>
                <w:color w:val="000000"/>
                <w:lang w:eastAsia="cs-CZ"/>
              </w:rPr>
            </w:pPr>
            <w:r w:rsidRPr="003C04D8">
              <w:rPr>
                <w:rFonts w:ascii="Aptos Narrow" w:eastAsia="Times New Roman" w:hAnsi="Aptos Narrow" w:cs="Times New Roman"/>
                <w:b/>
                <w:bCs/>
                <w:color w:val="000000"/>
                <w:lang w:eastAsia="cs-CZ"/>
              </w:rPr>
              <w:t>Jelikož řídící orgán nese hlavní odpovědnost za účinné a efektivní provádění fondů, a proto zastává široký rozsah funkcí, měly by být podrobně stanoveny jeho funkce v souvislosti s výběrem operací, řízením programu a podporou monitorovacího výboru.</w:t>
            </w:r>
            <w:r w:rsidRPr="003C04D8">
              <w:rPr>
                <w:rFonts w:ascii="Aptos Narrow" w:eastAsia="Times New Roman" w:hAnsi="Aptos Narrow" w:cs="Times New Roman"/>
                <w:color w:val="000000"/>
                <w:lang w:eastAsia="cs-CZ"/>
              </w:rPr>
              <w:t xml:space="preserve"> Postupy pro výběr operací mohou být soutěžní nebo nesoutěžní povahy, pokud jsou použitá kritéria a postupy nediskriminační, inkluzivní a transparentní a pokud vybrané operace maximalizují přínos financování z prostředků Unie a jsou v souladu s horizontálními zásadami vymezenými v tomto nařízení</w:t>
            </w:r>
            <w:r w:rsidRPr="003C04D8">
              <w:rPr>
                <w:rFonts w:ascii="Aptos Narrow" w:eastAsia="Times New Roman" w:hAnsi="Aptos Narrow" w:cs="Times New Roman"/>
                <w:b/>
                <w:bCs/>
                <w:color w:val="000000"/>
                <w:lang w:eastAsia="cs-CZ"/>
              </w:rPr>
              <w:t>. V zájmu dosažení cíle klimaticky neutrální Unie do roku 2050 by měly členské státy zajistit, aby byly investice do infrastruktury odolné vůči změně klimatu, a měly by při výběru těchto investic upřednostňovat operace, které dodržují zásadu „energetická účinnost v první řadě“.</w:t>
            </w:r>
          </w:p>
        </w:tc>
      </w:tr>
      <w:tr w:rsidR="003C04D8" w:rsidRPr="003C04D8" w14:paraId="2B5829D0" w14:textId="77777777" w:rsidTr="003C04D8">
        <w:trPr>
          <w:trHeight w:val="1020"/>
        </w:trPr>
        <w:tc>
          <w:tcPr>
            <w:tcW w:w="2305" w:type="dxa"/>
            <w:vMerge/>
            <w:tcBorders>
              <w:top w:val="nil"/>
              <w:left w:val="single" w:sz="8" w:space="0" w:color="auto"/>
              <w:bottom w:val="single" w:sz="8" w:space="0" w:color="auto"/>
              <w:right w:val="single" w:sz="8" w:space="0" w:color="auto"/>
            </w:tcBorders>
            <w:vAlign w:val="center"/>
            <w:hideMark/>
          </w:tcPr>
          <w:p w14:paraId="32401A09" w14:textId="77777777" w:rsidR="003C04D8" w:rsidRPr="003C04D8" w:rsidRDefault="003C04D8" w:rsidP="003C04D8">
            <w:pPr>
              <w:spacing w:after="0" w:line="240" w:lineRule="auto"/>
              <w:jc w:val="left"/>
              <w:rPr>
                <w:rFonts w:ascii="Aptos Narrow" w:eastAsia="Times New Roman" w:hAnsi="Aptos Narrow" w:cs="Times New Roman"/>
                <w:color w:val="0000FF"/>
                <w:lang w:eastAsia="cs-CZ"/>
              </w:rPr>
            </w:pPr>
          </w:p>
        </w:tc>
        <w:tc>
          <w:tcPr>
            <w:tcW w:w="1938" w:type="dxa"/>
            <w:tcBorders>
              <w:top w:val="nil"/>
              <w:left w:val="nil"/>
              <w:bottom w:val="single" w:sz="8" w:space="0" w:color="auto"/>
              <w:right w:val="single" w:sz="8" w:space="0" w:color="auto"/>
            </w:tcBorders>
            <w:noWrap/>
            <w:vAlign w:val="center"/>
            <w:hideMark/>
          </w:tcPr>
          <w:p w14:paraId="6033A7E1" w14:textId="77777777" w:rsidR="003C04D8" w:rsidRPr="003C04D8" w:rsidRDefault="003C04D8" w:rsidP="003C04D8">
            <w:pPr>
              <w:spacing w:after="0" w:line="240" w:lineRule="auto"/>
              <w:jc w:val="left"/>
              <w:rPr>
                <w:rFonts w:ascii="Aptos Narrow" w:eastAsia="Times New Roman" w:hAnsi="Aptos Narrow" w:cs="Times New Roman"/>
                <w:color w:val="000000"/>
                <w:lang w:eastAsia="cs-CZ"/>
              </w:rPr>
            </w:pPr>
            <w:r w:rsidRPr="003C04D8">
              <w:rPr>
                <w:rFonts w:ascii="Aptos Narrow" w:eastAsia="Times New Roman" w:hAnsi="Aptos Narrow" w:cs="Times New Roman"/>
                <w:color w:val="000000"/>
                <w:lang w:eastAsia="cs-CZ"/>
              </w:rPr>
              <w:t>Článek 2(42)</w:t>
            </w:r>
          </w:p>
        </w:tc>
        <w:tc>
          <w:tcPr>
            <w:tcW w:w="11339" w:type="dxa"/>
            <w:tcBorders>
              <w:top w:val="nil"/>
              <w:left w:val="nil"/>
              <w:bottom w:val="single" w:sz="8" w:space="0" w:color="auto"/>
              <w:right w:val="single" w:sz="8" w:space="0" w:color="auto"/>
            </w:tcBorders>
            <w:vAlign w:val="center"/>
            <w:hideMark/>
          </w:tcPr>
          <w:p w14:paraId="38BC500F" w14:textId="77777777" w:rsidR="003C04D8" w:rsidRPr="003C04D8" w:rsidRDefault="003C04D8" w:rsidP="003C04D8">
            <w:pPr>
              <w:spacing w:after="0" w:line="240" w:lineRule="auto"/>
              <w:jc w:val="left"/>
              <w:rPr>
                <w:rFonts w:ascii="Aptos Narrow" w:eastAsia="Times New Roman" w:hAnsi="Aptos Narrow" w:cs="Times New Roman"/>
                <w:b/>
                <w:bCs/>
                <w:color w:val="000000"/>
                <w:lang w:eastAsia="cs-CZ"/>
              </w:rPr>
            </w:pPr>
            <w:r w:rsidRPr="003C04D8">
              <w:rPr>
                <w:rFonts w:ascii="Aptos Narrow" w:eastAsia="Times New Roman" w:hAnsi="Aptos Narrow" w:cs="Times New Roman"/>
                <w:b/>
                <w:bCs/>
                <w:color w:val="000000"/>
                <w:lang w:eastAsia="cs-CZ"/>
              </w:rPr>
              <w:t>„zajištěním prověřování infrastruktury z hlediska klimatického dopadu“ proces, který má zabránit tomu, aby byla infrastruktura zranitelná z hlediska potenciálních dlouhodobých důsledků změny klimatu, a zároveň zajistit, aby byla dodržována zásada „energetická účinnost v první řadě“ a aby úroveň emisí skleníkových plynů, které při projektu vzniknou, byla v souladu s cílem klimatické neutrality do roku 2050</w:t>
            </w:r>
          </w:p>
        </w:tc>
      </w:tr>
      <w:tr w:rsidR="003C04D8" w:rsidRPr="003C04D8" w14:paraId="6890ADB1" w14:textId="77777777" w:rsidTr="003C04D8">
        <w:trPr>
          <w:trHeight w:val="915"/>
        </w:trPr>
        <w:tc>
          <w:tcPr>
            <w:tcW w:w="2305" w:type="dxa"/>
            <w:vMerge/>
            <w:tcBorders>
              <w:top w:val="nil"/>
              <w:left w:val="single" w:sz="8" w:space="0" w:color="auto"/>
              <w:bottom w:val="single" w:sz="8" w:space="0" w:color="auto"/>
              <w:right w:val="single" w:sz="8" w:space="0" w:color="auto"/>
            </w:tcBorders>
            <w:vAlign w:val="center"/>
            <w:hideMark/>
          </w:tcPr>
          <w:p w14:paraId="7048ECA6" w14:textId="77777777" w:rsidR="003C04D8" w:rsidRPr="003C04D8" w:rsidRDefault="003C04D8" w:rsidP="003C04D8">
            <w:pPr>
              <w:spacing w:after="0" w:line="240" w:lineRule="auto"/>
              <w:jc w:val="left"/>
              <w:rPr>
                <w:rFonts w:ascii="Aptos Narrow" w:eastAsia="Times New Roman" w:hAnsi="Aptos Narrow" w:cs="Times New Roman"/>
                <w:color w:val="0000FF"/>
                <w:lang w:eastAsia="cs-CZ"/>
              </w:rPr>
            </w:pPr>
          </w:p>
        </w:tc>
        <w:tc>
          <w:tcPr>
            <w:tcW w:w="1938" w:type="dxa"/>
            <w:vMerge w:val="restart"/>
            <w:tcBorders>
              <w:top w:val="nil"/>
              <w:left w:val="single" w:sz="8" w:space="0" w:color="auto"/>
              <w:bottom w:val="single" w:sz="8" w:space="0" w:color="auto"/>
              <w:right w:val="single" w:sz="8" w:space="0" w:color="auto"/>
            </w:tcBorders>
            <w:noWrap/>
            <w:vAlign w:val="center"/>
            <w:hideMark/>
          </w:tcPr>
          <w:p w14:paraId="38AB7F36" w14:textId="77777777" w:rsidR="003C04D8" w:rsidRPr="003C04D8" w:rsidRDefault="003C04D8" w:rsidP="003C04D8">
            <w:pPr>
              <w:spacing w:after="0" w:line="240" w:lineRule="auto"/>
              <w:jc w:val="left"/>
              <w:rPr>
                <w:rFonts w:ascii="Aptos Narrow" w:eastAsia="Times New Roman" w:hAnsi="Aptos Narrow" w:cs="Times New Roman"/>
                <w:color w:val="000000"/>
                <w:lang w:eastAsia="cs-CZ"/>
              </w:rPr>
            </w:pPr>
            <w:r w:rsidRPr="003C04D8">
              <w:rPr>
                <w:rFonts w:ascii="Aptos Narrow" w:eastAsia="Times New Roman" w:hAnsi="Aptos Narrow" w:cs="Times New Roman"/>
                <w:color w:val="000000"/>
                <w:lang w:eastAsia="cs-CZ"/>
              </w:rPr>
              <w:t>Článek 9(4)</w:t>
            </w:r>
          </w:p>
        </w:tc>
        <w:tc>
          <w:tcPr>
            <w:tcW w:w="11339" w:type="dxa"/>
            <w:tcBorders>
              <w:top w:val="nil"/>
              <w:left w:val="nil"/>
              <w:bottom w:val="single" w:sz="8" w:space="0" w:color="auto"/>
              <w:right w:val="single" w:sz="8" w:space="0" w:color="auto"/>
            </w:tcBorders>
            <w:vAlign w:val="center"/>
            <w:hideMark/>
          </w:tcPr>
          <w:p w14:paraId="263C0B77" w14:textId="77777777" w:rsidR="003C04D8" w:rsidRPr="003C04D8" w:rsidRDefault="003C04D8" w:rsidP="003C04D8">
            <w:pPr>
              <w:spacing w:after="0" w:line="240" w:lineRule="auto"/>
              <w:jc w:val="left"/>
              <w:rPr>
                <w:rFonts w:ascii="Aptos Narrow" w:eastAsia="Times New Roman" w:hAnsi="Aptos Narrow" w:cs="Times New Roman"/>
                <w:b/>
                <w:bCs/>
                <w:color w:val="000000"/>
                <w:lang w:eastAsia="cs-CZ"/>
              </w:rPr>
            </w:pPr>
            <w:r w:rsidRPr="003C04D8">
              <w:rPr>
                <w:rFonts w:ascii="Aptos Narrow" w:eastAsia="Times New Roman" w:hAnsi="Aptos Narrow" w:cs="Times New Roman"/>
                <w:b/>
                <w:bCs/>
                <w:color w:val="000000"/>
                <w:lang w:eastAsia="cs-CZ"/>
              </w:rPr>
              <w:t>Cíle fondů jsou naplňovány v souladu s cílem podpory udržitelného rozvoje podle ustanovení článku 11 Smlouvy o fungování EU s přihlédnutím k cílům OSN pro udržitelný rozvoj, Pařížské dohodě a zásadě „významně nepoškozovat“.</w:t>
            </w:r>
          </w:p>
        </w:tc>
      </w:tr>
      <w:tr w:rsidR="003C04D8" w:rsidRPr="003C04D8" w14:paraId="0E97748D" w14:textId="77777777" w:rsidTr="003C04D8">
        <w:trPr>
          <w:trHeight w:val="615"/>
        </w:trPr>
        <w:tc>
          <w:tcPr>
            <w:tcW w:w="2305" w:type="dxa"/>
            <w:vMerge/>
            <w:tcBorders>
              <w:top w:val="nil"/>
              <w:left w:val="single" w:sz="8" w:space="0" w:color="auto"/>
              <w:bottom w:val="single" w:sz="8" w:space="0" w:color="auto"/>
              <w:right w:val="single" w:sz="8" w:space="0" w:color="auto"/>
            </w:tcBorders>
            <w:vAlign w:val="center"/>
            <w:hideMark/>
          </w:tcPr>
          <w:p w14:paraId="11645ADC" w14:textId="77777777" w:rsidR="003C04D8" w:rsidRPr="003C04D8" w:rsidRDefault="003C04D8" w:rsidP="003C04D8">
            <w:pPr>
              <w:spacing w:after="0" w:line="240" w:lineRule="auto"/>
              <w:jc w:val="left"/>
              <w:rPr>
                <w:rFonts w:ascii="Aptos Narrow" w:eastAsia="Times New Roman" w:hAnsi="Aptos Narrow" w:cs="Times New Roman"/>
                <w:color w:val="0000FF"/>
                <w:lang w:eastAsia="cs-CZ"/>
              </w:rPr>
            </w:pPr>
          </w:p>
        </w:tc>
        <w:tc>
          <w:tcPr>
            <w:tcW w:w="1938" w:type="dxa"/>
            <w:vMerge/>
            <w:tcBorders>
              <w:top w:val="nil"/>
              <w:left w:val="single" w:sz="8" w:space="0" w:color="auto"/>
              <w:bottom w:val="single" w:sz="8" w:space="0" w:color="auto"/>
              <w:right w:val="single" w:sz="8" w:space="0" w:color="auto"/>
            </w:tcBorders>
            <w:vAlign w:val="center"/>
            <w:hideMark/>
          </w:tcPr>
          <w:p w14:paraId="51FE718D" w14:textId="77777777" w:rsidR="003C04D8" w:rsidRPr="003C04D8" w:rsidRDefault="003C04D8" w:rsidP="003C04D8">
            <w:pPr>
              <w:spacing w:after="0" w:line="240" w:lineRule="auto"/>
              <w:jc w:val="left"/>
              <w:rPr>
                <w:rFonts w:ascii="Aptos Narrow" w:eastAsia="Times New Roman" w:hAnsi="Aptos Narrow" w:cs="Times New Roman"/>
                <w:color w:val="000000"/>
                <w:lang w:eastAsia="cs-CZ"/>
              </w:rPr>
            </w:pPr>
          </w:p>
        </w:tc>
        <w:tc>
          <w:tcPr>
            <w:tcW w:w="11339" w:type="dxa"/>
            <w:tcBorders>
              <w:top w:val="nil"/>
              <w:left w:val="nil"/>
              <w:bottom w:val="single" w:sz="8" w:space="0" w:color="auto"/>
              <w:right w:val="single" w:sz="8" w:space="0" w:color="auto"/>
            </w:tcBorders>
            <w:vAlign w:val="center"/>
            <w:hideMark/>
          </w:tcPr>
          <w:p w14:paraId="295720F1" w14:textId="77777777" w:rsidR="003C04D8" w:rsidRPr="003C04D8" w:rsidRDefault="003C04D8" w:rsidP="003C04D8">
            <w:pPr>
              <w:spacing w:after="0" w:line="240" w:lineRule="auto"/>
              <w:jc w:val="left"/>
              <w:rPr>
                <w:rFonts w:ascii="Aptos Narrow" w:eastAsia="Times New Roman" w:hAnsi="Aptos Narrow" w:cs="Times New Roman"/>
                <w:color w:val="000000"/>
                <w:lang w:eastAsia="cs-CZ"/>
              </w:rPr>
            </w:pPr>
            <w:r w:rsidRPr="003C04D8">
              <w:rPr>
                <w:rFonts w:ascii="Aptos Narrow" w:eastAsia="Times New Roman" w:hAnsi="Aptos Narrow" w:cs="Times New Roman"/>
                <w:color w:val="000000"/>
                <w:lang w:eastAsia="cs-CZ"/>
              </w:rPr>
              <w:t xml:space="preserve">Cíle fondů jsou naplňovány v plném souladu s </w:t>
            </w:r>
            <w:proofErr w:type="spellStart"/>
            <w:r w:rsidRPr="003C04D8">
              <w:rPr>
                <w:rFonts w:ascii="Aptos Narrow" w:eastAsia="Times New Roman" w:hAnsi="Aptos Narrow" w:cs="Times New Roman"/>
                <w:color w:val="000000"/>
                <w:lang w:eastAsia="cs-CZ"/>
              </w:rPr>
              <w:t>acquis</w:t>
            </w:r>
            <w:proofErr w:type="spellEnd"/>
            <w:r w:rsidRPr="003C04D8">
              <w:rPr>
                <w:rFonts w:ascii="Aptos Narrow" w:eastAsia="Times New Roman" w:hAnsi="Aptos Narrow" w:cs="Times New Roman"/>
                <w:color w:val="000000"/>
                <w:lang w:eastAsia="cs-CZ"/>
              </w:rPr>
              <w:t xml:space="preserve"> Unie v oblasti životního prostředí.</w:t>
            </w:r>
          </w:p>
        </w:tc>
      </w:tr>
      <w:tr w:rsidR="003C04D8" w:rsidRPr="003C04D8" w14:paraId="7C58F0C1" w14:textId="77777777" w:rsidTr="003C04D8">
        <w:trPr>
          <w:trHeight w:val="315"/>
        </w:trPr>
        <w:tc>
          <w:tcPr>
            <w:tcW w:w="2305" w:type="dxa"/>
            <w:vMerge/>
            <w:tcBorders>
              <w:top w:val="nil"/>
              <w:left w:val="single" w:sz="8" w:space="0" w:color="auto"/>
              <w:bottom w:val="single" w:sz="8" w:space="0" w:color="auto"/>
              <w:right w:val="single" w:sz="8" w:space="0" w:color="auto"/>
            </w:tcBorders>
            <w:vAlign w:val="center"/>
            <w:hideMark/>
          </w:tcPr>
          <w:p w14:paraId="635F0522" w14:textId="77777777" w:rsidR="003C04D8" w:rsidRPr="003C04D8" w:rsidRDefault="003C04D8" w:rsidP="003C04D8">
            <w:pPr>
              <w:spacing w:after="0" w:line="240" w:lineRule="auto"/>
              <w:jc w:val="left"/>
              <w:rPr>
                <w:rFonts w:ascii="Aptos Narrow" w:eastAsia="Times New Roman" w:hAnsi="Aptos Narrow" w:cs="Times New Roman"/>
                <w:color w:val="0000FF"/>
                <w:lang w:eastAsia="cs-CZ"/>
              </w:rPr>
            </w:pPr>
          </w:p>
        </w:tc>
        <w:tc>
          <w:tcPr>
            <w:tcW w:w="1938" w:type="dxa"/>
            <w:vMerge w:val="restart"/>
            <w:tcBorders>
              <w:top w:val="nil"/>
              <w:left w:val="single" w:sz="8" w:space="0" w:color="auto"/>
              <w:bottom w:val="single" w:sz="8" w:space="0" w:color="auto"/>
              <w:right w:val="single" w:sz="8" w:space="0" w:color="auto"/>
            </w:tcBorders>
            <w:noWrap/>
            <w:vAlign w:val="center"/>
            <w:hideMark/>
          </w:tcPr>
          <w:p w14:paraId="4F54E73B" w14:textId="77777777" w:rsidR="003C04D8" w:rsidRPr="003C04D8" w:rsidRDefault="003C04D8" w:rsidP="003C04D8">
            <w:pPr>
              <w:spacing w:after="0" w:line="240" w:lineRule="auto"/>
              <w:jc w:val="left"/>
              <w:rPr>
                <w:rFonts w:ascii="Aptos Narrow" w:eastAsia="Times New Roman" w:hAnsi="Aptos Narrow" w:cs="Times New Roman"/>
                <w:color w:val="000000"/>
                <w:lang w:eastAsia="cs-CZ"/>
              </w:rPr>
            </w:pPr>
            <w:r w:rsidRPr="003C04D8">
              <w:rPr>
                <w:rFonts w:ascii="Aptos Narrow" w:eastAsia="Times New Roman" w:hAnsi="Aptos Narrow" w:cs="Times New Roman"/>
                <w:color w:val="000000"/>
                <w:lang w:eastAsia="cs-CZ"/>
              </w:rPr>
              <w:t>Článek 73(2)</w:t>
            </w:r>
          </w:p>
        </w:tc>
        <w:tc>
          <w:tcPr>
            <w:tcW w:w="11339" w:type="dxa"/>
            <w:tcBorders>
              <w:top w:val="nil"/>
              <w:left w:val="nil"/>
              <w:bottom w:val="single" w:sz="8" w:space="0" w:color="auto"/>
              <w:right w:val="single" w:sz="8" w:space="0" w:color="auto"/>
            </w:tcBorders>
            <w:vAlign w:val="center"/>
            <w:hideMark/>
          </w:tcPr>
          <w:p w14:paraId="0737A245" w14:textId="77777777" w:rsidR="003C04D8" w:rsidRPr="003C04D8" w:rsidRDefault="003C04D8" w:rsidP="003C04D8">
            <w:pPr>
              <w:spacing w:after="0" w:line="240" w:lineRule="auto"/>
              <w:jc w:val="left"/>
              <w:rPr>
                <w:rFonts w:ascii="Aptos Narrow" w:eastAsia="Times New Roman" w:hAnsi="Aptos Narrow" w:cs="Times New Roman"/>
                <w:color w:val="000000"/>
                <w:lang w:eastAsia="cs-CZ"/>
              </w:rPr>
            </w:pPr>
            <w:r w:rsidRPr="003C04D8">
              <w:rPr>
                <w:rFonts w:ascii="Aptos Narrow" w:eastAsia="Times New Roman" w:hAnsi="Aptos Narrow" w:cs="Times New Roman"/>
                <w:color w:val="000000"/>
                <w:lang w:eastAsia="cs-CZ"/>
              </w:rPr>
              <w:t>Při výběru operací řídící orgán:</w:t>
            </w:r>
          </w:p>
        </w:tc>
      </w:tr>
      <w:tr w:rsidR="003C04D8" w:rsidRPr="003C04D8" w14:paraId="6E6D3C15" w14:textId="77777777" w:rsidTr="003C04D8">
        <w:trPr>
          <w:trHeight w:val="615"/>
        </w:trPr>
        <w:tc>
          <w:tcPr>
            <w:tcW w:w="2305" w:type="dxa"/>
            <w:vMerge/>
            <w:tcBorders>
              <w:top w:val="nil"/>
              <w:left w:val="single" w:sz="8" w:space="0" w:color="auto"/>
              <w:bottom w:val="single" w:sz="8" w:space="0" w:color="auto"/>
              <w:right w:val="single" w:sz="8" w:space="0" w:color="auto"/>
            </w:tcBorders>
            <w:vAlign w:val="center"/>
            <w:hideMark/>
          </w:tcPr>
          <w:p w14:paraId="7B190516" w14:textId="77777777" w:rsidR="003C04D8" w:rsidRPr="003C04D8" w:rsidRDefault="003C04D8" w:rsidP="003C04D8">
            <w:pPr>
              <w:spacing w:after="0" w:line="240" w:lineRule="auto"/>
              <w:jc w:val="left"/>
              <w:rPr>
                <w:rFonts w:ascii="Aptos Narrow" w:eastAsia="Times New Roman" w:hAnsi="Aptos Narrow" w:cs="Times New Roman"/>
                <w:color w:val="0000FF"/>
                <w:lang w:eastAsia="cs-CZ"/>
              </w:rPr>
            </w:pPr>
          </w:p>
        </w:tc>
        <w:tc>
          <w:tcPr>
            <w:tcW w:w="1938" w:type="dxa"/>
            <w:vMerge/>
            <w:tcBorders>
              <w:top w:val="nil"/>
              <w:left w:val="single" w:sz="8" w:space="0" w:color="auto"/>
              <w:bottom w:val="single" w:sz="8" w:space="0" w:color="auto"/>
              <w:right w:val="single" w:sz="8" w:space="0" w:color="auto"/>
            </w:tcBorders>
            <w:vAlign w:val="center"/>
            <w:hideMark/>
          </w:tcPr>
          <w:p w14:paraId="09E50944" w14:textId="77777777" w:rsidR="003C04D8" w:rsidRPr="003C04D8" w:rsidRDefault="003C04D8" w:rsidP="003C04D8">
            <w:pPr>
              <w:spacing w:after="0" w:line="240" w:lineRule="auto"/>
              <w:jc w:val="left"/>
              <w:rPr>
                <w:rFonts w:ascii="Aptos Narrow" w:eastAsia="Times New Roman" w:hAnsi="Aptos Narrow" w:cs="Times New Roman"/>
                <w:color w:val="000000"/>
                <w:lang w:eastAsia="cs-CZ"/>
              </w:rPr>
            </w:pPr>
          </w:p>
        </w:tc>
        <w:tc>
          <w:tcPr>
            <w:tcW w:w="11339" w:type="dxa"/>
            <w:tcBorders>
              <w:top w:val="nil"/>
              <w:left w:val="nil"/>
              <w:bottom w:val="single" w:sz="8" w:space="0" w:color="auto"/>
              <w:right w:val="single" w:sz="8" w:space="0" w:color="auto"/>
            </w:tcBorders>
            <w:vAlign w:val="center"/>
            <w:hideMark/>
          </w:tcPr>
          <w:p w14:paraId="32A13B50" w14:textId="77777777" w:rsidR="003C04D8" w:rsidRPr="003C04D8" w:rsidRDefault="003C04D8" w:rsidP="003C04D8">
            <w:pPr>
              <w:spacing w:after="0" w:line="240" w:lineRule="auto"/>
              <w:jc w:val="left"/>
              <w:rPr>
                <w:rFonts w:ascii="Aptos Narrow" w:eastAsia="Times New Roman" w:hAnsi="Aptos Narrow" w:cs="Times New Roman"/>
                <w:color w:val="000000"/>
                <w:lang w:eastAsia="cs-CZ"/>
              </w:rPr>
            </w:pPr>
            <w:r w:rsidRPr="003C04D8">
              <w:rPr>
                <w:rFonts w:ascii="Aptos Narrow" w:eastAsia="Times New Roman" w:hAnsi="Aptos Narrow" w:cs="Times New Roman"/>
                <w:color w:val="000000"/>
                <w:lang w:eastAsia="cs-CZ"/>
              </w:rPr>
              <w:t xml:space="preserve">j) </w:t>
            </w:r>
            <w:r w:rsidRPr="003C04D8">
              <w:rPr>
                <w:rFonts w:ascii="Aptos Narrow" w:eastAsia="Times New Roman" w:hAnsi="Aptos Narrow" w:cs="Times New Roman"/>
                <w:b/>
                <w:bCs/>
                <w:color w:val="000000"/>
                <w:lang w:eastAsia="cs-CZ"/>
              </w:rPr>
              <w:t>zajistí prověřování infrastruktury s očekávanou životností alespoň pět let z hlediska klimatického dopadu.</w:t>
            </w:r>
          </w:p>
        </w:tc>
      </w:tr>
      <w:tr w:rsidR="003C04D8" w:rsidRPr="003C04D8" w14:paraId="210565CA" w14:textId="77777777" w:rsidTr="003C04D8">
        <w:trPr>
          <w:trHeight w:val="3685"/>
        </w:trPr>
        <w:tc>
          <w:tcPr>
            <w:tcW w:w="2305" w:type="dxa"/>
            <w:tcBorders>
              <w:top w:val="nil"/>
              <w:left w:val="single" w:sz="8" w:space="0" w:color="auto"/>
              <w:bottom w:val="single" w:sz="8" w:space="0" w:color="auto"/>
              <w:right w:val="single" w:sz="8" w:space="0" w:color="auto"/>
            </w:tcBorders>
            <w:vAlign w:val="center"/>
            <w:hideMark/>
          </w:tcPr>
          <w:p w14:paraId="6FA6F187" w14:textId="7A1D8383" w:rsidR="003C04D8" w:rsidRPr="003C04D8" w:rsidRDefault="003C04D8" w:rsidP="003C04D8">
            <w:pPr>
              <w:spacing w:after="0" w:line="240" w:lineRule="auto"/>
              <w:jc w:val="left"/>
              <w:rPr>
                <w:rFonts w:ascii="Aptos Narrow" w:eastAsia="Times New Roman" w:hAnsi="Aptos Narrow" w:cs="Times New Roman"/>
                <w:color w:val="0000FF"/>
                <w:lang w:eastAsia="cs-CZ"/>
              </w:rPr>
            </w:pPr>
            <w:hyperlink r:id="rId26" w:history="1">
              <w:r w:rsidRPr="003C04D8">
                <w:rPr>
                  <w:rStyle w:val="Hypertextovodkaz"/>
                  <w:rFonts w:ascii="Aptos Narrow" w:eastAsia="Times New Roman" w:hAnsi="Aptos Narrow" w:cs="Times New Roman"/>
                  <w:lang w:eastAsia="cs-CZ"/>
                </w:rPr>
                <w:t>NAŘÍZENÍ EVROPSKÉHO PARLAMENTU A RADY (EU) 2021/1056, kterým se zřizuje Fond pro spravedlivou transformaci</w:t>
              </w:r>
            </w:hyperlink>
          </w:p>
        </w:tc>
        <w:tc>
          <w:tcPr>
            <w:tcW w:w="1938" w:type="dxa"/>
            <w:tcBorders>
              <w:top w:val="nil"/>
              <w:left w:val="nil"/>
              <w:bottom w:val="single" w:sz="8" w:space="0" w:color="auto"/>
              <w:right w:val="single" w:sz="8" w:space="0" w:color="auto"/>
            </w:tcBorders>
            <w:noWrap/>
            <w:vAlign w:val="center"/>
            <w:hideMark/>
          </w:tcPr>
          <w:p w14:paraId="728CCAA4" w14:textId="77777777" w:rsidR="003C04D8" w:rsidRPr="003C04D8" w:rsidRDefault="003C04D8" w:rsidP="003C04D8">
            <w:pPr>
              <w:spacing w:after="0" w:line="240" w:lineRule="auto"/>
              <w:jc w:val="left"/>
              <w:rPr>
                <w:rFonts w:ascii="Aptos Narrow" w:eastAsia="Times New Roman" w:hAnsi="Aptos Narrow" w:cs="Times New Roman"/>
                <w:color w:val="000000"/>
                <w:lang w:eastAsia="cs-CZ"/>
              </w:rPr>
            </w:pPr>
            <w:r w:rsidRPr="003C04D8">
              <w:rPr>
                <w:rFonts w:ascii="Aptos Narrow" w:eastAsia="Times New Roman" w:hAnsi="Aptos Narrow" w:cs="Times New Roman"/>
                <w:color w:val="000000"/>
                <w:lang w:eastAsia="cs-CZ"/>
              </w:rPr>
              <w:t>Preambule (6)</w:t>
            </w:r>
          </w:p>
        </w:tc>
        <w:tc>
          <w:tcPr>
            <w:tcW w:w="11339" w:type="dxa"/>
            <w:tcBorders>
              <w:top w:val="nil"/>
              <w:left w:val="nil"/>
              <w:bottom w:val="single" w:sz="8" w:space="0" w:color="auto"/>
              <w:right w:val="single" w:sz="8" w:space="0" w:color="auto"/>
            </w:tcBorders>
            <w:vAlign w:val="center"/>
            <w:hideMark/>
          </w:tcPr>
          <w:p w14:paraId="1E46E67F" w14:textId="77777777" w:rsidR="003C04D8" w:rsidRPr="003C04D8" w:rsidRDefault="003C04D8" w:rsidP="003C04D8">
            <w:pPr>
              <w:spacing w:after="0" w:line="240" w:lineRule="auto"/>
              <w:jc w:val="left"/>
              <w:rPr>
                <w:rFonts w:ascii="Aptos Narrow" w:eastAsia="Times New Roman" w:hAnsi="Aptos Narrow" w:cs="Times New Roman"/>
                <w:color w:val="000000"/>
                <w:lang w:eastAsia="cs-CZ"/>
              </w:rPr>
            </w:pPr>
            <w:r w:rsidRPr="003C04D8">
              <w:rPr>
                <w:rFonts w:ascii="Aptos Narrow" w:eastAsia="Times New Roman" w:hAnsi="Aptos Narrow" w:cs="Times New Roman"/>
                <w:color w:val="000000"/>
                <w:lang w:eastAsia="cs-CZ"/>
              </w:rPr>
              <w:t>S ohledem na Zelenou dohodu pro Evropu jakožto strategii Unie pro udržitelný růst a na význam boje proti změně klimatu v souladu se závazky Unie provádět Pařížskou dohodu a na cíle OSN pro udržitelný rozvoj má FST přispívat k začleňování činností v oblasti klimatu a udržitelnosti životního prostředí a k dosahování obecného cíle, kterým je vynakládat 30 % výdajů z rozpočtu Unie na podporu cílů v oblasti klimatu, a k naplnění ambice věnovat v rámci víceletého finančního rámce na cíle v oblasti biologické rozmanitosti 7,5 % ročních výdajů v roce 2024 a 10 % ročních výdajů v letech 2026 a 2027, přičemž je třeba zohledňovat, jak se cíle v oblasti klimatu a cíle v oblasti biologické rozmanitosti překrývají. Zdroje z vlastního finančního krytí FST jsou doplňkové k investicím, které jsou zapotřebí k dosažení obecného cíle vynakládat 30 % výdajů z rozpočtu Unie na podporu cílů v oblasti klimatu. Tyto zdroje, spolu se zdroji převedenými dobrovolně z Evropského fondu pro regionální rozvoj (EFRR), zřízeného nařízením Evropského parlamentu a Rady (EU) 2021/1058, a Evropského sociálního fondu plus, (ESF+) zřízeného nařízením Evropského parlamentu a Rady (EU) 2021/1057, by měly plně přispívat k dosažení tohoto cíle</w:t>
            </w:r>
            <w:r w:rsidRPr="003C04D8">
              <w:rPr>
                <w:rFonts w:ascii="Aptos Narrow" w:eastAsia="Times New Roman" w:hAnsi="Aptos Narrow" w:cs="Times New Roman"/>
                <w:b/>
                <w:bCs/>
                <w:color w:val="000000"/>
                <w:lang w:eastAsia="cs-CZ"/>
              </w:rPr>
              <w:t>. V této souvislosti by FST měl podporovat činnosti, které dodržují klimatické a environmentální standardy a priority Unie, významně nepoškozují environmentální cíle ve smyslu článku 17 nařízení Evropského parlamentu a Rady (EU) 2020/852 a zajišťují transformaci na nízkouhlíkové hospodářství ve snaze o dosažení klimaticky neutrální Unie do roku 2050.</w:t>
            </w:r>
          </w:p>
        </w:tc>
      </w:tr>
      <w:tr w:rsidR="003C04D8" w:rsidRPr="003C04D8" w14:paraId="2C9FE59E" w14:textId="77777777" w:rsidTr="003C04D8">
        <w:trPr>
          <w:trHeight w:val="4706"/>
        </w:trPr>
        <w:tc>
          <w:tcPr>
            <w:tcW w:w="2305" w:type="dxa"/>
            <w:tcBorders>
              <w:top w:val="nil"/>
              <w:left w:val="single" w:sz="8" w:space="0" w:color="auto"/>
              <w:bottom w:val="single" w:sz="8" w:space="0" w:color="auto"/>
              <w:right w:val="single" w:sz="8" w:space="0" w:color="auto"/>
            </w:tcBorders>
            <w:vAlign w:val="center"/>
            <w:hideMark/>
          </w:tcPr>
          <w:p w14:paraId="671EAD14" w14:textId="47633FFF" w:rsidR="003C04D8" w:rsidRPr="003C04D8" w:rsidRDefault="003C04D8" w:rsidP="003C04D8">
            <w:pPr>
              <w:spacing w:after="0" w:line="240" w:lineRule="auto"/>
              <w:jc w:val="left"/>
              <w:rPr>
                <w:rFonts w:ascii="Aptos Narrow" w:eastAsia="Times New Roman" w:hAnsi="Aptos Narrow" w:cs="Times New Roman"/>
                <w:color w:val="0000FF"/>
                <w:lang w:eastAsia="cs-CZ"/>
              </w:rPr>
            </w:pPr>
            <w:hyperlink r:id="rId27" w:history="1">
              <w:r w:rsidRPr="003C04D8">
                <w:rPr>
                  <w:rStyle w:val="Hypertextovodkaz"/>
                  <w:rFonts w:ascii="Aptos Narrow" w:eastAsia="Times New Roman" w:hAnsi="Aptos Narrow" w:cs="Times New Roman"/>
                  <w:lang w:eastAsia="cs-CZ"/>
                </w:rPr>
                <w:t>NAŘÍZENÍ EVROPSKÉHO PARLAMENTU A RADY (EU) 2021/1058 o Evropském fondu pro regionální rozvoj a o Fondu soudržnosti</w:t>
              </w:r>
            </w:hyperlink>
            <w:r w:rsidRPr="003C04D8">
              <w:rPr>
                <w:rFonts w:ascii="Aptos Narrow" w:eastAsia="Times New Roman" w:hAnsi="Aptos Narrow" w:cs="Times New Roman"/>
                <w:color w:val="0000FF"/>
                <w:lang w:eastAsia="cs-CZ"/>
              </w:rPr>
              <w:t xml:space="preserve"> </w:t>
            </w:r>
          </w:p>
        </w:tc>
        <w:tc>
          <w:tcPr>
            <w:tcW w:w="1938" w:type="dxa"/>
            <w:tcBorders>
              <w:top w:val="nil"/>
              <w:left w:val="nil"/>
              <w:bottom w:val="single" w:sz="8" w:space="0" w:color="auto"/>
              <w:right w:val="single" w:sz="8" w:space="0" w:color="auto"/>
            </w:tcBorders>
            <w:noWrap/>
            <w:vAlign w:val="center"/>
            <w:hideMark/>
          </w:tcPr>
          <w:p w14:paraId="1EE2C909" w14:textId="77777777" w:rsidR="003C04D8" w:rsidRPr="003C04D8" w:rsidRDefault="003C04D8" w:rsidP="003C04D8">
            <w:pPr>
              <w:spacing w:after="0" w:line="240" w:lineRule="auto"/>
              <w:jc w:val="left"/>
              <w:rPr>
                <w:rFonts w:ascii="Aptos Narrow" w:eastAsia="Times New Roman" w:hAnsi="Aptos Narrow" w:cs="Times New Roman"/>
                <w:color w:val="000000"/>
                <w:lang w:eastAsia="cs-CZ"/>
              </w:rPr>
            </w:pPr>
            <w:r w:rsidRPr="003C04D8">
              <w:rPr>
                <w:rFonts w:ascii="Aptos Narrow" w:eastAsia="Times New Roman" w:hAnsi="Aptos Narrow" w:cs="Times New Roman"/>
                <w:color w:val="000000"/>
                <w:lang w:eastAsia="cs-CZ"/>
              </w:rPr>
              <w:t>Preambule (6)</w:t>
            </w:r>
          </w:p>
        </w:tc>
        <w:tc>
          <w:tcPr>
            <w:tcW w:w="11339" w:type="dxa"/>
            <w:tcBorders>
              <w:top w:val="nil"/>
              <w:left w:val="nil"/>
              <w:bottom w:val="single" w:sz="8" w:space="0" w:color="auto"/>
              <w:right w:val="single" w:sz="8" w:space="0" w:color="auto"/>
            </w:tcBorders>
            <w:vAlign w:val="center"/>
            <w:hideMark/>
          </w:tcPr>
          <w:p w14:paraId="7D471FE7" w14:textId="77777777" w:rsidR="003C04D8" w:rsidRPr="003C04D8" w:rsidRDefault="003C04D8" w:rsidP="003C04D8">
            <w:pPr>
              <w:spacing w:after="0" w:line="240" w:lineRule="auto"/>
              <w:jc w:val="left"/>
              <w:rPr>
                <w:rFonts w:ascii="Aptos Narrow" w:eastAsia="Times New Roman" w:hAnsi="Aptos Narrow" w:cs="Times New Roman"/>
                <w:color w:val="000000"/>
                <w:lang w:eastAsia="cs-CZ"/>
              </w:rPr>
            </w:pPr>
            <w:bookmarkStart w:id="31" w:name="RANGE!C17"/>
            <w:r w:rsidRPr="003C04D8">
              <w:rPr>
                <w:rFonts w:ascii="Aptos Narrow" w:eastAsia="Times New Roman" w:hAnsi="Aptos Narrow" w:cs="Times New Roman"/>
                <w:color w:val="000000"/>
                <w:lang w:eastAsia="cs-CZ"/>
              </w:rPr>
              <w:t xml:space="preserve">Cíle EFRR a Fondu soudržnosti by měly být sledovány v rámci udržitelného rozvoje a prosazování cíle Unie zachovat a chránit životní prostředí a zlepšovat jeho kvalitu, jak je stanoveno v článku 11 a čl. 191 odst. 1 Smlouvy o fungování EU, při zohlednění zásady „znečišťovatel platí“. S ohledem na význam boje proti změně klimatu v souladu se závazky Unie provádět Pařížskou dohodu z roku 2015 o změně klimatu, přijatou na základě Rámcové úmluvy Organizace spojených národů o změně klimatu, a na cíle Organizace spojených národů pro udržitelný rozvoj mají oba fondy přispívat k zohledňování činností v oblasti klimatu a k dosahování obecného cíle, kterým je vynakládat 30 % výdajů z rozpočtu Unie na podporu cílů v oblasti klimatu. Za tímto účelem se očekává, že k dosažení cílů v oblasti klimatu přispějí operace v rámci EFRR ve výši 30 % jeho celkového finančního krytí. U operací v rámci Fondu soudržnosti se očekává, že k dosažení cílů v oblasti klimatu přispějí ve výši 37 % jeho celkového finančního krytí. Kromě toho by opatření podle tohoto nařízení měla přispět k naplňování ambice, aby se na výdaje v oblasti biologické rozmanitosti věnovalo 7,5 % ročních výdajů podle víceletého finančního rámce v roce 2024 a 10 % ročních výdajů podle víceletého finančního rámce v letech 2026 a 2027, přičemž je třeba zohledňovat, jak se cíle v oblasti klimatu a cíle v oblasti biologické rozmanitosti překrývají. </w:t>
            </w:r>
            <w:r w:rsidRPr="003C04D8">
              <w:rPr>
                <w:rFonts w:ascii="Aptos Narrow" w:eastAsia="Times New Roman" w:hAnsi="Aptos Narrow" w:cs="Times New Roman"/>
                <w:b/>
                <w:bCs/>
                <w:color w:val="000000"/>
                <w:lang w:eastAsia="cs-CZ"/>
              </w:rPr>
              <w:t>Oba fondy by měly podporovat činnosti, které respektují klimatické a environmentální normy a priority Unie a významně nepoškozují environmentální cíle ve smyslu článku 17 nařízení Evropského parlamentu a Rady (EU) 2020/852 a které zajišťují přechod na nízkouhlíkové hospodářství na cestě k dosažení klimatické neutrality nejpozději do roku 2050.</w:t>
            </w:r>
            <w:r w:rsidRPr="003C04D8">
              <w:rPr>
                <w:rFonts w:ascii="Aptos Narrow" w:eastAsia="Times New Roman" w:hAnsi="Aptos Narrow" w:cs="Times New Roman"/>
                <w:color w:val="000000"/>
                <w:lang w:eastAsia="cs-CZ"/>
              </w:rPr>
              <w:t xml:space="preserve"> Programy EFRR a Fondu soudržnosti by měly zohledňovat obsah integrovaných vnitrostátních plánů v oblasti energetiky a klimatu přijatých v rámci správy energetické unie a opatření v oblasti klimatu, jak byla zřízena nařízením Evropského parlamentu a Rady (EU) 2018/1999(7).</w:t>
            </w:r>
            <w:bookmarkEnd w:id="31"/>
          </w:p>
        </w:tc>
      </w:tr>
      <w:tr w:rsidR="003C04D8" w:rsidRPr="003C04D8" w14:paraId="0ECD5C5A" w14:textId="77777777" w:rsidTr="003C04D8">
        <w:trPr>
          <w:trHeight w:val="1587"/>
        </w:trPr>
        <w:tc>
          <w:tcPr>
            <w:tcW w:w="2305" w:type="dxa"/>
            <w:vMerge w:val="restart"/>
            <w:tcBorders>
              <w:top w:val="nil"/>
              <w:left w:val="single" w:sz="8" w:space="0" w:color="auto"/>
              <w:bottom w:val="single" w:sz="8" w:space="0" w:color="auto"/>
              <w:right w:val="single" w:sz="8" w:space="0" w:color="auto"/>
            </w:tcBorders>
            <w:vAlign w:val="center"/>
            <w:hideMark/>
          </w:tcPr>
          <w:p w14:paraId="0D38AC41" w14:textId="6B9F751C" w:rsidR="003C04D8" w:rsidRPr="003C04D8" w:rsidRDefault="003C04D8" w:rsidP="003C04D8">
            <w:pPr>
              <w:spacing w:after="0" w:line="240" w:lineRule="auto"/>
              <w:jc w:val="left"/>
              <w:rPr>
                <w:rFonts w:ascii="Aptos Narrow" w:eastAsia="Times New Roman" w:hAnsi="Aptos Narrow" w:cs="Times New Roman"/>
                <w:color w:val="0000FF"/>
                <w:lang w:eastAsia="cs-CZ"/>
              </w:rPr>
            </w:pPr>
            <w:hyperlink r:id="rId28" w:history="1">
              <w:r w:rsidRPr="003C04D8">
                <w:rPr>
                  <w:rStyle w:val="Hypertextovodkaz"/>
                  <w:rFonts w:ascii="Aptos Narrow" w:eastAsia="Times New Roman" w:hAnsi="Aptos Narrow" w:cs="Times New Roman"/>
                  <w:lang w:eastAsia="cs-CZ"/>
                </w:rPr>
                <w:t>NAŘÍZENÍ EVROPSKÉHO PARLAMENTU A RADY (EU) 2021/1059 o zvláštních ustanoveních týkajících se cíle Evropská územní spolupráce (</w:t>
              </w:r>
              <w:proofErr w:type="spellStart"/>
              <w:r w:rsidRPr="003C04D8">
                <w:rPr>
                  <w:rStyle w:val="Hypertextovodkaz"/>
                  <w:rFonts w:ascii="Aptos Narrow" w:eastAsia="Times New Roman" w:hAnsi="Aptos Narrow" w:cs="Times New Roman"/>
                  <w:lang w:eastAsia="cs-CZ"/>
                </w:rPr>
                <w:t>Interreg</w:t>
              </w:r>
              <w:proofErr w:type="spellEnd"/>
              <w:r w:rsidRPr="003C04D8">
                <w:rPr>
                  <w:rStyle w:val="Hypertextovodkaz"/>
                  <w:rFonts w:ascii="Aptos Narrow" w:eastAsia="Times New Roman" w:hAnsi="Aptos Narrow" w:cs="Times New Roman"/>
                  <w:lang w:eastAsia="cs-CZ"/>
                </w:rPr>
                <w:t>) podporovaného z Evropského fondu pro regionální rozvoj a nástrojů financování vnější činnosti</w:t>
              </w:r>
            </w:hyperlink>
          </w:p>
        </w:tc>
        <w:tc>
          <w:tcPr>
            <w:tcW w:w="1938" w:type="dxa"/>
            <w:tcBorders>
              <w:top w:val="nil"/>
              <w:left w:val="nil"/>
              <w:bottom w:val="single" w:sz="8" w:space="0" w:color="auto"/>
              <w:right w:val="single" w:sz="8" w:space="0" w:color="auto"/>
            </w:tcBorders>
            <w:noWrap/>
            <w:vAlign w:val="center"/>
            <w:hideMark/>
          </w:tcPr>
          <w:p w14:paraId="5234E286" w14:textId="77777777" w:rsidR="003C04D8" w:rsidRPr="003C04D8" w:rsidRDefault="003C04D8" w:rsidP="003C04D8">
            <w:pPr>
              <w:spacing w:after="0" w:line="240" w:lineRule="auto"/>
              <w:jc w:val="left"/>
              <w:rPr>
                <w:rFonts w:ascii="Aptos Narrow" w:eastAsia="Times New Roman" w:hAnsi="Aptos Narrow" w:cs="Times New Roman"/>
                <w:color w:val="000000"/>
                <w:lang w:eastAsia="cs-CZ"/>
              </w:rPr>
            </w:pPr>
            <w:r w:rsidRPr="003C04D8">
              <w:rPr>
                <w:rFonts w:ascii="Aptos Narrow" w:eastAsia="Times New Roman" w:hAnsi="Aptos Narrow" w:cs="Times New Roman"/>
                <w:color w:val="000000"/>
                <w:lang w:eastAsia="cs-CZ"/>
              </w:rPr>
              <w:t>Preambule (5)</w:t>
            </w:r>
          </w:p>
        </w:tc>
        <w:tc>
          <w:tcPr>
            <w:tcW w:w="11339" w:type="dxa"/>
            <w:tcBorders>
              <w:top w:val="nil"/>
              <w:left w:val="nil"/>
              <w:bottom w:val="single" w:sz="8" w:space="0" w:color="auto"/>
              <w:right w:val="single" w:sz="8" w:space="0" w:color="auto"/>
            </w:tcBorders>
            <w:vAlign w:val="center"/>
            <w:hideMark/>
          </w:tcPr>
          <w:p w14:paraId="51E30F43" w14:textId="77777777" w:rsidR="003C04D8" w:rsidRPr="003C04D8" w:rsidRDefault="003C04D8" w:rsidP="003C04D8">
            <w:pPr>
              <w:spacing w:after="0" w:line="240" w:lineRule="auto"/>
              <w:jc w:val="left"/>
              <w:rPr>
                <w:rFonts w:ascii="Aptos Narrow" w:eastAsia="Times New Roman" w:hAnsi="Aptos Narrow" w:cs="Times New Roman"/>
                <w:color w:val="000000"/>
                <w:lang w:eastAsia="cs-CZ"/>
              </w:rPr>
            </w:pPr>
            <w:r w:rsidRPr="003C04D8">
              <w:rPr>
                <w:rFonts w:ascii="Aptos Narrow" w:eastAsia="Times New Roman" w:hAnsi="Aptos Narrow" w:cs="Times New Roman"/>
                <w:color w:val="000000"/>
                <w:lang w:eastAsia="cs-CZ"/>
              </w:rPr>
              <w:t xml:space="preserve">S ohledem na význam boje proti změně klimatu v souladu se závazkem Unie provádět Pařížskou dohodu, přijatou na základě Rámcové úmluvy Organizace spojených národů o změně klimatu, a cíle Organizace spojených národů v oblasti udržitelného rozvoje by měly fondy přispívat k prosazování opatření v oblasti klimatu a k dosahování obecného cíle, kterým je vynakládat 30 % výdajů z rozpočtu Unie na podporu cílů v oblasti klimatu. </w:t>
            </w:r>
            <w:r w:rsidRPr="003C04D8">
              <w:rPr>
                <w:rFonts w:ascii="Aptos Narrow" w:eastAsia="Times New Roman" w:hAnsi="Aptos Narrow" w:cs="Times New Roman"/>
                <w:b/>
                <w:bCs/>
                <w:color w:val="000000"/>
                <w:lang w:eastAsia="cs-CZ"/>
              </w:rPr>
              <w:t>V této souvislosti by fondy měly podporovat činnosti, které respektují klimatické a environmentální normy a významně nepoškozují environmentální cíle ve smyslu článku 17 nařízení Evropského parlamentu a Rady (EU) 2020/852.</w:t>
            </w:r>
          </w:p>
        </w:tc>
      </w:tr>
      <w:tr w:rsidR="003C04D8" w:rsidRPr="003C04D8" w14:paraId="6A2BC974" w14:textId="77777777" w:rsidTr="003C04D8">
        <w:trPr>
          <w:trHeight w:val="737"/>
        </w:trPr>
        <w:tc>
          <w:tcPr>
            <w:tcW w:w="2305" w:type="dxa"/>
            <w:vMerge/>
            <w:tcBorders>
              <w:top w:val="nil"/>
              <w:left w:val="single" w:sz="8" w:space="0" w:color="auto"/>
              <w:bottom w:val="single" w:sz="8" w:space="0" w:color="auto"/>
              <w:right w:val="single" w:sz="8" w:space="0" w:color="auto"/>
            </w:tcBorders>
            <w:vAlign w:val="center"/>
            <w:hideMark/>
          </w:tcPr>
          <w:p w14:paraId="775CA875" w14:textId="77777777" w:rsidR="003C04D8" w:rsidRPr="003C04D8" w:rsidRDefault="003C04D8" w:rsidP="003C04D8">
            <w:pPr>
              <w:spacing w:after="0" w:line="240" w:lineRule="auto"/>
              <w:jc w:val="left"/>
              <w:rPr>
                <w:rFonts w:ascii="Aptos Narrow" w:eastAsia="Times New Roman" w:hAnsi="Aptos Narrow" w:cs="Times New Roman"/>
                <w:color w:val="0000FF"/>
                <w:lang w:eastAsia="cs-CZ"/>
              </w:rPr>
            </w:pPr>
          </w:p>
        </w:tc>
        <w:tc>
          <w:tcPr>
            <w:tcW w:w="1938" w:type="dxa"/>
            <w:tcBorders>
              <w:top w:val="nil"/>
              <w:left w:val="nil"/>
              <w:bottom w:val="single" w:sz="8" w:space="0" w:color="auto"/>
              <w:right w:val="single" w:sz="8" w:space="0" w:color="auto"/>
            </w:tcBorders>
            <w:noWrap/>
            <w:vAlign w:val="center"/>
            <w:hideMark/>
          </w:tcPr>
          <w:p w14:paraId="38B78073" w14:textId="77777777" w:rsidR="003C04D8" w:rsidRPr="003C04D8" w:rsidRDefault="003C04D8" w:rsidP="003C04D8">
            <w:pPr>
              <w:spacing w:after="0" w:line="240" w:lineRule="auto"/>
              <w:jc w:val="left"/>
              <w:rPr>
                <w:rFonts w:ascii="Aptos Narrow" w:eastAsia="Times New Roman" w:hAnsi="Aptos Narrow" w:cs="Times New Roman"/>
                <w:color w:val="000000"/>
                <w:lang w:eastAsia="cs-CZ"/>
              </w:rPr>
            </w:pPr>
            <w:r w:rsidRPr="003C04D8">
              <w:rPr>
                <w:rFonts w:ascii="Aptos Narrow" w:eastAsia="Times New Roman" w:hAnsi="Aptos Narrow" w:cs="Times New Roman"/>
                <w:color w:val="000000"/>
                <w:lang w:eastAsia="cs-CZ"/>
              </w:rPr>
              <w:t>Článek 22(4)j</w:t>
            </w:r>
          </w:p>
        </w:tc>
        <w:tc>
          <w:tcPr>
            <w:tcW w:w="11339" w:type="dxa"/>
            <w:tcBorders>
              <w:top w:val="nil"/>
              <w:left w:val="nil"/>
              <w:bottom w:val="single" w:sz="8" w:space="0" w:color="auto"/>
              <w:right w:val="single" w:sz="8" w:space="0" w:color="auto"/>
            </w:tcBorders>
            <w:vAlign w:val="center"/>
            <w:hideMark/>
          </w:tcPr>
          <w:p w14:paraId="72C77DA3" w14:textId="77777777" w:rsidR="003C04D8" w:rsidRPr="003C04D8" w:rsidRDefault="003C04D8" w:rsidP="003C04D8">
            <w:pPr>
              <w:spacing w:after="0" w:line="240" w:lineRule="auto"/>
              <w:jc w:val="left"/>
              <w:rPr>
                <w:rFonts w:ascii="Aptos Narrow" w:eastAsia="Times New Roman" w:hAnsi="Aptos Narrow" w:cs="Times New Roman"/>
                <w:b/>
                <w:bCs/>
                <w:color w:val="000000"/>
                <w:lang w:eastAsia="cs-CZ"/>
              </w:rPr>
            </w:pPr>
            <w:r w:rsidRPr="003C04D8">
              <w:rPr>
                <w:rFonts w:ascii="Aptos Narrow" w:eastAsia="Times New Roman" w:hAnsi="Aptos Narrow" w:cs="Times New Roman"/>
                <w:b/>
                <w:bCs/>
                <w:color w:val="000000"/>
                <w:lang w:eastAsia="cs-CZ"/>
              </w:rPr>
              <w:t>Při výběru operací monitorovací výbor nebo případně řídící výbor zajistí, aby bylo u investic do infrastruktury s očekávanou délkou trvání alespoň pět let provedeno posouzení očekávaných dopadů na změnu klimatu</w:t>
            </w:r>
            <w:r w:rsidRPr="003C04D8">
              <w:rPr>
                <w:rFonts w:ascii="Aptos Narrow" w:eastAsia="Times New Roman" w:hAnsi="Aptos Narrow" w:cs="Times New Roman"/>
                <w:color w:val="000000"/>
                <w:lang w:eastAsia="cs-CZ"/>
              </w:rPr>
              <w:t xml:space="preserve">. (pozn. Dle interpretace Evropské komise je pro program </w:t>
            </w:r>
            <w:proofErr w:type="spellStart"/>
            <w:r w:rsidRPr="003C04D8">
              <w:rPr>
                <w:rFonts w:ascii="Aptos Narrow" w:eastAsia="Times New Roman" w:hAnsi="Aptos Narrow" w:cs="Times New Roman"/>
                <w:color w:val="000000"/>
                <w:lang w:eastAsia="cs-CZ"/>
              </w:rPr>
              <w:t>Interreg</w:t>
            </w:r>
            <w:proofErr w:type="spellEnd"/>
            <w:r w:rsidRPr="003C04D8">
              <w:rPr>
                <w:rFonts w:ascii="Aptos Narrow" w:eastAsia="Times New Roman" w:hAnsi="Aptos Narrow" w:cs="Times New Roman"/>
                <w:color w:val="000000"/>
                <w:lang w:eastAsia="cs-CZ"/>
              </w:rPr>
              <w:t xml:space="preserve"> závazný CP pouze v části přizpůsobování se změně klimatu (adaptace), nikoliv zmírňování změny klimatu (</w:t>
            </w:r>
            <w:proofErr w:type="spellStart"/>
            <w:r w:rsidRPr="003C04D8">
              <w:rPr>
                <w:rFonts w:ascii="Aptos Narrow" w:eastAsia="Times New Roman" w:hAnsi="Aptos Narrow" w:cs="Times New Roman"/>
                <w:color w:val="000000"/>
                <w:lang w:eastAsia="cs-CZ"/>
              </w:rPr>
              <w:t>mitigace</w:t>
            </w:r>
            <w:proofErr w:type="spellEnd"/>
            <w:r w:rsidRPr="003C04D8">
              <w:rPr>
                <w:rFonts w:ascii="Aptos Narrow" w:eastAsia="Times New Roman" w:hAnsi="Aptos Narrow" w:cs="Times New Roman"/>
                <w:color w:val="000000"/>
                <w:lang w:eastAsia="cs-CZ"/>
              </w:rPr>
              <w:t>). Zmírňování změny klimatu (</w:t>
            </w:r>
            <w:proofErr w:type="spellStart"/>
            <w:r w:rsidRPr="003C04D8">
              <w:rPr>
                <w:rFonts w:ascii="Aptos Narrow" w:eastAsia="Times New Roman" w:hAnsi="Aptos Narrow" w:cs="Times New Roman"/>
                <w:color w:val="000000"/>
                <w:lang w:eastAsia="cs-CZ"/>
              </w:rPr>
              <w:t>mitigace</w:t>
            </w:r>
            <w:proofErr w:type="spellEnd"/>
            <w:r w:rsidRPr="003C04D8">
              <w:rPr>
                <w:rFonts w:ascii="Aptos Narrow" w:eastAsia="Times New Roman" w:hAnsi="Aptos Narrow" w:cs="Times New Roman"/>
                <w:color w:val="000000"/>
                <w:lang w:eastAsia="cs-CZ"/>
              </w:rPr>
              <w:t>) by tak měla být implementována skrze princip DNSH (tzn. preferenčně na úrovni výzvy).</w:t>
            </w:r>
          </w:p>
        </w:tc>
      </w:tr>
      <w:tr w:rsidR="003C04D8" w:rsidRPr="003C04D8" w14:paraId="082A7EA0" w14:textId="77777777" w:rsidTr="003C04D8">
        <w:trPr>
          <w:trHeight w:val="3005"/>
        </w:trPr>
        <w:tc>
          <w:tcPr>
            <w:tcW w:w="2305" w:type="dxa"/>
            <w:vMerge w:val="restart"/>
            <w:tcBorders>
              <w:top w:val="nil"/>
              <w:left w:val="single" w:sz="8" w:space="0" w:color="auto"/>
              <w:bottom w:val="single" w:sz="8" w:space="0" w:color="auto"/>
              <w:right w:val="single" w:sz="8" w:space="0" w:color="auto"/>
            </w:tcBorders>
            <w:vAlign w:val="center"/>
            <w:hideMark/>
          </w:tcPr>
          <w:p w14:paraId="2CDC4F11" w14:textId="0D52B01D" w:rsidR="003C04D8" w:rsidRPr="003C04D8" w:rsidRDefault="003C04D8" w:rsidP="003C04D8">
            <w:pPr>
              <w:spacing w:after="0" w:line="240" w:lineRule="auto"/>
              <w:jc w:val="left"/>
              <w:rPr>
                <w:rFonts w:ascii="Aptos Narrow" w:eastAsia="Times New Roman" w:hAnsi="Aptos Narrow" w:cs="Times New Roman"/>
                <w:color w:val="0000FF"/>
                <w:lang w:eastAsia="cs-CZ"/>
              </w:rPr>
            </w:pPr>
            <w:hyperlink r:id="rId29" w:history="1">
              <w:r w:rsidRPr="003C04D8">
                <w:rPr>
                  <w:rStyle w:val="Hypertextovodkaz"/>
                  <w:rFonts w:ascii="Aptos Narrow" w:eastAsia="Times New Roman" w:hAnsi="Aptos Narrow" w:cs="Times New Roman"/>
                  <w:lang w:eastAsia="cs-CZ"/>
                </w:rPr>
                <w:t xml:space="preserve">NAŘÍZENÍ EVROPSKÉHO PARLAMENTU A RADY (EU) 2021/523, kterým se zavádí Program </w:t>
              </w:r>
              <w:proofErr w:type="spellStart"/>
              <w:r w:rsidRPr="003C04D8">
                <w:rPr>
                  <w:rStyle w:val="Hypertextovodkaz"/>
                  <w:rFonts w:ascii="Aptos Narrow" w:eastAsia="Times New Roman" w:hAnsi="Aptos Narrow" w:cs="Times New Roman"/>
                  <w:lang w:eastAsia="cs-CZ"/>
                </w:rPr>
                <w:t>InvestEU</w:t>
              </w:r>
              <w:proofErr w:type="spellEnd"/>
              <w:r w:rsidRPr="003C04D8">
                <w:rPr>
                  <w:rStyle w:val="Hypertextovodkaz"/>
                  <w:rFonts w:ascii="Aptos Narrow" w:eastAsia="Times New Roman" w:hAnsi="Aptos Narrow" w:cs="Times New Roman"/>
                  <w:lang w:eastAsia="cs-CZ"/>
                </w:rPr>
                <w:t xml:space="preserve"> a mění nařízení (EU) 2015/1017</w:t>
              </w:r>
            </w:hyperlink>
          </w:p>
        </w:tc>
        <w:tc>
          <w:tcPr>
            <w:tcW w:w="1938" w:type="dxa"/>
            <w:tcBorders>
              <w:top w:val="nil"/>
              <w:left w:val="nil"/>
              <w:bottom w:val="single" w:sz="8" w:space="0" w:color="auto"/>
              <w:right w:val="single" w:sz="8" w:space="0" w:color="auto"/>
            </w:tcBorders>
            <w:noWrap/>
            <w:vAlign w:val="center"/>
            <w:hideMark/>
          </w:tcPr>
          <w:p w14:paraId="1AD2168B" w14:textId="77777777" w:rsidR="003C04D8" w:rsidRPr="003C04D8" w:rsidRDefault="003C04D8" w:rsidP="003C04D8">
            <w:pPr>
              <w:spacing w:after="0" w:line="240" w:lineRule="auto"/>
              <w:jc w:val="left"/>
              <w:rPr>
                <w:rFonts w:ascii="Aptos Narrow" w:eastAsia="Times New Roman" w:hAnsi="Aptos Narrow" w:cs="Times New Roman"/>
                <w:color w:val="000000"/>
                <w:lang w:eastAsia="cs-CZ"/>
              </w:rPr>
            </w:pPr>
            <w:r w:rsidRPr="003C04D8">
              <w:rPr>
                <w:rFonts w:ascii="Aptos Narrow" w:eastAsia="Times New Roman" w:hAnsi="Aptos Narrow" w:cs="Times New Roman"/>
                <w:color w:val="000000"/>
                <w:lang w:eastAsia="cs-CZ"/>
              </w:rPr>
              <w:t>Preambule (13)</w:t>
            </w:r>
          </w:p>
        </w:tc>
        <w:tc>
          <w:tcPr>
            <w:tcW w:w="11339" w:type="dxa"/>
            <w:tcBorders>
              <w:top w:val="nil"/>
              <w:left w:val="nil"/>
              <w:bottom w:val="single" w:sz="8" w:space="0" w:color="auto"/>
              <w:right w:val="single" w:sz="8" w:space="0" w:color="auto"/>
            </w:tcBorders>
            <w:vAlign w:val="bottom"/>
            <w:hideMark/>
          </w:tcPr>
          <w:p w14:paraId="08B7A465" w14:textId="4ADAE43F" w:rsidR="003C04D8" w:rsidRPr="003C04D8" w:rsidRDefault="003C04D8" w:rsidP="003C04D8">
            <w:pPr>
              <w:spacing w:after="0" w:line="240" w:lineRule="auto"/>
              <w:jc w:val="left"/>
              <w:rPr>
                <w:rFonts w:ascii="Aptos Narrow" w:eastAsia="Times New Roman" w:hAnsi="Aptos Narrow" w:cs="Times New Roman"/>
                <w:color w:val="000000"/>
                <w:lang w:eastAsia="cs-CZ"/>
              </w:rPr>
            </w:pPr>
            <w:r w:rsidRPr="003C04D8">
              <w:rPr>
                <w:rFonts w:ascii="Aptos Narrow" w:eastAsia="Times New Roman" w:hAnsi="Aptos Narrow" w:cs="Times New Roman"/>
                <w:color w:val="000000"/>
                <w:lang w:eastAsia="cs-CZ"/>
              </w:rPr>
              <w:t xml:space="preserve">Investiční projekty, které čerpají výraznou podporu Unie, zejména v oblasti infrastruktury, by měly být prověřeny prováděcím partnerem, aby se stanovilo, zda mají environmentální, klimatický či sociální dopad. Investiční projekty s takovým dopadem by měly podléhat prověření udržitelnosti v souladu s pokyny, které by měla vypracovat Komise v úzké spolupráci s potenciálními prováděcími partnery v rámci Programu </w:t>
            </w:r>
            <w:proofErr w:type="spellStart"/>
            <w:r w:rsidRPr="003C04D8">
              <w:rPr>
                <w:rFonts w:ascii="Aptos Narrow" w:eastAsia="Times New Roman" w:hAnsi="Aptos Narrow" w:cs="Times New Roman"/>
                <w:color w:val="000000"/>
                <w:lang w:eastAsia="cs-CZ"/>
              </w:rPr>
              <w:t>InvestEU</w:t>
            </w:r>
            <w:proofErr w:type="spellEnd"/>
            <w:r w:rsidR="00ED07F2">
              <w:rPr>
                <w:rFonts w:ascii="Aptos Narrow" w:eastAsia="Times New Roman" w:hAnsi="Aptos Narrow" w:cs="Times New Roman"/>
                <w:color w:val="000000"/>
                <w:lang w:eastAsia="cs-CZ"/>
              </w:rPr>
              <w:t>.</w:t>
            </w:r>
            <w:r w:rsidR="00ED07F2">
              <w:rPr>
                <w:rStyle w:val="Znakapoznpodarou"/>
                <w:rFonts w:ascii="Aptos Narrow" w:eastAsia="Times New Roman" w:hAnsi="Aptos Narrow" w:cs="Times New Roman"/>
                <w:color w:val="000000"/>
                <w:lang w:eastAsia="cs-CZ"/>
              </w:rPr>
              <w:footnoteReference w:id="14"/>
            </w:r>
            <w:r w:rsidRPr="003C04D8">
              <w:rPr>
                <w:rFonts w:ascii="Aptos Narrow" w:eastAsia="Times New Roman" w:hAnsi="Aptos Narrow" w:cs="Times New Roman"/>
                <w:color w:val="000000"/>
                <w:lang w:eastAsia="cs-CZ"/>
              </w:rPr>
              <w:t xml:space="preserve">Tyto pokyny by měly vhodně využít kritéria stanovená v nařízení (EU) 2020/852 pro určení toho, zda je určitá hospodářská činnost environmentálně udržitelná, a to i s ohledem na zásadu „významně nepoškozovat“, a měly by být v souladu s pokyny vypracovanými pro jiné programy Unie. V souladu se zásadou proporcionality by takové pokyny měly obsahovat přiměřená ustanovení, aby se zabránilo nepřiměřené administrativní zátěži, a z prověření udržitelnosti by měly být vyloučeny malé projekty do určité velikosti, která se vymezí v pokynech. Pokud prováděcí partner dospěje k závěru, že prověření udržitelnosti není třeba provést, měl by důvody sdělit investičnímu výboru zřízenému pro Fond </w:t>
            </w:r>
            <w:proofErr w:type="spellStart"/>
            <w:r w:rsidRPr="003C04D8">
              <w:rPr>
                <w:rFonts w:ascii="Aptos Narrow" w:eastAsia="Times New Roman" w:hAnsi="Aptos Narrow" w:cs="Times New Roman"/>
                <w:color w:val="000000"/>
                <w:lang w:eastAsia="cs-CZ"/>
              </w:rPr>
              <w:t>InvestEU</w:t>
            </w:r>
            <w:proofErr w:type="spellEnd"/>
            <w:r w:rsidRPr="003C04D8">
              <w:rPr>
                <w:rFonts w:ascii="Aptos Narrow" w:eastAsia="Times New Roman" w:hAnsi="Aptos Narrow" w:cs="Times New Roman"/>
                <w:color w:val="000000"/>
                <w:lang w:eastAsia="cs-CZ"/>
              </w:rPr>
              <w:t xml:space="preserve"> (dále jen „investiční výbor“). Operace, které nejsou slučitelné s dosažením cílů v oblasti klimatu, by neměly být pro podporu v rámci tohoto nařízení způsobilé.</w:t>
            </w:r>
          </w:p>
        </w:tc>
      </w:tr>
      <w:tr w:rsidR="003C04D8" w:rsidRPr="003C04D8" w14:paraId="5011F48A" w14:textId="77777777" w:rsidTr="003C04D8">
        <w:trPr>
          <w:trHeight w:val="2891"/>
        </w:trPr>
        <w:tc>
          <w:tcPr>
            <w:tcW w:w="2305" w:type="dxa"/>
            <w:vMerge/>
            <w:tcBorders>
              <w:top w:val="nil"/>
              <w:left w:val="single" w:sz="8" w:space="0" w:color="auto"/>
              <w:bottom w:val="single" w:sz="8" w:space="0" w:color="auto"/>
              <w:right w:val="single" w:sz="8" w:space="0" w:color="auto"/>
            </w:tcBorders>
            <w:vAlign w:val="center"/>
            <w:hideMark/>
          </w:tcPr>
          <w:p w14:paraId="614881FC" w14:textId="77777777" w:rsidR="003C04D8" w:rsidRPr="003C04D8" w:rsidRDefault="003C04D8" w:rsidP="003C04D8">
            <w:pPr>
              <w:spacing w:after="0" w:line="240" w:lineRule="auto"/>
              <w:jc w:val="left"/>
              <w:rPr>
                <w:rFonts w:ascii="Aptos Narrow" w:eastAsia="Times New Roman" w:hAnsi="Aptos Narrow" w:cs="Times New Roman"/>
                <w:color w:val="0000FF"/>
                <w:lang w:eastAsia="cs-CZ"/>
              </w:rPr>
            </w:pPr>
          </w:p>
        </w:tc>
        <w:tc>
          <w:tcPr>
            <w:tcW w:w="1938" w:type="dxa"/>
            <w:tcBorders>
              <w:top w:val="nil"/>
              <w:left w:val="nil"/>
              <w:bottom w:val="single" w:sz="8" w:space="0" w:color="auto"/>
              <w:right w:val="single" w:sz="8" w:space="0" w:color="auto"/>
            </w:tcBorders>
            <w:noWrap/>
            <w:vAlign w:val="center"/>
            <w:hideMark/>
          </w:tcPr>
          <w:p w14:paraId="35AF93CA" w14:textId="77777777" w:rsidR="003C04D8" w:rsidRPr="003C04D8" w:rsidRDefault="003C04D8" w:rsidP="003C04D8">
            <w:pPr>
              <w:spacing w:after="0" w:line="240" w:lineRule="auto"/>
              <w:jc w:val="left"/>
              <w:rPr>
                <w:rFonts w:ascii="Aptos Narrow" w:eastAsia="Times New Roman" w:hAnsi="Aptos Narrow" w:cs="Times New Roman"/>
                <w:color w:val="000000"/>
                <w:lang w:eastAsia="cs-CZ"/>
              </w:rPr>
            </w:pPr>
            <w:r w:rsidRPr="003C04D8">
              <w:rPr>
                <w:rFonts w:ascii="Aptos Narrow" w:eastAsia="Times New Roman" w:hAnsi="Aptos Narrow" w:cs="Times New Roman"/>
                <w:color w:val="000000"/>
                <w:lang w:eastAsia="cs-CZ"/>
              </w:rPr>
              <w:t>Preambule (25)</w:t>
            </w:r>
          </w:p>
        </w:tc>
        <w:tc>
          <w:tcPr>
            <w:tcW w:w="11339" w:type="dxa"/>
            <w:tcBorders>
              <w:top w:val="nil"/>
              <w:left w:val="nil"/>
              <w:bottom w:val="single" w:sz="8" w:space="0" w:color="auto"/>
              <w:right w:val="single" w:sz="8" w:space="0" w:color="auto"/>
            </w:tcBorders>
            <w:vAlign w:val="center"/>
            <w:hideMark/>
          </w:tcPr>
          <w:p w14:paraId="2BC56DCC" w14:textId="77777777" w:rsidR="003C04D8" w:rsidRPr="003C04D8" w:rsidRDefault="003C04D8" w:rsidP="003C04D8">
            <w:pPr>
              <w:spacing w:after="0" w:line="240" w:lineRule="auto"/>
              <w:jc w:val="left"/>
              <w:rPr>
                <w:rFonts w:ascii="Aptos Narrow" w:eastAsia="Times New Roman" w:hAnsi="Aptos Narrow" w:cs="Times New Roman"/>
                <w:color w:val="000000"/>
                <w:lang w:eastAsia="cs-CZ"/>
              </w:rPr>
            </w:pPr>
            <w:r w:rsidRPr="003C04D8">
              <w:rPr>
                <w:rFonts w:ascii="Aptos Narrow" w:eastAsia="Times New Roman" w:hAnsi="Aptos Narrow" w:cs="Times New Roman"/>
                <w:color w:val="000000"/>
                <w:lang w:eastAsia="cs-CZ"/>
              </w:rPr>
              <w:t xml:space="preserve">V hospodářské krizi vyvolané pandemií COVID-19 není tržní alokace zdrojů zcela efektivní a tok soukromých investic je výrazně ovlivněn vnímaným rizikem. Za těchto okolností je klíčový znak Fondu </w:t>
            </w:r>
            <w:proofErr w:type="spellStart"/>
            <w:r w:rsidRPr="003C04D8">
              <w:rPr>
                <w:rFonts w:ascii="Aptos Narrow" w:eastAsia="Times New Roman" w:hAnsi="Aptos Narrow" w:cs="Times New Roman"/>
                <w:color w:val="000000"/>
                <w:lang w:eastAsia="cs-CZ"/>
              </w:rPr>
              <w:t>InvestEU</w:t>
            </w:r>
            <w:proofErr w:type="spellEnd"/>
            <w:r w:rsidRPr="003C04D8">
              <w:rPr>
                <w:rFonts w:ascii="Aptos Narrow" w:eastAsia="Times New Roman" w:hAnsi="Aptos Narrow" w:cs="Times New Roman"/>
                <w:color w:val="000000"/>
                <w:lang w:eastAsia="cs-CZ"/>
              </w:rPr>
              <w:t xml:space="preserve"> – snižování rizika u ekonomicky životaschopných projektů, aby přilákaly financování ze soukromých zdrojů – obzvláště hodnotný, mimo jiné proto, aby se snížilo riziko asymetrického oživení. Program </w:t>
            </w:r>
            <w:proofErr w:type="spellStart"/>
            <w:r w:rsidRPr="003C04D8">
              <w:rPr>
                <w:rFonts w:ascii="Aptos Narrow" w:eastAsia="Times New Roman" w:hAnsi="Aptos Narrow" w:cs="Times New Roman"/>
                <w:color w:val="000000"/>
                <w:lang w:eastAsia="cs-CZ"/>
              </w:rPr>
              <w:t>InvestEU</w:t>
            </w:r>
            <w:proofErr w:type="spellEnd"/>
            <w:r w:rsidRPr="003C04D8">
              <w:rPr>
                <w:rFonts w:ascii="Aptos Narrow" w:eastAsia="Times New Roman" w:hAnsi="Aptos Narrow" w:cs="Times New Roman"/>
                <w:color w:val="000000"/>
                <w:lang w:eastAsia="cs-CZ"/>
              </w:rPr>
              <w:t xml:space="preserve"> by měl být schopen poskytovat životně důležitou podporu společnostem ve fázi oživení, včetně kapitálové podpory malým a středním podnikům, které byly krizí způsobenou onemocněním COVID-19 negativně zasaženy a které nebyly v nesnázích z hlediska státní podpory již na konci roku 2019, a zároveň </w:t>
            </w:r>
            <w:r w:rsidRPr="003C04D8">
              <w:rPr>
                <w:rFonts w:ascii="Aptos Narrow" w:eastAsia="Times New Roman" w:hAnsi="Aptos Narrow" w:cs="Times New Roman"/>
                <w:b/>
                <w:bCs/>
                <w:color w:val="000000"/>
                <w:lang w:eastAsia="cs-CZ"/>
              </w:rPr>
              <w:t>by měl zajistit, že se investoři více zaměří na střednědobé a dlouhodobé politické priority Unie, jako jsou Zelená dohoda pro Evropu, investiční plán Zelené dohody pro Evropu, strategie pro formování digitální budoucnosti Evropy, nová průmyslová strategie pro Evropu a Silná sociální Evropa pro spravedlivou transformaci, přičemž je třeba zohledňovat zásadu „významně nepoškozovat“.</w:t>
            </w:r>
            <w:r w:rsidRPr="003C04D8">
              <w:rPr>
                <w:rFonts w:ascii="Aptos Narrow" w:eastAsia="Times New Roman" w:hAnsi="Aptos Narrow" w:cs="Times New Roman"/>
                <w:color w:val="000000"/>
                <w:lang w:eastAsia="cs-CZ"/>
              </w:rPr>
              <w:t xml:space="preserve"> Měl by výrazně zvýšit kapacitu skupiny Evropské investiční banky (EIB) a národních podpůrných bank a institucí a dalších prováděcích partnerů pro podstupování rizika na podporu hospodářského oživení.</w:t>
            </w:r>
          </w:p>
        </w:tc>
      </w:tr>
      <w:tr w:rsidR="003C04D8" w:rsidRPr="003C04D8" w14:paraId="734FE046" w14:textId="77777777" w:rsidTr="003C04D8">
        <w:trPr>
          <w:trHeight w:val="1984"/>
        </w:trPr>
        <w:tc>
          <w:tcPr>
            <w:tcW w:w="2305" w:type="dxa"/>
            <w:vMerge/>
            <w:tcBorders>
              <w:top w:val="nil"/>
              <w:left w:val="single" w:sz="8" w:space="0" w:color="auto"/>
              <w:bottom w:val="single" w:sz="8" w:space="0" w:color="auto"/>
              <w:right w:val="single" w:sz="8" w:space="0" w:color="auto"/>
            </w:tcBorders>
            <w:vAlign w:val="center"/>
            <w:hideMark/>
          </w:tcPr>
          <w:p w14:paraId="5BDF2C45" w14:textId="77777777" w:rsidR="003C04D8" w:rsidRPr="003C04D8" w:rsidRDefault="003C04D8" w:rsidP="003C04D8">
            <w:pPr>
              <w:spacing w:after="0" w:line="240" w:lineRule="auto"/>
              <w:jc w:val="left"/>
              <w:rPr>
                <w:rFonts w:ascii="Aptos Narrow" w:eastAsia="Times New Roman" w:hAnsi="Aptos Narrow" w:cs="Times New Roman"/>
                <w:color w:val="0000FF"/>
                <w:lang w:eastAsia="cs-CZ"/>
              </w:rPr>
            </w:pPr>
          </w:p>
        </w:tc>
        <w:tc>
          <w:tcPr>
            <w:tcW w:w="1938" w:type="dxa"/>
            <w:tcBorders>
              <w:top w:val="nil"/>
              <w:left w:val="nil"/>
              <w:bottom w:val="single" w:sz="8" w:space="0" w:color="auto"/>
              <w:right w:val="single" w:sz="8" w:space="0" w:color="auto"/>
            </w:tcBorders>
            <w:noWrap/>
            <w:vAlign w:val="center"/>
            <w:hideMark/>
          </w:tcPr>
          <w:p w14:paraId="1BB2409D" w14:textId="77777777" w:rsidR="003C04D8" w:rsidRPr="003C04D8" w:rsidRDefault="003C04D8" w:rsidP="003C04D8">
            <w:pPr>
              <w:spacing w:after="0" w:line="240" w:lineRule="auto"/>
              <w:jc w:val="left"/>
              <w:rPr>
                <w:rFonts w:ascii="Aptos Narrow" w:eastAsia="Times New Roman" w:hAnsi="Aptos Narrow" w:cs="Times New Roman"/>
                <w:color w:val="000000"/>
                <w:lang w:eastAsia="cs-CZ"/>
              </w:rPr>
            </w:pPr>
            <w:r w:rsidRPr="003C04D8">
              <w:rPr>
                <w:rFonts w:ascii="Aptos Narrow" w:eastAsia="Times New Roman" w:hAnsi="Aptos Narrow" w:cs="Times New Roman"/>
                <w:color w:val="000000"/>
                <w:lang w:eastAsia="cs-CZ"/>
              </w:rPr>
              <w:t>Článek 8 (5)</w:t>
            </w:r>
          </w:p>
        </w:tc>
        <w:tc>
          <w:tcPr>
            <w:tcW w:w="11339" w:type="dxa"/>
            <w:tcBorders>
              <w:top w:val="nil"/>
              <w:left w:val="nil"/>
              <w:bottom w:val="single" w:sz="8" w:space="0" w:color="auto"/>
              <w:right w:val="single" w:sz="8" w:space="0" w:color="auto"/>
            </w:tcBorders>
            <w:vAlign w:val="center"/>
            <w:hideMark/>
          </w:tcPr>
          <w:p w14:paraId="20658FF1" w14:textId="77777777" w:rsidR="003C04D8" w:rsidRPr="003C04D8" w:rsidRDefault="003C04D8" w:rsidP="003C04D8">
            <w:pPr>
              <w:spacing w:after="0" w:line="240" w:lineRule="auto"/>
              <w:jc w:val="left"/>
              <w:rPr>
                <w:rFonts w:ascii="Aptos Narrow" w:eastAsia="Times New Roman" w:hAnsi="Aptos Narrow" w:cs="Times New Roman"/>
                <w:b/>
                <w:bCs/>
                <w:color w:val="000000"/>
                <w:lang w:eastAsia="cs-CZ"/>
              </w:rPr>
            </w:pPr>
            <w:r w:rsidRPr="003C04D8">
              <w:rPr>
                <w:rFonts w:ascii="Aptos Narrow" w:eastAsia="Times New Roman" w:hAnsi="Aptos Narrow" w:cs="Times New Roman"/>
                <w:b/>
                <w:bCs/>
                <w:color w:val="000000"/>
                <w:lang w:eastAsia="cs-CZ"/>
              </w:rPr>
              <w:t>Finanční a investiční operace se prověřují, aby se stanovilo, zda mají environmentální, klimatický či sociální dopad.</w:t>
            </w:r>
            <w:r w:rsidRPr="003C04D8">
              <w:rPr>
                <w:rFonts w:ascii="Aptos Narrow" w:eastAsia="Times New Roman" w:hAnsi="Aptos Narrow" w:cs="Times New Roman"/>
                <w:color w:val="000000"/>
                <w:lang w:eastAsia="cs-CZ"/>
              </w:rPr>
              <w:t xml:space="preserve"> Pokud takový dopad mají, podléhají prověření z hlediska klimatické, environmentální a sociální udržitelnosti, aby se minimalizovaly nepříznivé dopady a maximalizovaly přínosy pro klimatický, environmentální a sociální rozměr. Za tímto účelem poskytnou předkladatelé projektů, kteří žádají o financování, odpovídající informace založené na pokynech uvedených v odstavci 6. Z prověření se vyloučí malé projekty do určité velikosti stanovené v pokynech. Projekty, které nejsou slučitelné s cíli v oblasti klimatu, nejsou pro podporu v rámci tohoto nařízení způsobilé. Pokud prováděcí partner dospěje k závěru, že prověření udržitelnosti není třeba provést, sdělí investičnímu výboru důvody.</w:t>
            </w:r>
          </w:p>
        </w:tc>
      </w:tr>
      <w:tr w:rsidR="003C04D8" w:rsidRPr="003C04D8" w14:paraId="39D5BD6A" w14:textId="77777777" w:rsidTr="003C04D8">
        <w:trPr>
          <w:trHeight w:val="4025"/>
        </w:trPr>
        <w:tc>
          <w:tcPr>
            <w:tcW w:w="2305" w:type="dxa"/>
            <w:vMerge w:val="restart"/>
            <w:tcBorders>
              <w:top w:val="nil"/>
              <w:left w:val="single" w:sz="8" w:space="0" w:color="auto"/>
              <w:bottom w:val="single" w:sz="8" w:space="0" w:color="auto"/>
              <w:right w:val="single" w:sz="8" w:space="0" w:color="auto"/>
            </w:tcBorders>
            <w:vAlign w:val="center"/>
            <w:hideMark/>
          </w:tcPr>
          <w:p w14:paraId="5A5BC175" w14:textId="4250D47F" w:rsidR="003C04D8" w:rsidRPr="003C04D8" w:rsidRDefault="003C04D8" w:rsidP="003C04D8">
            <w:pPr>
              <w:spacing w:after="0" w:line="240" w:lineRule="auto"/>
              <w:jc w:val="left"/>
              <w:rPr>
                <w:rFonts w:ascii="Aptos Narrow" w:eastAsia="Times New Roman" w:hAnsi="Aptos Narrow" w:cs="Times New Roman"/>
                <w:color w:val="0000FF"/>
                <w:lang w:eastAsia="cs-CZ"/>
              </w:rPr>
            </w:pPr>
            <w:hyperlink r:id="rId30" w:history="1">
              <w:r w:rsidRPr="003C04D8">
                <w:rPr>
                  <w:rStyle w:val="Hypertextovodkaz"/>
                  <w:rFonts w:ascii="Aptos Narrow" w:eastAsia="Times New Roman" w:hAnsi="Aptos Narrow" w:cs="Times New Roman"/>
                  <w:lang w:eastAsia="cs-CZ"/>
                </w:rPr>
                <w:t>NAŘÍZENÍ EVROPSKÉHO PARLAMENTU A RADY (EU) 2021/241, kterým se zřizuje Nástroj pro oživení a odolnost</w:t>
              </w:r>
            </w:hyperlink>
          </w:p>
        </w:tc>
        <w:tc>
          <w:tcPr>
            <w:tcW w:w="1938" w:type="dxa"/>
            <w:tcBorders>
              <w:top w:val="nil"/>
              <w:left w:val="nil"/>
              <w:bottom w:val="single" w:sz="8" w:space="0" w:color="auto"/>
              <w:right w:val="single" w:sz="8" w:space="0" w:color="auto"/>
            </w:tcBorders>
            <w:noWrap/>
            <w:vAlign w:val="center"/>
            <w:hideMark/>
          </w:tcPr>
          <w:p w14:paraId="0D19923A" w14:textId="77777777" w:rsidR="003C04D8" w:rsidRPr="003C04D8" w:rsidRDefault="003C04D8" w:rsidP="003C04D8">
            <w:pPr>
              <w:spacing w:after="0" w:line="240" w:lineRule="auto"/>
              <w:jc w:val="left"/>
              <w:rPr>
                <w:rFonts w:ascii="Aptos Narrow" w:eastAsia="Times New Roman" w:hAnsi="Aptos Narrow" w:cs="Times New Roman"/>
                <w:color w:val="000000"/>
                <w:lang w:eastAsia="cs-CZ"/>
              </w:rPr>
            </w:pPr>
            <w:r w:rsidRPr="003C04D8">
              <w:rPr>
                <w:rFonts w:ascii="Aptos Narrow" w:eastAsia="Times New Roman" w:hAnsi="Aptos Narrow" w:cs="Times New Roman"/>
                <w:color w:val="000000"/>
                <w:lang w:eastAsia="cs-CZ"/>
              </w:rPr>
              <w:t>Preambule (23)</w:t>
            </w:r>
          </w:p>
        </w:tc>
        <w:tc>
          <w:tcPr>
            <w:tcW w:w="11339" w:type="dxa"/>
            <w:tcBorders>
              <w:top w:val="nil"/>
              <w:left w:val="nil"/>
              <w:bottom w:val="single" w:sz="8" w:space="0" w:color="auto"/>
              <w:right w:val="single" w:sz="8" w:space="0" w:color="auto"/>
            </w:tcBorders>
            <w:vAlign w:val="center"/>
            <w:hideMark/>
          </w:tcPr>
          <w:p w14:paraId="290B840D" w14:textId="77777777" w:rsidR="003C04D8" w:rsidRPr="003C04D8" w:rsidRDefault="003C04D8" w:rsidP="003C04D8">
            <w:pPr>
              <w:spacing w:after="0" w:line="240" w:lineRule="auto"/>
              <w:jc w:val="left"/>
              <w:rPr>
                <w:rFonts w:ascii="Aptos Narrow" w:eastAsia="Times New Roman" w:hAnsi="Aptos Narrow" w:cs="Times New Roman"/>
                <w:color w:val="000000"/>
                <w:lang w:eastAsia="cs-CZ"/>
              </w:rPr>
            </w:pPr>
            <w:r w:rsidRPr="003C04D8">
              <w:rPr>
                <w:rFonts w:ascii="Aptos Narrow" w:eastAsia="Times New Roman" w:hAnsi="Aptos Narrow" w:cs="Times New Roman"/>
                <w:color w:val="000000"/>
                <w:lang w:eastAsia="cs-CZ"/>
              </w:rPr>
              <w:t xml:space="preserve">Vzhledem k </w:t>
            </w:r>
            <w:proofErr w:type="gramStart"/>
            <w:r w:rsidRPr="003C04D8">
              <w:rPr>
                <w:rFonts w:ascii="Aptos Narrow" w:eastAsia="Times New Roman" w:hAnsi="Aptos Narrow" w:cs="Times New Roman"/>
                <w:color w:val="000000"/>
                <w:lang w:eastAsia="cs-CZ"/>
              </w:rPr>
              <w:t>Zelené</w:t>
            </w:r>
            <w:proofErr w:type="gramEnd"/>
            <w:r w:rsidRPr="003C04D8">
              <w:rPr>
                <w:rFonts w:ascii="Aptos Narrow" w:eastAsia="Times New Roman" w:hAnsi="Aptos Narrow" w:cs="Times New Roman"/>
                <w:color w:val="000000"/>
                <w:lang w:eastAsia="cs-CZ"/>
              </w:rPr>
              <w:t xml:space="preserve"> dohodě pro Evropu jakožto evropské strategii udržitelného růstu a důležitosti boje proti změně klimatu v souladu se závazky Unie k provádění Pařížské dohody a cílů udržitelného rozvoje OSN má tento nástroj přispět k začleňování opatření v oblasti klimatu a environmentální udržitelnosti a k dosažení celkového cíle 30 % výdajů z rozpočtu Unie na podporu cílů v oblasti klimatu. Za tímto účelem by opatření podporovaná v rámci tohoto nástroje, která jsou začleněna do plánů pro oživení a odolnost jednotlivých členských států, měla přispívat k zelené transformaci, včetně zachování biologické rozmanitosti, nebo k řešení výzev, které z této transformace vyplývají, a měla by na základě metodiky pro sledování klimatu stanovené v příloze tohoto nařízení odpovídat částce, která představuje alespoň 37 % celkových finančních prostředků přidělených na plán pro oživení a odolnost. Tato metodika by měla být přiměřeně použita pro opatření, která nelze přímo přiřadit k některé oblasti intervence uvedené v příloze tohoto nařízení. Pokud s tím dotčený členský stát a Komise souhlasí, mělo by být možné zvýšit koeficienty podpory klimatických cílů u jednotlivých investic až na 40 nebo 100 %, jak je vysvětleno v plánu pro oživení a odolnost, aby byla zohledněna doprovodná reformní opatření, která věrohodně zvyšují jejich účinek na klimatické cíle. Za tímto účelem by mělo být možné zvýšit koeficienty podpory klimatických cílů u jednotlivých investic až na celkem 3 % finančních prostředků přidělených v rámci plánu pro oživení a odolnost. </w:t>
            </w:r>
            <w:r w:rsidRPr="003C04D8">
              <w:rPr>
                <w:rFonts w:ascii="Aptos Narrow" w:eastAsia="Times New Roman" w:hAnsi="Aptos Narrow" w:cs="Times New Roman"/>
                <w:b/>
                <w:bCs/>
                <w:color w:val="000000"/>
                <w:lang w:eastAsia="cs-CZ"/>
              </w:rPr>
              <w:t>Tento nástroj by měl podporovat činnosti, které plně respektují klimatické a environmentální standardy a priority Unie a zásadu „významně nepoškozovat“ ve smyslu článku 17 nařízení Evropského parlamentu a Rady (EU) 2020/852 (zásada „významně nepoškozovat“).</w:t>
            </w:r>
          </w:p>
        </w:tc>
      </w:tr>
      <w:tr w:rsidR="003C04D8" w:rsidRPr="003C04D8" w14:paraId="1BED1EEA" w14:textId="77777777" w:rsidTr="003C04D8">
        <w:trPr>
          <w:trHeight w:val="1191"/>
        </w:trPr>
        <w:tc>
          <w:tcPr>
            <w:tcW w:w="2305" w:type="dxa"/>
            <w:vMerge/>
            <w:tcBorders>
              <w:top w:val="nil"/>
              <w:left w:val="single" w:sz="8" w:space="0" w:color="auto"/>
              <w:bottom w:val="single" w:sz="8" w:space="0" w:color="auto"/>
              <w:right w:val="single" w:sz="8" w:space="0" w:color="auto"/>
            </w:tcBorders>
            <w:vAlign w:val="center"/>
            <w:hideMark/>
          </w:tcPr>
          <w:p w14:paraId="57D06B6A" w14:textId="77777777" w:rsidR="003C04D8" w:rsidRPr="003C04D8" w:rsidRDefault="003C04D8" w:rsidP="003C04D8">
            <w:pPr>
              <w:spacing w:after="0" w:line="240" w:lineRule="auto"/>
              <w:jc w:val="left"/>
              <w:rPr>
                <w:rFonts w:ascii="Aptos Narrow" w:eastAsia="Times New Roman" w:hAnsi="Aptos Narrow" w:cs="Times New Roman"/>
                <w:color w:val="0000FF"/>
                <w:lang w:eastAsia="cs-CZ"/>
              </w:rPr>
            </w:pPr>
          </w:p>
        </w:tc>
        <w:tc>
          <w:tcPr>
            <w:tcW w:w="1938" w:type="dxa"/>
            <w:tcBorders>
              <w:top w:val="nil"/>
              <w:left w:val="nil"/>
              <w:bottom w:val="single" w:sz="8" w:space="0" w:color="auto"/>
              <w:right w:val="single" w:sz="8" w:space="0" w:color="auto"/>
            </w:tcBorders>
            <w:noWrap/>
            <w:vAlign w:val="center"/>
            <w:hideMark/>
          </w:tcPr>
          <w:p w14:paraId="71B5AE87" w14:textId="77777777" w:rsidR="003C04D8" w:rsidRPr="003C04D8" w:rsidRDefault="003C04D8" w:rsidP="003C04D8">
            <w:pPr>
              <w:spacing w:after="0" w:line="240" w:lineRule="auto"/>
              <w:jc w:val="left"/>
              <w:rPr>
                <w:rFonts w:ascii="Aptos Narrow" w:eastAsia="Times New Roman" w:hAnsi="Aptos Narrow" w:cs="Times New Roman"/>
                <w:color w:val="000000"/>
                <w:lang w:eastAsia="cs-CZ"/>
              </w:rPr>
            </w:pPr>
            <w:r w:rsidRPr="003C04D8">
              <w:rPr>
                <w:rFonts w:ascii="Aptos Narrow" w:eastAsia="Times New Roman" w:hAnsi="Aptos Narrow" w:cs="Times New Roman"/>
                <w:color w:val="000000"/>
                <w:lang w:eastAsia="cs-CZ"/>
              </w:rPr>
              <w:t>Preambule (25)</w:t>
            </w:r>
          </w:p>
        </w:tc>
        <w:tc>
          <w:tcPr>
            <w:tcW w:w="11339" w:type="dxa"/>
            <w:tcBorders>
              <w:top w:val="nil"/>
              <w:left w:val="nil"/>
              <w:bottom w:val="single" w:sz="8" w:space="0" w:color="auto"/>
              <w:right w:val="single" w:sz="8" w:space="0" w:color="auto"/>
            </w:tcBorders>
            <w:vAlign w:val="center"/>
            <w:hideMark/>
          </w:tcPr>
          <w:p w14:paraId="61F555E5" w14:textId="77777777" w:rsidR="003C04D8" w:rsidRPr="003C04D8" w:rsidRDefault="003C04D8" w:rsidP="003C04D8">
            <w:pPr>
              <w:spacing w:after="0" w:line="240" w:lineRule="auto"/>
              <w:jc w:val="left"/>
              <w:rPr>
                <w:rFonts w:ascii="Aptos Narrow" w:eastAsia="Times New Roman" w:hAnsi="Aptos Narrow" w:cs="Times New Roman"/>
                <w:b/>
                <w:bCs/>
                <w:color w:val="000000"/>
                <w:lang w:eastAsia="cs-CZ"/>
              </w:rPr>
            </w:pPr>
            <w:r w:rsidRPr="003C04D8">
              <w:rPr>
                <w:rFonts w:ascii="Aptos Narrow" w:eastAsia="Times New Roman" w:hAnsi="Aptos Narrow" w:cs="Times New Roman"/>
                <w:b/>
                <w:bCs/>
                <w:color w:val="000000"/>
                <w:lang w:eastAsia="cs-CZ"/>
              </w:rPr>
              <w:t>Členské státy by měly zajistit, aby opatření zahrnutá do jejich plánu pro oživení a odolnost dodržovala zásadu „významně nepoškozovat“ ve smyslu článku 17 nařízení (EU) 2020/852. Komise by měla členským státům poskytovat za tímto účelem technické pokyny. Tyto pokyny by neměly být ovlivněny vstupem aktů v přenesené pravomoci uvedených v čl. 3 písm. d) nařízení (EU) 2020/852 v platnost.</w:t>
            </w:r>
          </w:p>
        </w:tc>
      </w:tr>
      <w:tr w:rsidR="003C04D8" w:rsidRPr="003C04D8" w14:paraId="18093A2A" w14:textId="77777777" w:rsidTr="003C04D8">
        <w:trPr>
          <w:trHeight w:val="4706"/>
        </w:trPr>
        <w:tc>
          <w:tcPr>
            <w:tcW w:w="2305" w:type="dxa"/>
            <w:vMerge/>
            <w:tcBorders>
              <w:top w:val="nil"/>
              <w:left w:val="single" w:sz="8" w:space="0" w:color="auto"/>
              <w:bottom w:val="single" w:sz="8" w:space="0" w:color="auto"/>
              <w:right w:val="single" w:sz="8" w:space="0" w:color="auto"/>
            </w:tcBorders>
            <w:vAlign w:val="center"/>
            <w:hideMark/>
          </w:tcPr>
          <w:p w14:paraId="72C7BFFC" w14:textId="77777777" w:rsidR="003C04D8" w:rsidRPr="003C04D8" w:rsidRDefault="003C04D8" w:rsidP="003C04D8">
            <w:pPr>
              <w:spacing w:after="0" w:line="240" w:lineRule="auto"/>
              <w:jc w:val="left"/>
              <w:rPr>
                <w:rFonts w:ascii="Aptos Narrow" w:eastAsia="Times New Roman" w:hAnsi="Aptos Narrow" w:cs="Times New Roman"/>
                <w:color w:val="0000FF"/>
                <w:lang w:eastAsia="cs-CZ"/>
              </w:rPr>
            </w:pPr>
          </w:p>
        </w:tc>
        <w:tc>
          <w:tcPr>
            <w:tcW w:w="1938" w:type="dxa"/>
            <w:vMerge w:val="restart"/>
            <w:tcBorders>
              <w:top w:val="nil"/>
              <w:left w:val="single" w:sz="8" w:space="0" w:color="auto"/>
              <w:bottom w:val="single" w:sz="8" w:space="0" w:color="auto"/>
              <w:right w:val="single" w:sz="8" w:space="0" w:color="auto"/>
            </w:tcBorders>
            <w:noWrap/>
            <w:vAlign w:val="center"/>
            <w:hideMark/>
          </w:tcPr>
          <w:p w14:paraId="741D2399" w14:textId="77777777" w:rsidR="003C04D8" w:rsidRPr="003C04D8" w:rsidRDefault="003C04D8" w:rsidP="003C04D8">
            <w:pPr>
              <w:spacing w:after="0" w:line="240" w:lineRule="auto"/>
              <w:jc w:val="left"/>
              <w:rPr>
                <w:rFonts w:ascii="Aptos Narrow" w:eastAsia="Times New Roman" w:hAnsi="Aptos Narrow" w:cs="Times New Roman"/>
                <w:color w:val="000000"/>
                <w:lang w:eastAsia="cs-CZ"/>
              </w:rPr>
            </w:pPr>
            <w:r w:rsidRPr="003C04D8">
              <w:rPr>
                <w:rFonts w:ascii="Aptos Narrow" w:eastAsia="Times New Roman" w:hAnsi="Aptos Narrow" w:cs="Times New Roman"/>
                <w:color w:val="000000"/>
                <w:lang w:eastAsia="cs-CZ"/>
              </w:rPr>
              <w:t>Preambule (39)</w:t>
            </w:r>
          </w:p>
        </w:tc>
        <w:tc>
          <w:tcPr>
            <w:tcW w:w="11339" w:type="dxa"/>
            <w:tcBorders>
              <w:top w:val="nil"/>
              <w:left w:val="nil"/>
              <w:bottom w:val="single" w:sz="8" w:space="0" w:color="auto"/>
              <w:right w:val="single" w:sz="8" w:space="0" w:color="auto"/>
            </w:tcBorders>
            <w:vAlign w:val="center"/>
            <w:hideMark/>
          </w:tcPr>
          <w:p w14:paraId="1CEBAAEE" w14:textId="77777777" w:rsidR="003C04D8" w:rsidRPr="003C04D8" w:rsidRDefault="003C04D8" w:rsidP="003C04D8">
            <w:pPr>
              <w:spacing w:after="0" w:line="240" w:lineRule="auto"/>
              <w:jc w:val="left"/>
              <w:rPr>
                <w:rFonts w:ascii="Aptos Narrow" w:eastAsia="Times New Roman" w:hAnsi="Aptos Narrow" w:cs="Times New Roman"/>
                <w:color w:val="000000"/>
                <w:lang w:eastAsia="cs-CZ"/>
              </w:rPr>
            </w:pPr>
            <w:r w:rsidRPr="003C04D8">
              <w:rPr>
                <w:rFonts w:ascii="Aptos Narrow" w:eastAsia="Times New Roman" w:hAnsi="Aptos Narrow" w:cs="Times New Roman"/>
                <w:color w:val="000000"/>
                <w:lang w:eastAsia="cs-CZ"/>
              </w:rPr>
              <w:t xml:space="preserve">V zájmu zajištění vlastní odpovědnosti jednotlivých států a zaměření na příslušné reformy a investice by členské státy, které si přejí získat podporu, měly předložit Komisi plán pro oživení a odolnost, který by byl řádně odůvodněn a opodstatněný. V něm by mělo být podrobně uvedeno, jakým způsobem tento plán, s přihlédnutím k opatřením do něj zahrnutým, představuje komplexní a přiměřeně vyváženou reakci na hospodářskou a sociální situaci daného členského státu, čímž vhodně přispívá ke všem šesti pilířům, se zohledněním specifických výzev dotčeného členského státu. V plánu pro oživení a odolnost by měl být stanoven podrobný soubor opatření pro jeho sledování a provádění, včetně cílů, milníků a očekávaných nákladů, a jeho očekávaný účinek na potenciál růstu, tvorbu pracovních příležitostí a hospodářskou, sociální a institucionální odolnost, mimo jiné podporou politik ve prospěch dětí a mládeže, a jeho vliv na zmírnění hospodářského a sociálního dopadu krize způsobené onemocněním COVID-19 a tento plán by měl přispět k provádění evropského pilíře sociálních práv a k posilování hospodářské, sociální a územní soudržnosti a konvergence v Unii. Měl by obsahovat také opatření, která jsou relevantní pro zelenou transformaci, včetně biologické rozmanitosti, a pro digitální transformaci. Měl by obsahovat také vysvětlení toho, jak přispěje k účinnému řešení výzev a priorit každé země identifikovaných v rámci evropského semestru, včetně jejich fiskálních aspektů, a v případných doporučeních učiněných podle článku 6 nařízení Evropského parlamentu a Rady (EU) č. 1176/2011. </w:t>
            </w:r>
            <w:r w:rsidRPr="003C04D8">
              <w:rPr>
                <w:rFonts w:ascii="Aptos Narrow" w:eastAsia="Times New Roman" w:hAnsi="Aptos Narrow" w:cs="Times New Roman"/>
                <w:b/>
                <w:bCs/>
                <w:color w:val="000000"/>
                <w:lang w:eastAsia="cs-CZ"/>
              </w:rPr>
              <w:t>Plán pro oživení a odolnost by měl obsahovat také vysvětlení, jak zajišťuje, aby žádné opatření k provádění reforem a investic, které je v něm zahrnuto, významně nepoškozovalo environmentální cíle ve smyslu článku 17 nařízení (EU) 2020/852 (zásada „významně nepoškozovat“).</w:t>
            </w:r>
            <w:r w:rsidRPr="003C04D8">
              <w:rPr>
                <w:rFonts w:ascii="Aptos Narrow" w:eastAsia="Times New Roman" w:hAnsi="Aptos Narrow" w:cs="Times New Roman"/>
                <w:color w:val="000000"/>
                <w:lang w:eastAsia="cs-CZ"/>
              </w:rPr>
              <w:t xml:space="preserve"> V plánu pro oživení a odolnost by měl být stanoven očekávaný příspěvek k rovnosti žen a mužů a rovným příležitostem pro všechny a také shrnutí provedených konzultací s relevantními zúčastněnými stranami z členských států.</w:t>
            </w:r>
          </w:p>
        </w:tc>
      </w:tr>
      <w:tr w:rsidR="003C04D8" w:rsidRPr="003C04D8" w14:paraId="718764C8" w14:textId="77777777" w:rsidTr="003C04D8">
        <w:trPr>
          <w:trHeight w:val="1191"/>
        </w:trPr>
        <w:tc>
          <w:tcPr>
            <w:tcW w:w="2305" w:type="dxa"/>
            <w:vMerge/>
            <w:tcBorders>
              <w:top w:val="nil"/>
              <w:left w:val="single" w:sz="8" w:space="0" w:color="auto"/>
              <w:bottom w:val="single" w:sz="8" w:space="0" w:color="auto"/>
              <w:right w:val="single" w:sz="8" w:space="0" w:color="auto"/>
            </w:tcBorders>
            <w:vAlign w:val="center"/>
            <w:hideMark/>
          </w:tcPr>
          <w:p w14:paraId="35091E99" w14:textId="77777777" w:rsidR="003C04D8" w:rsidRPr="003C04D8" w:rsidRDefault="003C04D8" w:rsidP="003C04D8">
            <w:pPr>
              <w:spacing w:after="0" w:line="240" w:lineRule="auto"/>
              <w:jc w:val="left"/>
              <w:rPr>
                <w:rFonts w:ascii="Aptos Narrow" w:eastAsia="Times New Roman" w:hAnsi="Aptos Narrow" w:cs="Times New Roman"/>
                <w:color w:val="0000FF"/>
                <w:lang w:eastAsia="cs-CZ"/>
              </w:rPr>
            </w:pPr>
          </w:p>
        </w:tc>
        <w:tc>
          <w:tcPr>
            <w:tcW w:w="1938" w:type="dxa"/>
            <w:vMerge/>
            <w:tcBorders>
              <w:top w:val="nil"/>
              <w:left w:val="single" w:sz="8" w:space="0" w:color="auto"/>
              <w:bottom w:val="single" w:sz="8" w:space="0" w:color="auto"/>
              <w:right w:val="single" w:sz="8" w:space="0" w:color="auto"/>
            </w:tcBorders>
            <w:vAlign w:val="center"/>
            <w:hideMark/>
          </w:tcPr>
          <w:p w14:paraId="39E7960B" w14:textId="77777777" w:rsidR="003C04D8" w:rsidRPr="003C04D8" w:rsidRDefault="003C04D8" w:rsidP="003C04D8">
            <w:pPr>
              <w:spacing w:after="0" w:line="240" w:lineRule="auto"/>
              <w:jc w:val="left"/>
              <w:rPr>
                <w:rFonts w:ascii="Aptos Narrow" w:eastAsia="Times New Roman" w:hAnsi="Aptos Narrow" w:cs="Times New Roman"/>
                <w:color w:val="000000"/>
                <w:lang w:eastAsia="cs-CZ"/>
              </w:rPr>
            </w:pPr>
          </w:p>
        </w:tc>
        <w:tc>
          <w:tcPr>
            <w:tcW w:w="11339" w:type="dxa"/>
            <w:tcBorders>
              <w:top w:val="nil"/>
              <w:left w:val="nil"/>
              <w:bottom w:val="single" w:sz="8" w:space="0" w:color="auto"/>
              <w:right w:val="single" w:sz="8" w:space="0" w:color="auto"/>
            </w:tcBorders>
            <w:vAlign w:val="center"/>
            <w:hideMark/>
          </w:tcPr>
          <w:p w14:paraId="04740243" w14:textId="77777777" w:rsidR="003C04D8" w:rsidRPr="003C04D8" w:rsidRDefault="003C04D8" w:rsidP="003C04D8">
            <w:pPr>
              <w:spacing w:after="0" w:line="240" w:lineRule="auto"/>
              <w:jc w:val="left"/>
              <w:rPr>
                <w:rFonts w:ascii="Aptos Narrow" w:eastAsia="Times New Roman" w:hAnsi="Aptos Narrow" w:cs="Times New Roman"/>
                <w:color w:val="000000"/>
                <w:lang w:eastAsia="cs-CZ"/>
              </w:rPr>
            </w:pPr>
            <w:r w:rsidRPr="003C04D8">
              <w:rPr>
                <w:rFonts w:ascii="Aptos Narrow" w:eastAsia="Times New Roman" w:hAnsi="Aptos Narrow" w:cs="Times New Roman"/>
                <w:color w:val="000000"/>
                <w:lang w:eastAsia="cs-CZ"/>
              </w:rPr>
              <w:t>Plán pro oživení a odolnost by měl obsahovat vysvětlení plánů, systémů a konkrétních opatření členských států zaměřených na prevenci, odhalování a nápravu střetu zájmů, korupce a podvodů a zabránění dvojímu financování z tohoto nástroje a jiných programů Unie. Plán pro oživení a odolnost by mohl obsahovat také přeshraniční projekty či projekty pro více zemí. Komise a členské státy by měly v průběhu celého procesu usilovat o úzkou spolupráci a dosahovat jí.</w:t>
            </w:r>
          </w:p>
        </w:tc>
      </w:tr>
      <w:tr w:rsidR="003C04D8" w:rsidRPr="003C04D8" w14:paraId="382F6779" w14:textId="77777777" w:rsidTr="003C04D8">
        <w:trPr>
          <w:trHeight w:val="737"/>
        </w:trPr>
        <w:tc>
          <w:tcPr>
            <w:tcW w:w="2305" w:type="dxa"/>
            <w:vMerge/>
            <w:tcBorders>
              <w:top w:val="nil"/>
              <w:left w:val="single" w:sz="8" w:space="0" w:color="auto"/>
              <w:bottom w:val="single" w:sz="8" w:space="0" w:color="auto"/>
              <w:right w:val="single" w:sz="8" w:space="0" w:color="auto"/>
            </w:tcBorders>
            <w:vAlign w:val="center"/>
            <w:hideMark/>
          </w:tcPr>
          <w:p w14:paraId="72323F72" w14:textId="77777777" w:rsidR="003C04D8" w:rsidRPr="003C04D8" w:rsidRDefault="003C04D8" w:rsidP="003C04D8">
            <w:pPr>
              <w:spacing w:after="0" w:line="240" w:lineRule="auto"/>
              <w:jc w:val="left"/>
              <w:rPr>
                <w:rFonts w:ascii="Aptos Narrow" w:eastAsia="Times New Roman" w:hAnsi="Aptos Narrow" w:cs="Times New Roman"/>
                <w:color w:val="0000FF"/>
                <w:lang w:eastAsia="cs-CZ"/>
              </w:rPr>
            </w:pPr>
          </w:p>
        </w:tc>
        <w:tc>
          <w:tcPr>
            <w:tcW w:w="1938" w:type="dxa"/>
            <w:tcBorders>
              <w:top w:val="nil"/>
              <w:left w:val="nil"/>
              <w:bottom w:val="single" w:sz="8" w:space="0" w:color="auto"/>
              <w:right w:val="single" w:sz="8" w:space="0" w:color="auto"/>
            </w:tcBorders>
            <w:noWrap/>
            <w:vAlign w:val="center"/>
            <w:hideMark/>
          </w:tcPr>
          <w:p w14:paraId="0CB8DCBF" w14:textId="77777777" w:rsidR="003C04D8" w:rsidRPr="003C04D8" w:rsidRDefault="003C04D8" w:rsidP="003C04D8">
            <w:pPr>
              <w:spacing w:after="0" w:line="240" w:lineRule="auto"/>
              <w:jc w:val="left"/>
              <w:rPr>
                <w:rFonts w:ascii="Aptos Narrow" w:eastAsia="Times New Roman" w:hAnsi="Aptos Narrow" w:cs="Times New Roman"/>
                <w:color w:val="000000"/>
                <w:lang w:eastAsia="cs-CZ"/>
              </w:rPr>
            </w:pPr>
            <w:r w:rsidRPr="003C04D8">
              <w:rPr>
                <w:rFonts w:ascii="Aptos Narrow" w:eastAsia="Times New Roman" w:hAnsi="Aptos Narrow" w:cs="Times New Roman"/>
                <w:color w:val="000000"/>
                <w:lang w:eastAsia="cs-CZ"/>
              </w:rPr>
              <w:t>Článek 2(6)</w:t>
            </w:r>
          </w:p>
        </w:tc>
        <w:tc>
          <w:tcPr>
            <w:tcW w:w="11339" w:type="dxa"/>
            <w:tcBorders>
              <w:top w:val="nil"/>
              <w:left w:val="nil"/>
              <w:bottom w:val="single" w:sz="8" w:space="0" w:color="auto"/>
              <w:right w:val="single" w:sz="8" w:space="0" w:color="auto"/>
            </w:tcBorders>
            <w:vAlign w:val="center"/>
            <w:hideMark/>
          </w:tcPr>
          <w:p w14:paraId="2AF94742" w14:textId="77777777" w:rsidR="003C04D8" w:rsidRPr="003C04D8" w:rsidRDefault="003C04D8" w:rsidP="003C04D8">
            <w:pPr>
              <w:spacing w:after="0" w:line="240" w:lineRule="auto"/>
              <w:jc w:val="left"/>
              <w:rPr>
                <w:rFonts w:ascii="Aptos Narrow" w:eastAsia="Times New Roman" w:hAnsi="Aptos Narrow" w:cs="Times New Roman"/>
                <w:b/>
                <w:bCs/>
                <w:color w:val="000000"/>
                <w:lang w:eastAsia="cs-CZ"/>
              </w:rPr>
            </w:pPr>
            <w:r w:rsidRPr="003C04D8">
              <w:rPr>
                <w:rFonts w:ascii="Aptos Narrow" w:eastAsia="Times New Roman" w:hAnsi="Aptos Narrow" w:cs="Times New Roman"/>
                <w:b/>
                <w:bCs/>
                <w:color w:val="000000"/>
                <w:lang w:eastAsia="cs-CZ"/>
              </w:rPr>
              <w:t>„významně nepoškozovat“ znamená nepodporovat nebo nevykonávat hospodářské činnosti, které významně poškozují kterýkoli environmentální cíl, případně ve smyslu článku 17 nařízení (EU) 2020/852.</w:t>
            </w:r>
          </w:p>
        </w:tc>
      </w:tr>
      <w:tr w:rsidR="003C04D8" w:rsidRPr="003C04D8" w14:paraId="3438B920" w14:textId="77777777" w:rsidTr="003C04D8">
        <w:trPr>
          <w:trHeight w:val="615"/>
        </w:trPr>
        <w:tc>
          <w:tcPr>
            <w:tcW w:w="2305" w:type="dxa"/>
            <w:vMerge/>
            <w:tcBorders>
              <w:top w:val="nil"/>
              <w:left w:val="single" w:sz="8" w:space="0" w:color="auto"/>
              <w:bottom w:val="single" w:sz="8" w:space="0" w:color="auto"/>
              <w:right w:val="single" w:sz="8" w:space="0" w:color="auto"/>
            </w:tcBorders>
            <w:vAlign w:val="center"/>
            <w:hideMark/>
          </w:tcPr>
          <w:p w14:paraId="0DA16527" w14:textId="77777777" w:rsidR="003C04D8" w:rsidRPr="003C04D8" w:rsidRDefault="003C04D8" w:rsidP="003C04D8">
            <w:pPr>
              <w:spacing w:after="0" w:line="240" w:lineRule="auto"/>
              <w:jc w:val="left"/>
              <w:rPr>
                <w:rFonts w:ascii="Aptos Narrow" w:eastAsia="Times New Roman" w:hAnsi="Aptos Narrow" w:cs="Times New Roman"/>
                <w:color w:val="0000FF"/>
                <w:lang w:eastAsia="cs-CZ"/>
              </w:rPr>
            </w:pPr>
          </w:p>
        </w:tc>
        <w:tc>
          <w:tcPr>
            <w:tcW w:w="1938" w:type="dxa"/>
            <w:tcBorders>
              <w:top w:val="nil"/>
              <w:left w:val="nil"/>
              <w:bottom w:val="single" w:sz="8" w:space="0" w:color="auto"/>
              <w:right w:val="single" w:sz="8" w:space="0" w:color="auto"/>
            </w:tcBorders>
            <w:noWrap/>
            <w:vAlign w:val="center"/>
            <w:hideMark/>
          </w:tcPr>
          <w:p w14:paraId="03B234A1" w14:textId="77777777" w:rsidR="003C04D8" w:rsidRPr="003C04D8" w:rsidRDefault="003C04D8" w:rsidP="003C04D8">
            <w:pPr>
              <w:spacing w:after="0" w:line="240" w:lineRule="auto"/>
              <w:jc w:val="left"/>
              <w:rPr>
                <w:rFonts w:ascii="Aptos Narrow" w:eastAsia="Times New Roman" w:hAnsi="Aptos Narrow" w:cs="Times New Roman"/>
                <w:color w:val="000000"/>
                <w:lang w:eastAsia="cs-CZ"/>
              </w:rPr>
            </w:pPr>
            <w:r w:rsidRPr="003C04D8">
              <w:rPr>
                <w:rFonts w:ascii="Aptos Narrow" w:eastAsia="Times New Roman" w:hAnsi="Aptos Narrow" w:cs="Times New Roman"/>
                <w:color w:val="000000"/>
                <w:lang w:eastAsia="cs-CZ"/>
              </w:rPr>
              <w:t>Článek 5(2)</w:t>
            </w:r>
          </w:p>
        </w:tc>
        <w:tc>
          <w:tcPr>
            <w:tcW w:w="11339" w:type="dxa"/>
            <w:tcBorders>
              <w:top w:val="nil"/>
              <w:left w:val="nil"/>
              <w:bottom w:val="single" w:sz="8" w:space="0" w:color="auto"/>
              <w:right w:val="single" w:sz="8" w:space="0" w:color="auto"/>
            </w:tcBorders>
            <w:vAlign w:val="center"/>
            <w:hideMark/>
          </w:tcPr>
          <w:p w14:paraId="6699C573" w14:textId="77777777" w:rsidR="003C04D8" w:rsidRPr="003C04D8" w:rsidRDefault="003C04D8" w:rsidP="003C04D8">
            <w:pPr>
              <w:spacing w:after="0" w:line="240" w:lineRule="auto"/>
              <w:jc w:val="left"/>
              <w:rPr>
                <w:rFonts w:ascii="Aptos Narrow" w:eastAsia="Times New Roman" w:hAnsi="Aptos Narrow" w:cs="Times New Roman"/>
                <w:b/>
                <w:bCs/>
                <w:color w:val="000000"/>
                <w:lang w:eastAsia="cs-CZ"/>
              </w:rPr>
            </w:pPr>
            <w:r w:rsidRPr="003C04D8">
              <w:rPr>
                <w:rFonts w:ascii="Aptos Narrow" w:eastAsia="Times New Roman" w:hAnsi="Aptos Narrow" w:cs="Times New Roman"/>
                <w:b/>
                <w:bCs/>
                <w:color w:val="000000"/>
                <w:lang w:eastAsia="cs-CZ"/>
              </w:rPr>
              <w:t>Z tohoto nástroje se podporují pouze opatření, která dodržují zásadu „významně nepoškozovat“.</w:t>
            </w:r>
          </w:p>
        </w:tc>
      </w:tr>
      <w:tr w:rsidR="003C04D8" w:rsidRPr="003C04D8" w14:paraId="658DB3E8" w14:textId="77777777" w:rsidTr="003C04D8">
        <w:trPr>
          <w:trHeight w:val="567"/>
        </w:trPr>
        <w:tc>
          <w:tcPr>
            <w:tcW w:w="2305" w:type="dxa"/>
            <w:vMerge/>
            <w:tcBorders>
              <w:top w:val="nil"/>
              <w:left w:val="single" w:sz="8" w:space="0" w:color="auto"/>
              <w:bottom w:val="single" w:sz="8" w:space="0" w:color="auto"/>
              <w:right w:val="single" w:sz="8" w:space="0" w:color="auto"/>
            </w:tcBorders>
            <w:vAlign w:val="center"/>
            <w:hideMark/>
          </w:tcPr>
          <w:p w14:paraId="7F22CD20" w14:textId="77777777" w:rsidR="003C04D8" w:rsidRPr="003C04D8" w:rsidRDefault="003C04D8" w:rsidP="003C04D8">
            <w:pPr>
              <w:spacing w:after="0" w:line="240" w:lineRule="auto"/>
              <w:jc w:val="left"/>
              <w:rPr>
                <w:rFonts w:ascii="Aptos Narrow" w:eastAsia="Times New Roman" w:hAnsi="Aptos Narrow" w:cs="Times New Roman"/>
                <w:color w:val="0000FF"/>
                <w:lang w:eastAsia="cs-CZ"/>
              </w:rPr>
            </w:pPr>
          </w:p>
        </w:tc>
        <w:tc>
          <w:tcPr>
            <w:tcW w:w="1938" w:type="dxa"/>
            <w:tcBorders>
              <w:top w:val="nil"/>
              <w:left w:val="nil"/>
              <w:bottom w:val="single" w:sz="8" w:space="0" w:color="auto"/>
              <w:right w:val="single" w:sz="8" w:space="0" w:color="auto"/>
            </w:tcBorders>
            <w:noWrap/>
            <w:vAlign w:val="center"/>
            <w:hideMark/>
          </w:tcPr>
          <w:p w14:paraId="75242FEB" w14:textId="77777777" w:rsidR="003C04D8" w:rsidRPr="003C04D8" w:rsidRDefault="003C04D8" w:rsidP="003C04D8">
            <w:pPr>
              <w:spacing w:after="0" w:line="240" w:lineRule="auto"/>
              <w:jc w:val="left"/>
              <w:rPr>
                <w:rFonts w:ascii="Aptos Narrow" w:eastAsia="Times New Roman" w:hAnsi="Aptos Narrow" w:cs="Times New Roman"/>
                <w:color w:val="000000"/>
                <w:lang w:eastAsia="cs-CZ"/>
              </w:rPr>
            </w:pPr>
            <w:r w:rsidRPr="003C04D8">
              <w:rPr>
                <w:rFonts w:ascii="Aptos Narrow" w:eastAsia="Times New Roman" w:hAnsi="Aptos Narrow" w:cs="Times New Roman"/>
                <w:color w:val="000000"/>
                <w:lang w:eastAsia="cs-CZ"/>
              </w:rPr>
              <w:t>Článek 18(4)d)</w:t>
            </w:r>
          </w:p>
        </w:tc>
        <w:tc>
          <w:tcPr>
            <w:tcW w:w="11339" w:type="dxa"/>
            <w:tcBorders>
              <w:top w:val="nil"/>
              <w:left w:val="nil"/>
              <w:bottom w:val="single" w:sz="8" w:space="0" w:color="auto"/>
              <w:right w:val="single" w:sz="8" w:space="0" w:color="auto"/>
            </w:tcBorders>
            <w:vAlign w:val="center"/>
            <w:hideMark/>
          </w:tcPr>
          <w:p w14:paraId="084F4EC6" w14:textId="77777777" w:rsidR="003C04D8" w:rsidRPr="003C04D8" w:rsidRDefault="003C04D8" w:rsidP="003C04D8">
            <w:pPr>
              <w:spacing w:after="0" w:line="240" w:lineRule="auto"/>
              <w:jc w:val="left"/>
              <w:rPr>
                <w:rFonts w:ascii="Aptos Narrow" w:eastAsia="Times New Roman" w:hAnsi="Aptos Narrow" w:cs="Times New Roman"/>
                <w:b/>
                <w:bCs/>
                <w:color w:val="000000"/>
                <w:lang w:eastAsia="cs-CZ"/>
              </w:rPr>
            </w:pPr>
            <w:r w:rsidRPr="003C04D8">
              <w:rPr>
                <w:rFonts w:ascii="Aptos Narrow" w:eastAsia="Times New Roman" w:hAnsi="Aptos Narrow" w:cs="Times New Roman"/>
                <w:b/>
                <w:bCs/>
                <w:color w:val="000000"/>
                <w:lang w:eastAsia="cs-CZ"/>
              </w:rPr>
              <w:t>vysvětlení, jak tento plán zajišťuje, aby žádné opatření k provádění reforem a investic, které je v něm zahrnuto, významně nepoškozovalo environmentální cíle ve smyslu článku 17 nařízení (EU) 2020/852 (zásada „významně nepoškozovat“);</w:t>
            </w:r>
          </w:p>
        </w:tc>
      </w:tr>
      <w:tr w:rsidR="003C04D8" w:rsidRPr="003C04D8" w14:paraId="29716D3A" w14:textId="77777777" w:rsidTr="003C04D8">
        <w:trPr>
          <w:trHeight w:val="1474"/>
        </w:trPr>
        <w:tc>
          <w:tcPr>
            <w:tcW w:w="2305" w:type="dxa"/>
            <w:vMerge w:val="restart"/>
            <w:tcBorders>
              <w:top w:val="nil"/>
              <w:left w:val="single" w:sz="8" w:space="0" w:color="auto"/>
              <w:bottom w:val="single" w:sz="8" w:space="0" w:color="auto"/>
              <w:right w:val="single" w:sz="8" w:space="0" w:color="auto"/>
            </w:tcBorders>
            <w:vAlign w:val="center"/>
            <w:hideMark/>
          </w:tcPr>
          <w:p w14:paraId="083BAB0B" w14:textId="475415BA" w:rsidR="003C04D8" w:rsidRPr="003C04D8" w:rsidRDefault="003C04D8" w:rsidP="003C04D8">
            <w:pPr>
              <w:spacing w:after="0" w:line="240" w:lineRule="auto"/>
              <w:jc w:val="left"/>
              <w:rPr>
                <w:rFonts w:ascii="Aptos Narrow" w:eastAsia="Times New Roman" w:hAnsi="Aptos Narrow" w:cs="Times New Roman"/>
                <w:color w:val="0000FF"/>
                <w:u w:val="single"/>
                <w:lang w:eastAsia="cs-CZ"/>
              </w:rPr>
            </w:pPr>
            <w:r w:rsidRPr="003C04D8">
              <w:rPr>
                <w:rFonts w:ascii="Aptos Narrow" w:eastAsia="Times New Roman" w:hAnsi="Aptos Narrow" w:cs="Times New Roman"/>
                <w:color w:val="0000FF"/>
                <w:u w:val="single"/>
                <w:lang w:eastAsia="cs-CZ"/>
              </w:rPr>
              <w:footnoteReference w:customMarkFollows="1" w:id="15"/>
              <w:t xml:space="preserve">SMĚRNICE EVROPSKÉHO PARLAMENTU A RADY 2003/87/ES o vytvoření systému pro obchodování s povolenkami na emise skleníkových plynů a o změně směrnice Rady 96/61/ES </w:t>
            </w:r>
          </w:p>
        </w:tc>
        <w:tc>
          <w:tcPr>
            <w:tcW w:w="1938" w:type="dxa"/>
            <w:tcBorders>
              <w:top w:val="nil"/>
              <w:left w:val="nil"/>
              <w:bottom w:val="single" w:sz="8" w:space="0" w:color="auto"/>
              <w:right w:val="single" w:sz="8" w:space="0" w:color="auto"/>
            </w:tcBorders>
            <w:noWrap/>
            <w:vAlign w:val="center"/>
            <w:hideMark/>
          </w:tcPr>
          <w:p w14:paraId="741D7DB7" w14:textId="77777777" w:rsidR="003C04D8" w:rsidRPr="003C04D8" w:rsidRDefault="003C04D8" w:rsidP="003C04D8">
            <w:pPr>
              <w:spacing w:after="0" w:line="240" w:lineRule="auto"/>
              <w:jc w:val="left"/>
              <w:rPr>
                <w:rFonts w:ascii="Aptos Narrow" w:eastAsia="Times New Roman" w:hAnsi="Aptos Narrow" w:cs="Times New Roman"/>
                <w:color w:val="000000"/>
                <w:lang w:eastAsia="cs-CZ"/>
              </w:rPr>
            </w:pPr>
            <w:r w:rsidRPr="003C04D8">
              <w:rPr>
                <w:rFonts w:ascii="Aptos Narrow" w:eastAsia="Times New Roman" w:hAnsi="Aptos Narrow" w:cs="Times New Roman"/>
                <w:color w:val="000000"/>
                <w:lang w:eastAsia="cs-CZ"/>
              </w:rPr>
              <w:t>Článek 10(d)1</w:t>
            </w:r>
          </w:p>
        </w:tc>
        <w:tc>
          <w:tcPr>
            <w:tcW w:w="11339" w:type="dxa"/>
            <w:tcBorders>
              <w:top w:val="nil"/>
              <w:left w:val="nil"/>
              <w:bottom w:val="single" w:sz="8" w:space="0" w:color="auto"/>
              <w:right w:val="single" w:sz="8" w:space="0" w:color="auto"/>
            </w:tcBorders>
            <w:vAlign w:val="center"/>
            <w:hideMark/>
          </w:tcPr>
          <w:p w14:paraId="2A6CC294" w14:textId="77777777" w:rsidR="003C04D8" w:rsidRPr="003C04D8" w:rsidRDefault="003C04D8" w:rsidP="003C04D8">
            <w:pPr>
              <w:spacing w:after="0" w:line="240" w:lineRule="auto"/>
              <w:jc w:val="left"/>
              <w:rPr>
                <w:rFonts w:ascii="Aptos Narrow" w:eastAsia="Times New Roman" w:hAnsi="Aptos Narrow" w:cs="Times New Roman"/>
                <w:b/>
                <w:bCs/>
                <w:color w:val="000000"/>
                <w:lang w:eastAsia="cs-CZ"/>
              </w:rPr>
            </w:pPr>
            <w:r w:rsidRPr="003C04D8">
              <w:rPr>
                <w:rFonts w:ascii="Aptos Narrow" w:eastAsia="Times New Roman" w:hAnsi="Aptos Narrow" w:cs="Times New Roman"/>
                <w:b/>
                <w:bCs/>
                <w:color w:val="000000"/>
                <w:lang w:eastAsia="cs-CZ"/>
              </w:rPr>
              <w:t xml:space="preserve">Podporované investice jsou v souladu s cíli této směrnice, jakož i s cíli sdělení Komise ze dne 11. prosince 2019 o </w:t>
            </w:r>
            <w:proofErr w:type="gramStart"/>
            <w:r w:rsidRPr="003C04D8">
              <w:rPr>
                <w:rFonts w:ascii="Aptos Narrow" w:eastAsia="Times New Roman" w:hAnsi="Aptos Narrow" w:cs="Times New Roman"/>
                <w:b/>
                <w:bCs/>
                <w:color w:val="000000"/>
                <w:lang w:eastAsia="cs-CZ"/>
              </w:rPr>
              <w:t>Zelené</w:t>
            </w:r>
            <w:proofErr w:type="gramEnd"/>
            <w:r w:rsidRPr="003C04D8">
              <w:rPr>
                <w:rFonts w:ascii="Aptos Narrow" w:eastAsia="Times New Roman" w:hAnsi="Aptos Narrow" w:cs="Times New Roman"/>
                <w:b/>
                <w:bCs/>
                <w:color w:val="000000"/>
                <w:lang w:eastAsia="cs-CZ"/>
              </w:rPr>
              <w:t xml:space="preserve"> dohodě pro Evropu a nařízením (EU) 2021/1119 a s dlouhodobými cíli vyjádřenými v Pařížské dohodě.</w:t>
            </w:r>
            <w:r w:rsidRPr="003C04D8">
              <w:rPr>
                <w:rFonts w:ascii="Aptos Narrow" w:eastAsia="Times New Roman" w:hAnsi="Aptos Narrow" w:cs="Times New Roman"/>
                <w:color w:val="000000"/>
                <w:lang w:eastAsia="cs-CZ"/>
              </w:rPr>
              <w:t xml:space="preserve"> Přijímající členské státy mohou případně využít zdroje modernizačního fondu k financování investic, které zahrnují přilehlé příhraniční regiony Unie. Z modernizačního fondu se neposkytuje žádná podpora na zařízení na výrobu elektřiny využívající fosilní paliva. Výnosy z povolenek oznamované podle odstavce 4 tohoto článku však mohou být použity na investice do plynných fosilních paliv.</w:t>
            </w:r>
          </w:p>
        </w:tc>
      </w:tr>
      <w:tr w:rsidR="003C04D8" w:rsidRPr="003C04D8" w14:paraId="1F2286BF" w14:textId="77777777" w:rsidTr="003C04D8">
        <w:trPr>
          <w:trHeight w:val="1757"/>
        </w:trPr>
        <w:tc>
          <w:tcPr>
            <w:tcW w:w="2305" w:type="dxa"/>
            <w:vMerge/>
            <w:tcBorders>
              <w:top w:val="nil"/>
              <w:left w:val="single" w:sz="8" w:space="0" w:color="auto"/>
              <w:bottom w:val="single" w:sz="8" w:space="0" w:color="auto"/>
              <w:right w:val="single" w:sz="8" w:space="0" w:color="auto"/>
            </w:tcBorders>
            <w:vAlign w:val="center"/>
            <w:hideMark/>
          </w:tcPr>
          <w:p w14:paraId="7F780C27" w14:textId="77777777" w:rsidR="003C04D8" w:rsidRPr="003C04D8" w:rsidRDefault="003C04D8" w:rsidP="003C04D8">
            <w:pPr>
              <w:spacing w:after="0" w:line="240" w:lineRule="auto"/>
              <w:jc w:val="left"/>
              <w:rPr>
                <w:rFonts w:ascii="Aptos Narrow" w:eastAsia="Times New Roman" w:hAnsi="Aptos Narrow" w:cs="Times New Roman"/>
                <w:color w:val="0000FF"/>
                <w:u w:val="single"/>
                <w:lang w:eastAsia="cs-CZ"/>
              </w:rPr>
            </w:pPr>
          </w:p>
        </w:tc>
        <w:tc>
          <w:tcPr>
            <w:tcW w:w="1938" w:type="dxa"/>
            <w:tcBorders>
              <w:top w:val="nil"/>
              <w:left w:val="nil"/>
              <w:bottom w:val="single" w:sz="8" w:space="0" w:color="auto"/>
              <w:right w:val="single" w:sz="8" w:space="0" w:color="auto"/>
            </w:tcBorders>
            <w:noWrap/>
            <w:vAlign w:val="center"/>
            <w:hideMark/>
          </w:tcPr>
          <w:p w14:paraId="3B773C50" w14:textId="77777777" w:rsidR="003C04D8" w:rsidRPr="003C04D8" w:rsidRDefault="003C04D8" w:rsidP="003C04D8">
            <w:pPr>
              <w:spacing w:after="0" w:line="240" w:lineRule="auto"/>
              <w:jc w:val="left"/>
              <w:rPr>
                <w:rFonts w:ascii="Aptos Narrow" w:eastAsia="Times New Roman" w:hAnsi="Aptos Narrow" w:cs="Times New Roman"/>
                <w:color w:val="000000"/>
                <w:lang w:eastAsia="cs-CZ"/>
              </w:rPr>
            </w:pPr>
            <w:r w:rsidRPr="003C04D8">
              <w:rPr>
                <w:rFonts w:ascii="Aptos Narrow" w:eastAsia="Times New Roman" w:hAnsi="Aptos Narrow" w:cs="Times New Roman"/>
                <w:color w:val="000000"/>
                <w:lang w:eastAsia="cs-CZ"/>
              </w:rPr>
              <w:t>Článek (10)f</w:t>
            </w:r>
          </w:p>
        </w:tc>
        <w:tc>
          <w:tcPr>
            <w:tcW w:w="11339" w:type="dxa"/>
            <w:tcBorders>
              <w:top w:val="nil"/>
              <w:left w:val="nil"/>
              <w:bottom w:val="single" w:sz="8" w:space="0" w:color="auto"/>
              <w:right w:val="single" w:sz="8" w:space="0" w:color="auto"/>
            </w:tcBorders>
            <w:vAlign w:val="center"/>
            <w:hideMark/>
          </w:tcPr>
          <w:p w14:paraId="6851A48C" w14:textId="77777777" w:rsidR="003C04D8" w:rsidRPr="003C04D8" w:rsidRDefault="003C04D8" w:rsidP="003C04D8">
            <w:pPr>
              <w:spacing w:after="0" w:line="240" w:lineRule="auto"/>
              <w:jc w:val="left"/>
              <w:rPr>
                <w:rFonts w:ascii="Aptos Narrow" w:eastAsia="Times New Roman" w:hAnsi="Aptos Narrow" w:cs="Times New Roman"/>
                <w:color w:val="000000"/>
                <w:lang w:eastAsia="cs-CZ"/>
              </w:rPr>
            </w:pPr>
            <w:r w:rsidRPr="003C04D8">
              <w:rPr>
                <w:rFonts w:ascii="Aptos Narrow" w:eastAsia="Times New Roman" w:hAnsi="Aptos Narrow" w:cs="Times New Roman"/>
                <w:color w:val="000000"/>
                <w:lang w:eastAsia="cs-CZ"/>
              </w:rPr>
              <w:t xml:space="preserve">Od 1. ledna 2025 použijí přijímající členské státy a Komise výnosy z dražeb povolenek, které jsou podle čl. 10a odst. 8 této směrnice určené pro Inovační fond, a </w:t>
            </w:r>
            <w:r w:rsidRPr="003C04D8">
              <w:rPr>
                <w:rFonts w:ascii="Aptos Narrow" w:eastAsia="Times New Roman" w:hAnsi="Aptos Narrow" w:cs="Times New Roman"/>
                <w:b/>
                <w:bCs/>
                <w:color w:val="000000"/>
                <w:lang w:eastAsia="cs-CZ"/>
              </w:rPr>
              <w:t>povolenek uvedených v čl. 10 odst. 1 třetím a čtvrtém pododstavci této směrnice, a to v souladu s kritérii „významně nepoškozovat“, které jsou stanoveny v článku 17 nařízení (EU) 2020/852</w:t>
            </w:r>
            <w:r w:rsidRPr="003C04D8">
              <w:rPr>
                <w:rFonts w:ascii="Aptos Narrow" w:eastAsia="Times New Roman" w:hAnsi="Aptos Narrow" w:cs="Times New Roman"/>
                <w:color w:val="000000"/>
                <w:lang w:eastAsia="cs-CZ"/>
              </w:rPr>
              <w:t>, pokud tyto výnosy použijí na hospodářskou činnost, pro niž byla stanovena technická screeningová kritéria, podle nichž se určí, zda hospodářská činnost významně poškozuje jeden nebo více příslušných environmentálních cílů podle čl. 10 odst. 3 písm. b) uvedeného nařízení.</w:t>
            </w:r>
          </w:p>
        </w:tc>
      </w:tr>
      <w:tr w:rsidR="003C04D8" w:rsidRPr="003C04D8" w14:paraId="7D5D28CC" w14:textId="77777777" w:rsidTr="003C04D8">
        <w:trPr>
          <w:trHeight w:val="2778"/>
        </w:trPr>
        <w:tc>
          <w:tcPr>
            <w:tcW w:w="2305" w:type="dxa"/>
            <w:vMerge w:val="restart"/>
            <w:tcBorders>
              <w:top w:val="nil"/>
              <w:left w:val="single" w:sz="8" w:space="0" w:color="auto"/>
              <w:bottom w:val="single" w:sz="8" w:space="0" w:color="auto"/>
              <w:right w:val="single" w:sz="8" w:space="0" w:color="auto"/>
            </w:tcBorders>
            <w:vAlign w:val="center"/>
            <w:hideMark/>
          </w:tcPr>
          <w:p w14:paraId="0A9818D8" w14:textId="26791181" w:rsidR="003C04D8" w:rsidRPr="003C04D8" w:rsidRDefault="003C04D8" w:rsidP="003C04D8">
            <w:pPr>
              <w:spacing w:after="0" w:line="240" w:lineRule="auto"/>
              <w:jc w:val="left"/>
              <w:rPr>
                <w:rFonts w:ascii="Aptos Narrow" w:eastAsia="Times New Roman" w:hAnsi="Aptos Narrow" w:cs="Times New Roman"/>
                <w:color w:val="0000FF"/>
                <w:u w:val="single"/>
                <w:lang w:eastAsia="cs-CZ"/>
              </w:rPr>
            </w:pPr>
            <w:r w:rsidRPr="003C04D8">
              <w:rPr>
                <w:rFonts w:ascii="Aptos Narrow" w:eastAsia="Times New Roman" w:hAnsi="Aptos Narrow" w:cs="Times New Roman"/>
                <w:color w:val="0000FF"/>
                <w:u w:val="single"/>
                <w:lang w:eastAsia="cs-CZ"/>
              </w:rPr>
              <w:footnoteReference w:customMarkFollows="1" w:id="16"/>
              <w:t>NAŘÍZENÍ EVROPSKÉHO PARLAMENTU A RADY (EU) 2023/955, kterým se zřizuje Sociální klimatický fond a mění nařízení (EU) 2021/1060</w:t>
            </w:r>
            <w:r w:rsidR="00ED07F2">
              <w:rPr>
                <w:rStyle w:val="Znakapoznpodarou"/>
                <w:rFonts w:ascii="Aptos Narrow" w:eastAsia="Times New Roman" w:hAnsi="Aptos Narrow" w:cs="Times New Roman"/>
                <w:color w:val="0000FF"/>
                <w:u w:val="single"/>
                <w:lang w:eastAsia="cs-CZ"/>
              </w:rPr>
              <w:footnoteReference w:id="17"/>
            </w:r>
          </w:p>
        </w:tc>
        <w:tc>
          <w:tcPr>
            <w:tcW w:w="1938" w:type="dxa"/>
            <w:vMerge w:val="restart"/>
            <w:tcBorders>
              <w:top w:val="nil"/>
              <w:left w:val="single" w:sz="8" w:space="0" w:color="auto"/>
              <w:bottom w:val="single" w:sz="8" w:space="0" w:color="auto"/>
              <w:right w:val="single" w:sz="8" w:space="0" w:color="auto"/>
            </w:tcBorders>
            <w:noWrap/>
            <w:vAlign w:val="center"/>
            <w:hideMark/>
          </w:tcPr>
          <w:p w14:paraId="07FDC694" w14:textId="77777777" w:rsidR="003C04D8" w:rsidRPr="003C04D8" w:rsidRDefault="003C04D8" w:rsidP="003C04D8">
            <w:pPr>
              <w:spacing w:after="0" w:line="240" w:lineRule="auto"/>
              <w:jc w:val="left"/>
              <w:rPr>
                <w:rFonts w:ascii="Aptos Narrow" w:eastAsia="Times New Roman" w:hAnsi="Aptos Narrow" w:cs="Times New Roman"/>
                <w:color w:val="000000"/>
                <w:lang w:eastAsia="cs-CZ"/>
              </w:rPr>
            </w:pPr>
            <w:r w:rsidRPr="003C04D8">
              <w:rPr>
                <w:rFonts w:ascii="Aptos Narrow" w:eastAsia="Times New Roman" w:hAnsi="Aptos Narrow" w:cs="Times New Roman"/>
                <w:color w:val="000000"/>
                <w:lang w:eastAsia="cs-CZ"/>
              </w:rPr>
              <w:t>Preambule (23)</w:t>
            </w:r>
          </w:p>
        </w:tc>
        <w:tc>
          <w:tcPr>
            <w:tcW w:w="11339" w:type="dxa"/>
            <w:tcBorders>
              <w:top w:val="nil"/>
              <w:left w:val="nil"/>
              <w:bottom w:val="single" w:sz="8" w:space="0" w:color="auto"/>
              <w:right w:val="single" w:sz="8" w:space="0" w:color="auto"/>
            </w:tcBorders>
            <w:vAlign w:val="center"/>
            <w:hideMark/>
          </w:tcPr>
          <w:p w14:paraId="2DB7C068" w14:textId="77777777" w:rsidR="003C04D8" w:rsidRPr="003C04D8" w:rsidRDefault="003C04D8" w:rsidP="003C04D8">
            <w:pPr>
              <w:spacing w:after="0" w:line="240" w:lineRule="auto"/>
              <w:jc w:val="left"/>
              <w:rPr>
                <w:rFonts w:ascii="Aptos Narrow" w:eastAsia="Times New Roman" w:hAnsi="Aptos Narrow" w:cs="Times New Roman"/>
                <w:color w:val="000000"/>
                <w:lang w:eastAsia="cs-CZ"/>
              </w:rPr>
            </w:pPr>
            <w:r w:rsidRPr="003C04D8">
              <w:rPr>
                <w:rFonts w:ascii="Aptos Narrow" w:eastAsia="Times New Roman" w:hAnsi="Aptos Narrow" w:cs="Times New Roman"/>
                <w:color w:val="000000"/>
                <w:lang w:eastAsia="cs-CZ"/>
              </w:rPr>
              <w:t>Vzhledem k významu boje proti změně klimatu v souladu se závazky uvedenými v Pařížské dohodě a se závazky týkajícími se cílů udržitelného rozvoje Organizace spojených národů by opatření a investice podle tohoto nařízení měly být v souladu s cílem, aby bylo alespoň 30 % celkové částky rozpočtu Unie v rámci víceletého finančního rámce na období let 2021 až 2027, stanoveného v nařízení Rady (EU, Euratom) 2020/2093, (dále jen „VFR na období 2021–2027“) a celkové částky Nástroje Evropské unie na podporu oživení, zřízeného nařízením Rady (EU) 2020/2094, a nejméně 37 % celkové částky Nástroje pro oživení a odolnost, zřízeného nařízením Evropského parlamentu a Rady (EU) 2021/241, vynaloženo na zohledňování cílů v oblasti klimatu. Záměrem rovněž je, aby opatření a investice podle tohoto nařízení byly v souladu s ambicí poskytnout na cíle v oblasti biologické rozmanitosti 7,5 % ročních výdajů v rámci VFR na období 2021–2027 v roce 2024 a 10 % ročních výdajů v rámci VFR na období 2021–2027 v letech 2026 a 2027, přičemž je třeba zohledňovat stávající přesahy mezi cíli v oblasti klimatu a biologické rozmanitosti.</w:t>
            </w:r>
          </w:p>
        </w:tc>
      </w:tr>
      <w:tr w:rsidR="003C04D8" w:rsidRPr="003C04D8" w14:paraId="360DE3C4" w14:textId="77777777" w:rsidTr="003C04D8">
        <w:trPr>
          <w:trHeight w:val="2041"/>
        </w:trPr>
        <w:tc>
          <w:tcPr>
            <w:tcW w:w="2305" w:type="dxa"/>
            <w:vMerge/>
            <w:tcBorders>
              <w:top w:val="nil"/>
              <w:left w:val="single" w:sz="8" w:space="0" w:color="auto"/>
              <w:bottom w:val="single" w:sz="8" w:space="0" w:color="auto"/>
              <w:right w:val="single" w:sz="8" w:space="0" w:color="auto"/>
            </w:tcBorders>
            <w:vAlign w:val="center"/>
            <w:hideMark/>
          </w:tcPr>
          <w:p w14:paraId="79F32433" w14:textId="77777777" w:rsidR="003C04D8" w:rsidRPr="003C04D8" w:rsidRDefault="003C04D8" w:rsidP="003C04D8">
            <w:pPr>
              <w:spacing w:after="0" w:line="240" w:lineRule="auto"/>
              <w:jc w:val="left"/>
              <w:rPr>
                <w:rFonts w:ascii="Aptos Narrow" w:eastAsia="Times New Roman" w:hAnsi="Aptos Narrow" w:cs="Times New Roman"/>
                <w:color w:val="0000FF"/>
                <w:u w:val="single"/>
                <w:lang w:eastAsia="cs-CZ"/>
              </w:rPr>
            </w:pPr>
          </w:p>
        </w:tc>
        <w:tc>
          <w:tcPr>
            <w:tcW w:w="1938" w:type="dxa"/>
            <w:vMerge/>
            <w:tcBorders>
              <w:top w:val="nil"/>
              <w:left w:val="single" w:sz="8" w:space="0" w:color="auto"/>
              <w:bottom w:val="single" w:sz="8" w:space="0" w:color="auto"/>
              <w:right w:val="single" w:sz="8" w:space="0" w:color="auto"/>
            </w:tcBorders>
            <w:vAlign w:val="center"/>
            <w:hideMark/>
          </w:tcPr>
          <w:p w14:paraId="7FC0AFBC" w14:textId="77777777" w:rsidR="003C04D8" w:rsidRPr="003C04D8" w:rsidRDefault="003C04D8" w:rsidP="003C04D8">
            <w:pPr>
              <w:spacing w:after="0" w:line="240" w:lineRule="auto"/>
              <w:jc w:val="left"/>
              <w:rPr>
                <w:rFonts w:ascii="Aptos Narrow" w:eastAsia="Times New Roman" w:hAnsi="Aptos Narrow" w:cs="Times New Roman"/>
                <w:color w:val="000000"/>
                <w:lang w:eastAsia="cs-CZ"/>
              </w:rPr>
            </w:pPr>
          </w:p>
        </w:tc>
        <w:tc>
          <w:tcPr>
            <w:tcW w:w="11339" w:type="dxa"/>
            <w:tcBorders>
              <w:top w:val="nil"/>
              <w:left w:val="nil"/>
              <w:bottom w:val="single" w:sz="8" w:space="0" w:color="auto"/>
              <w:right w:val="single" w:sz="8" w:space="0" w:color="auto"/>
            </w:tcBorders>
            <w:vAlign w:val="center"/>
            <w:hideMark/>
          </w:tcPr>
          <w:p w14:paraId="1E22BF34" w14:textId="77777777" w:rsidR="003C04D8" w:rsidRPr="003C04D8" w:rsidRDefault="003C04D8" w:rsidP="003C04D8">
            <w:pPr>
              <w:spacing w:after="0" w:line="240" w:lineRule="auto"/>
              <w:jc w:val="left"/>
              <w:rPr>
                <w:rFonts w:ascii="Aptos Narrow" w:eastAsia="Times New Roman" w:hAnsi="Aptos Narrow" w:cs="Times New Roman"/>
                <w:b/>
                <w:bCs/>
                <w:color w:val="000000"/>
                <w:lang w:eastAsia="cs-CZ"/>
              </w:rPr>
            </w:pPr>
            <w:r w:rsidRPr="003C04D8">
              <w:rPr>
                <w:rFonts w:ascii="Aptos Narrow" w:eastAsia="Times New Roman" w:hAnsi="Aptos Narrow" w:cs="Times New Roman"/>
                <w:b/>
                <w:bCs/>
                <w:color w:val="000000"/>
                <w:lang w:eastAsia="cs-CZ"/>
              </w:rPr>
              <w:t>Za tímto účelem by se ke sledování výdajů fondu měla použít metodika stanovená v příloze I nařízení Evropského parlamentu a Rady (EU) 2021/1060.</w:t>
            </w:r>
            <w:r w:rsidRPr="003C04D8">
              <w:rPr>
                <w:rFonts w:ascii="Aptos Narrow" w:eastAsia="Times New Roman" w:hAnsi="Aptos Narrow" w:cs="Times New Roman"/>
                <w:color w:val="000000"/>
                <w:lang w:eastAsia="cs-CZ"/>
              </w:rPr>
              <w:t xml:space="preserve"> </w:t>
            </w:r>
            <w:r w:rsidRPr="003C04D8">
              <w:rPr>
                <w:rFonts w:ascii="Aptos Narrow" w:eastAsia="Times New Roman" w:hAnsi="Aptos Narrow" w:cs="Times New Roman"/>
                <w:b/>
                <w:bCs/>
                <w:color w:val="000000"/>
                <w:lang w:eastAsia="cs-CZ"/>
              </w:rPr>
              <w:t xml:space="preserve">Fond by měl podporovat opatření a investice, jež plně dodržují klimatické a environmentální normy a priority Unie a zásadu „významně nepoškozovat“ ve smyslu článku 17 nařízení Evropského parlamentu a Rady (EU) 2020/852. </w:t>
            </w:r>
            <w:r w:rsidRPr="003C04D8">
              <w:rPr>
                <w:rFonts w:ascii="Aptos Narrow" w:eastAsia="Times New Roman" w:hAnsi="Aptos Narrow" w:cs="Times New Roman"/>
                <w:color w:val="000000"/>
                <w:lang w:eastAsia="cs-CZ"/>
              </w:rPr>
              <w:t>Pouze taková opatření a investice by měly být začleněny do plánů. Na opatření v oblasti přímé podpory příjmů by se zpravidla mělo pohlížet jako na opatření, která mají nevýznamný předvídatelný dopad na environmentální cíle, a jako taková by měla být považována za opatření v souladu se zásadou „významně nepoškozovat“. Komise by měla vydat technické pokyny pro členské státy v řádném předstihu před vypracováním plánů. Tyto pokyny by měly objasnit, jak mají být opatření a investice uvedeny do souladu se zásadou „významně nepoškozovat“.</w:t>
            </w:r>
          </w:p>
        </w:tc>
      </w:tr>
      <w:tr w:rsidR="003C04D8" w:rsidRPr="003C04D8" w14:paraId="56310A3F" w14:textId="77777777" w:rsidTr="003C04D8">
        <w:trPr>
          <w:trHeight w:val="315"/>
        </w:trPr>
        <w:tc>
          <w:tcPr>
            <w:tcW w:w="2305" w:type="dxa"/>
            <w:vMerge/>
            <w:tcBorders>
              <w:top w:val="nil"/>
              <w:left w:val="single" w:sz="8" w:space="0" w:color="auto"/>
              <w:bottom w:val="single" w:sz="8" w:space="0" w:color="auto"/>
              <w:right w:val="single" w:sz="8" w:space="0" w:color="auto"/>
            </w:tcBorders>
            <w:vAlign w:val="center"/>
            <w:hideMark/>
          </w:tcPr>
          <w:p w14:paraId="4DE7A0AE" w14:textId="77777777" w:rsidR="003C04D8" w:rsidRPr="003C04D8" w:rsidRDefault="003C04D8" w:rsidP="003C04D8">
            <w:pPr>
              <w:spacing w:after="0" w:line="240" w:lineRule="auto"/>
              <w:jc w:val="left"/>
              <w:rPr>
                <w:rFonts w:ascii="Aptos Narrow" w:eastAsia="Times New Roman" w:hAnsi="Aptos Narrow" w:cs="Times New Roman"/>
                <w:color w:val="0000FF"/>
                <w:u w:val="single"/>
                <w:lang w:eastAsia="cs-CZ"/>
              </w:rPr>
            </w:pPr>
          </w:p>
        </w:tc>
        <w:tc>
          <w:tcPr>
            <w:tcW w:w="1938" w:type="dxa"/>
            <w:vMerge w:val="restart"/>
            <w:tcBorders>
              <w:top w:val="nil"/>
              <w:left w:val="single" w:sz="8" w:space="0" w:color="auto"/>
              <w:bottom w:val="single" w:sz="8" w:space="0" w:color="auto"/>
              <w:right w:val="single" w:sz="8" w:space="0" w:color="auto"/>
            </w:tcBorders>
            <w:noWrap/>
            <w:vAlign w:val="center"/>
            <w:hideMark/>
          </w:tcPr>
          <w:p w14:paraId="4A0C222E" w14:textId="77777777" w:rsidR="003C04D8" w:rsidRPr="003C04D8" w:rsidRDefault="003C04D8" w:rsidP="003C04D8">
            <w:pPr>
              <w:spacing w:after="0" w:line="240" w:lineRule="auto"/>
              <w:jc w:val="left"/>
              <w:rPr>
                <w:rFonts w:ascii="Aptos Narrow" w:eastAsia="Times New Roman" w:hAnsi="Aptos Narrow" w:cs="Times New Roman"/>
                <w:color w:val="000000"/>
                <w:lang w:eastAsia="cs-CZ"/>
              </w:rPr>
            </w:pPr>
            <w:r w:rsidRPr="003C04D8">
              <w:rPr>
                <w:rFonts w:ascii="Aptos Narrow" w:eastAsia="Times New Roman" w:hAnsi="Aptos Narrow" w:cs="Times New Roman"/>
                <w:color w:val="000000"/>
                <w:lang w:eastAsia="cs-CZ"/>
              </w:rPr>
              <w:t>Článek (6)(1)l)</w:t>
            </w:r>
          </w:p>
        </w:tc>
        <w:tc>
          <w:tcPr>
            <w:tcW w:w="11339" w:type="dxa"/>
            <w:tcBorders>
              <w:top w:val="nil"/>
              <w:left w:val="nil"/>
              <w:bottom w:val="single" w:sz="8" w:space="0" w:color="auto"/>
              <w:right w:val="single" w:sz="8" w:space="0" w:color="auto"/>
            </w:tcBorders>
            <w:vAlign w:val="center"/>
            <w:hideMark/>
          </w:tcPr>
          <w:p w14:paraId="4E8818ED" w14:textId="77777777" w:rsidR="003C04D8" w:rsidRPr="003C04D8" w:rsidRDefault="003C04D8" w:rsidP="003C04D8">
            <w:pPr>
              <w:spacing w:after="0" w:line="240" w:lineRule="auto"/>
              <w:jc w:val="left"/>
              <w:rPr>
                <w:rFonts w:ascii="Aptos Narrow" w:eastAsia="Times New Roman" w:hAnsi="Aptos Narrow" w:cs="Times New Roman"/>
                <w:color w:val="000000"/>
                <w:lang w:eastAsia="cs-CZ"/>
              </w:rPr>
            </w:pPr>
            <w:r w:rsidRPr="003C04D8">
              <w:rPr>
                <w:rFonts w:ascii="Aptos Narrow" w:eastAsia="Times New Roman" w:hAnsi="Aptos Narrow" w:cs="Times New Roman"/>
                <w:color w:val="000000"/>
                <w:lang w:eastAsia="cs-CZ"/>
              </w:rPr>
              <w:t>Plán musí obsahovat tyto prvky:</w:t>
            </w:r>
          </w:p>
        </w:tc>
      </w:tr>
      <w:tr w:rsidR="003C04D8" w:rsidRPr="003C04D8" w14:paraId="6A378A12" w14:textId="77777777" w:rsidTr="003C04D8">
        <w:trPr>
          <w:trHeight w:val="680"/>
        </w:trPr>
        <w:tc>
          <w:tcPr>
            <w:tcW w:w="2305" w:type="dxa"/>
            <w:vMerge/>
            <w:tcBorders>
              <w:top w:val="nil"/>
              <w:left w:val="single" w:sz="8" w:space="0" w:color="auto"/>
              <w:bottom w:val="single" w:sz="8" w:space="0" w:color="auto"/>
              <w:right w:val="single" w:sz="8" w:space="0" w:color="auto"/>
            </w:tcBorders>
            <w:vAlign w:val="center"/>
            <w:hideMark/>
          </w:tcPr>
          <w:p w14:paraId="3262FE09" w14:textId="77777777" w:rsidR="003C04D8" w:rsidRPr="003C04D8" w:rsidRDefault="003C04D8" w:rsidP="003C04D8">
            <w:pPr>
              <w:spacing w:after="0" w:line="240" w:lineRule="auto"/>
              <w:jc w:val="left"/>
              <w:rPr>
                <w:rFonts w:ascii="Aptos Narrow" w:eastAsia="Times New Roman" w:hAnsi="Aptos Narrow" w:cs="Times New Roman"/>
                <w:color w:val="0000FF"/>
                <w:u w:val="single"/>
                <w:lang w:eastAsia="cs-CZ"/>
              </w:rPr>
            </w:pPr>
          </w:p>
        </w:tc>
        <w:tc>
          <w:tcPr>
            <w:tcW w:w="1938" w:type="dxa"/>
            <w:vMerge/>
            <w:tcBorders>
              <w:top w:val="nil"/>
              <w:left w:val="single" w:sz="8" w:space="0" w:color="auto"/>
              <w:bottom w:val="single" w:sz="8" w:space="0" w:color="auto"/>
              <w:right w:val="single" w:sz="8" w:space="0" w:color="auto"/>
            </w:tcBorders>
            <w:vAlign w:val="center"/>
            <w:hideMark/>
          </w:tcPr>
          <w:p w14:paraId="1AB86F5F" w14:textId="77777777" w:rsidR="003C04D8" w:rsidRPr="003C04D8" w:rsidRDefault="003C04D8" w:rsidP="003C04D8">
            <w:pPr>
              <w:spacing w:after="0" w:line="240" w:lineRule="auto"/>
              <w:jc w:val="left"/>
              <w:rPr>
                <w:rFonts w:ascii="Aptos Narrow" w:eastAsia="Times New Roman" w:hAnsi="Aptos Narrow" w:cs="Times New Roman"/>
                <w:color w:val="000000"/>
                <w:lang w:eastAsia="cs-CZ"/>
              </w:rPr>
            </w:pPr>
          </w:p>
        </w:tc>
        <w:tc>
          <w:tcPr>
            <w:tcW w:w="11339" w:type="dxa"/>
            <w:tcBorders>
              <w:top w:val="nil"/>
              <w:left w:val="nil"/>
              <w:bottom w:val="single" w:sz="8" w:space="0" w:color="auto"/>
              <w:right w:val="single" w:sz="8" w:space="0" w:color="auto"/>
            </w:tcBorders>
            <w:vAlign w:val="center"/>
            <w:hideMark/>
          </w:tcPr>
          <w:p w14:paraId="309549A8" w14:textId="77777777" w:rsidR="003C04D8" w:rsidRPr="003C04D8" w:rsidRDefault="003C04D8" w:rsidP="003C04D8">
            <w:pPr>
              <w:spacing w:after="0" w:line="240" w:lineRule="auto"/>
              <w:jc w:val="left"/>
              <w:rPr>
                <w:rFonts w:ascii="Aptos Narrow" w:eastAsia="Times New Roman" w:hAnsi="Aptos Narrow" w:cs="Times New Roman"/>
                <w:color w:val="000000"/>
                <w:lang w:eastAsia="cs-CZ"/>
              </w:rPr>
            </w:pPr>
            <w:r w:rsidRPr="003C04D8">
              <w:rPr>
                <w:rFonts w:ascii="Aptos Narrow" w:eastAsia="Times New Roman" w:hAnsi="Aptos Narrow" w:cs="Times New Roman"/>
                <w:color w:val="000000"/>
                <w:lang w:eastAsia="cs-CZ"/>
              </w:rPr>
              <w:t xml:space="preserve">s výjimkou opatření uvedených v čl. 4 odst. 3 tohoto nařízení vysvětlení, </w:t>
            </w:r>
            <w:r w:rsidRPr="003C04D8">
              <w:rPr>
                <w:rFonts w:ascii="Aptos Narrow" w:eastAsia="Times New Roman" w:hAnsi="Aptos Narrow" w:cs="Times New Roman"/>
                <w:b/>
                <w:bCs/>
                <w:color w:val="000000"/>
                <w:lang w:eastAsia="cs-CZ"/>
              </w:rPr>
              <w:t>jak plán zajišťuje, aby žádné z opatření nebo investic významně nepoškozovalo environmentální cíle ve smyslu článku 17 nařízení (EU) 2020/852;</w:t>
            </w:r>
          </w:p>
        </w:tc>
      </w:tr>
      <w:tr w:rsidR="003C04D8" w:rsidRPr="003C04D8" w14:paraId="6542E7C5" w14:textId="77777777" w:rsidTr="003C04D8">
        <w:trPr>
          <w:trHeight w:val="567"/>
        </w:trPr>
        <w:tc>
          <w:tcPr>
            <w:tcW w:w="2305" w:type="dxa"/>
            <w:vMerge/>
            <w:tcBorders>
              <w:top w:val="nil"/>
              <w:left w:val="single" w:sz="8" w:space="0" w:color="auto"/>
              <w:bottom w:val="single" w:sz="8" w:space="0" w:color="auto"/>
              <w:right w:val="single" w:sz="8" w:space="0" w:color="auto"/>
            </w:tcBorders>
            <w:vAlign w:val="center"/>
            <w:hideMark/>
          </w:tcPr>
          <w:p w14:paraId="6FB8BEC9" w14:textId="77777777" w:rsidR="003C04D8" w:rsidRPr="003C04D8" w:rsidRDefault="003C04D8" w:rsidP="003C04D8">
            <w:pPr>
              <w:spacing w:after="0" w:line="240" w:lineRule="auto"/>
              <w:jc w:val="left"/>
              <w:rPr>
                <w:rFonts w:ascii="Aptos Narrow" w:eastAsia="Times New Roman" w:hAnsi="Aptos Narrow" w:cs="Times New Roman"/>
                <w:color w:val="0000FF"/>
                <w:u w:val="single"/>
                <w:lang w:eastAsia="cs-CZ"/>
              </w:rPr>
            </w:pPr>
          </w:p>
        </w:tc>
        <w:tc>
          <w:tcPr>
            <w:tcW w:w="1938" w:type="dxa"/>
            <w:tcBorders>
              <w:top w:val="nil"/>
              <w:left w:val="nil"/>
              <w:bottom w:val="single" w:sz="8" w:space="0" w:color="auto"/>
              <w:right w:val="single" w:sz="8" w:space="0" w:color="auto"/>
            </w:tcBorders>
            <w:noWrap/>
            <w:vAlign w:val="center"/>
            <w:hideMark/>
          </w:tcPr>
          <w:p w14:paraId="1D7C1497" w14:textId="77777777" w:rsidR="003C04D8" w:rsidRPr="003C04D8" w:rsidRDefault="003C04D8" w:rsidP="003C04D8">
            <w:pPr>
              <w:spacing w:after="0" w:line="240" w:lineRule="auto"/>
              <w:jc w:val="left"/>
              <w:rPr>
                <w:rFonts w:ascii="Aptos Narrow" w:eastAsia="Times New Roman" w:hAnsi="Aptos Narrow" w:cs="Times New Roman"/>
                <w:color w:val="000000"/>
                <w:lang w:eastAsia="cs-CZ"/>
              </w:rPr>
            </w:pPr>
            <w:r w:rsidRPr="003C04D8">
              <w:rPr>
                <w:rFonts w:ascii="Aptos Narrow" w:eastAsia="Times New Roman" w:hAnsi="Aptos Narrow" w:cs="Times New Roman"/>
                <w:color w:val="000000"/>
                <w:lang w:eastAsia="cs-CZ"/>
              </w:rPr>
              <w:t>Článek (6)(5)</w:t>
            </w:r>
          </w:p>
        </w:tc>
        <w:tc>
          <w:tcPr>
            <w:tcW w:w="11339" w:type="dxa"/>
            <w:tcBorders>
              <w:top w:val="nil"/>
              <w:left w:val="nil"/>
              <w:bottom w:val="single" w:sz="8" w:space="0" w:color="auto"/>
              <w:right w:val="single" w:sz="8" w:space="0" w:color="auto"/>
            </w:tcBorders>
            <w:vAlign w:val="bottom"/>
            <w:hideMark/>
          </w:tcPr>
          <w:p w14:paraId="3C2EAA2A" w14:textId="50935199" w:rsidR="003C04D8" w:rsidRPr="003C04D8" w:rsidRDefault="003C04D8" w:rsidP="003C04D8">
            <w:pPr>
              <w:spacing w:after="0" w:line="240" w:lineRule="auto"/>
              <w:jc w:val="left"/>
              <w:rPr>
                <w:rFonts w:ascii="Aptos Narrow" w:eastAsia="Times New Roman" w:hAnsi="Aptos Narrow" w:cs="Times New Roman"/>
                <w:color w:val="000000"/>
                <w:lang w:eastAsia="cs-CZ"/>
              </w:rPr>
            </w:pPr>
            <w:r w:rsidRPr="003C04D8">
              <w:rPr>
                <w:rFonts w:ascii="Aptos Narrow" w:eastAsia="Times New Roman" w:hAnsi="Aptos Narrow" w:cs="Times New Roman"/>
                <w:color w:val="000000"/>
                <w:lang w:eastAsia="cs-CZ"/>
              </w:rPr>
              <w:t>Pro účely odst. 1 písm. l) tohoto článku poskytne Komise členským státům technické pokyny, přizpůsobené působnosti fondu, k souladu opatření a investic se zásadou „významně nepoškozovat“ ve smyslu článku 17 nařízení (EU) 2020/852.</w:t>
            </w:r>
            <w:r w:rsidR="00ED07F2">
              <w:rPr>
                <w:rStyle w:val="Znakapoznpodarou"/>
                <w:rFonts w:ascii="Aptos Narrow" w:eastAsia="Times New Roman" w:hAnsi="Aptos Narrow" w:cs="Times New Roman"/>
                <w:color w:val="000000"/>
                <w:lang w:eastAsia="cs-CZ"/>
              </w:rPr>
              <w:footnoteReference w:id="18"/>
            </w:r>
          </w:p>
        </w:tc>
      </w:tr>
      <w:tr w:rsidR="003C04D8" w:rsidRPr="003C04D8" w14:paraId="3A359B6E" w14:textId="77777777" w:rsidTr="003C04D8">
        <w:trPr>
          <w:trHeight w:val="615"/>
        </w:trPr>
        <w:tc>
          <w:tcPr>
            <w:tcW w:w="2305" w:type="dxa"/>
            <w:vMerge/>
            <w:tcBorders>
              <w:top w:val="nil"/>
              <w:left w:val="single" w:sz="8" w:space="0" w:color="auto"/>
              <w:bottom w:val="single" w:sz="8" w:space="0" w:color="auto"/>
              <w:right w:val="single" w:sz="8" w:space="0" w:color="auto"/>
            </w:tcBorders>
            <w:vAlign w:val="center"/>
            <w:hideMark/>
          </w:tcPr>
          <w:p w14:paraId="52C25A97" w14:textId="77777777" w:rsidR="003C04D8" w:rsidRPr="003C04D8" w:rsidRDefault="003C04D8" w:rsidP="003C04D8">
            <w:pPr>
              <w:spacing w:after="0" w:line="240" w:lineRule="auto"/>
              <w:jc w:val="left"/>
              <w:rPr>
                <w:rFonts w:ascii="Aptos Narrow" w:eastAsia="Times New Roman" w:hAnsi="Aptos Narrow" w:cs="Times New Roman"/>
                <w:color w:val="0000FF"/>
                <w:u w:val="single"/>
                <w:lang w:eastAsia="cs-CZ"/>
              </w:rPr>
            </w:pPr>
          </w:p>
        </w:tc>
        <w:tc>
          <w:tcPr>
            <w:tcW w:w="1938" w:type="dxa"/>
            <w:tcBorders>
              <w:top w:val="nil"/>
              <w:left w:val="nil"/>
              <w:bottom w:val="single" w:sz="8" w:space="0" w:color="auto"/>
              <w:right w:val="single" w:sz="8" w:space="0" w:color="auto"/>
            </w:tcBorders>
            <w:noWrap/>
            <w:vAlign w:val="center"/>
            <w:hideMark/>
          </w:tcPr>
          <w:p w14:paraId="051A2D86" w14:textId="77777777" w:rsidR="003C04D8" w:rsidRPr="003C04D8" w:rsidRDefault="003C04D8" w:rsidP="003C04D8">
            <w:pPr>
              <w:spacing w:after="0" w:line="240" w:lineRule="auto"/>
              <w:jc w:val="left"/>
              <w:rPr>
                <w:rFonts w:ascii="Aptos Narrow" w:eastAsia="Times New Roman" w:hAnsi="Aptos Narrow" w:cs="Times New Roman"/>
                <w:color w:val="000000"/>
                <w:lang w:eastAsia="cs-CZ"/>
              </w:rPr>
            </w:pPr>
            <w:r w:rsidRPr="003C04D8">
              <w:rPr>
                <w:rFonts w:ascii="Aptos Narrow" w:eastAsia="Times New Roman" w:hAnsi="Aptos Narrow" w:cs="Times New Roman"/>
                <w:color w:val="000000"/>
                <w:lang w:eastAsia="cs-CZ"/>
              </w:rPr>
              <w:t>Článek 7(3)</w:t>
            </w:r>
          </w:p>
        </w:tc>
        <w:tc>
          <w:tcPr>
            <w:tcW w:w="11339" w:type="dxa"/>
            <w:tcBorders>
              <w:top w:val="nil"/>
              <w:left w:val="nil"/>
              <w:bottom w:val="single" w:sz="8" w:space="0" w:color="auto"/>
              <w:right w:val="single" w:sz="8" w:space="0" w:color="auto"/>
            </w:tcBorders>
            <w:vAlign w:val="center"/>
            <w:hideMark/>
          </w:tcPr>
          <w:p w14:paraId="585118EA" w14:textId="77777777" w:rsidR="003C04D8" w:rsidRPr="003C04D8" w:rsidRDefault="003C04D8" w:rsidP="003C04D8">
            <w:pPr>
              <w:spacing w:after="0" w:line="240" w:lineRule="auto"/>
              <w:jc w:val="left"/>
              <w:rPr>
                <w:rFonts w:ascii="Aptos Narrow" w:eastAsia="Times New Roman" w:hAnsi="Aptos Narrow" w:cs="Times New Roman"/>
                <w:b/>
                <w:bCs/>
                <w:color w:val="000000"/>
                <w:lang w:eastAsia="cs-CZ"/>
              </w:rPr>
            </w:pPr>
            <w:r w:rsidRPr="003C04D8">
              <w:rPr>
                <w:rFonts w:ascii="Aptos Narrow" w:eastAsia="Times New Roman" w:hAnsi="Aptos Narrow" w:cs="Times New Roman"/>
                <w:b/>
                <w:bCs/>
                <w:color w:val="000000"/>
                <w:lang w:eastAsia="cs-CZ"/>
              </w:rPr>
              <w:t>Fond podpoří pouze opatření a investice, které jsou v souladu se zásadou „významně nepoškozovat“ ve smyslu článku 17 nařízení (EU) 2020/852</w:t>
            </w:r>
            <w:r w:rsidRPr="003C04D8">
              <w:rPr>
                <w:rFonts w:ascii="Aptos Narrow" w:eastAsia="Times New Roman" w:hAnsi="Aptos Narrow" w:cs="Times New Roman"/>
                <w:color w:val="000000"/>
                <w:lang w:eastAsia="cs-CZ"/>
              </w:rPr>
              <w:t>.</w:t>
            </w:r>
          </w:p>
        </w:tc>
      </w:tr>
      <w:tr w:rsidR="003C04D8" w:rsidRPr="003C04D8" w14:paraId="4A104754" w14:textId="77777777" w:rsidTr="003C04D8">
        <w:trPr>
          <w:trHeight w:val="315"/>
        </w:trPr>
        <w:tc>
          <w:tcPr>
            <w:tcW w:w="2305" w:type="dxa"/>
            <w:vMerge/>
            <w:tcBorders>
              <w:top w:val="nil"/>
              <w:left w:val="single" w:sz="8" w:space="0" w:color="auto"/>
              <w:bottom w:val="single" w:sz="8" w:space="0" w:color="auto"/>
              <w:right w:val="single" w:sz="8" w:space="0" w:color="auto"/>
            </w:tcBorders>
            <w:vAlign w:val="center"/>
            <w:hideMark/>
          </w:tcPr>
          <w:p w14:paraId="35989D4F" w14:textId="77777777" w:rsidR="003C04D8" w:rsidRPr="003C04D8" w:rsidRDefault="003C04D8" w:rsidP="003C04D8">
            <w:pPr>
              <w:spacing w:after="0" w:line="240" w:lineRule="auto"/>
              <w:jc w:val="left"/>
              <w:rPr>
                <w:rFonts w:ascii="Aptos Narrow" w:eastAsia="Times New Roman" w:hAnsi="Aptos Narrow" w:cs="Times New Roman"/>
                <w:color w:val="0000FF"/>
                <w:u w:val="single"/>
                <w:lang w:eastAsia="cs-CZ"/>
              </w:rPr>
            </w:pPr>
          </w:p>
        </w:tc>
        <w:tc>
          <w:tcPr>
            <w:tcW w:w="1938" w:type="dxa"/>
            <w:vMerge w:val="restart"/>
            <w:tcBorders>
              <w:top w:val="nil"/>
              <w:left w:val="single" w:sz="8" w:space="0" w:color="auto"/>
              <w:bottom w:val="single" w:sz="8" w:space="0" w:color="auto"/>
              <w:right w:val="single" w:sz="8" w:space="0" w:color="auto"/>
            </w:tcBorders>
            <w:noWrap/>
            <w:vAlign w:val="center"/>
            <w:hideMark/>
          </w:tcPr>
          <w:p w14:paraId="3AD7AB14" w14:textId="77777777" w:rsidR="003C04D8" w:rsidRPr="003C04D8" w:rsidRDefault="003C04D8" w:rsidP="003C04D8">
            <w:pPr>
              <w:spacing w:after="0" w:line="240" w:lineRule="auto"/>
              <w:jc w:val="left"/>
              <w:rPr>
                <w:rFonts w:ascii="Aptos Narrow" w:eastAsia="Times New Roman" w:hAnsi="Aptos Narrow" w:cs="Times New Roman"/>
                <w:color w:val="000000"/>
                <w:lang w:eastAsia="cs-CZ"/>
              </w:rPr>
            </w:pPr>
            <w:r w:rsidRPr="003C04D8">
              <w:rPr>
                <w:rFonts w:ascii="Aptos Narrow" w:eastAsia="Times New Roman" w:hAnsi="Aptos Narrow" w:cs="Times New Roman"/>
                <w:color w:val="000000"/>
                <w:lang w:eastAsia="cs-CZ"/>
              </w:rPr>
              <w:t>Článek 16(3</w:t>
            </w:r>
            <w:proofErr w:type="gramStart"/>
            <w:r w:rsidRPr="003C04D8">
              <w:rPr>
                <w:rFonts w:ascii="Aptos Narrow" w:eastAsia="Times New Roman" w:hAnsi="Aptos Narrow" w:cs="Times New Roman"/>
                <w:color w:val="000000"/>
                <w:lang w:eastAsia="cs-CZ"/>
              </w:rPr>
              <w:t>)a)</w:t>
            </w:r>
            <w:proofErr w:type="spellStart"/>
            <w:r w:rsidRPr="003C04D8">
              <w:rPr>
                <w:rFonts w:ascii="Aptos Narrow" w:eastAsia="Times New Roman" w:hAnsi="Aptos Narrow" w:cs="Times New Roman"/>
                <w:color w:val="000000"/>
                <w:lang w:eastAsia="cs-CZ"/>
              </w:rPr>
              <w:t>ii</w:t>
            </w:r>
            <w:proofErr w:type="spellEnd"/>
            <w:proofErr w:type="gramEnd"/>
            <w:r w:rsidRPr="003C04D8">
              <w:rPr>
                <w:rFonts w:ascii="Aptos Narrow" w:eastAsia="Times New Roman" w:hAnsi="Aptos Narrow" w:cs="Times New Roman"/>
                <w:color w:val="000000"/>
                <w:lang w:eastAsia="cs-CZ"/>
              </w:rPr>
              <w:t>)</w:t>
            </w:r>
          </w:p>
        </w:tc>
        <w:tc>
          <w:tcPr>
            <w:tcW w:w="11339" w:type="dxa"/>
            <w:tcBorders>
              <w:top w:val="nil"/>
              <w:left w:val="nil"/>
              <w:bottom w:val="single" w:sz="8" w:space="0" w:color="auto"/>
              <w:right w:val="single" w:sz="8" w:space="0" w:color="auto"/>
            </w:tcBorders>
            <w:vAlign w:val="center"/>
            <w:hideMark/>
          </w:tcPr>
          <w:p w14:paraId="7ECAEDC3" w14:textId="77777777" w:rsidR="003C04D8" w:rsidRPr="003C04D8" w:rsidRDefault="003C04D8" w:rsidP="003C04D8">
            <w:pPr>
              <w:spacing w:after="0" w:line="240" w:lineRule="auto"/>
              <w:jc w:val="left"/>
              <w:rPr>
                <w:rFonts w:ascii="Aptos Narrow" w:eastAsia="Times New Roman" w:hAnsi="Aptos Narrow" w:cs="Times New Roman"/>
                <w:color w:val="000000"/>
                <w:lang w:eastAsia="cs-CZ"/>
              </w:rPr>
            </w:pPr>
            <w:r w:rsidRPr="003C04D8">
              <w:rPr>
                <w:rFonts w:ascii="Aptos Narrow" w:eastAsia="Times New Roman" w:hAnsi="Aptos Narrow" w:cs="Times New Roman"/>
                <w:color w:val="000000"/>
                <w:lang w:eastAsia="cs-CZ"/>
              </w:rPr>
              <w:t>pro účely posouzení relevance zohlední tato kritéria:</w:t>
            </w:r>
          </w:p>
        </w:tc>
      </w:tr>
      <w:tr w:rsidR="003C04D8" w:rsidRPr="003C04D8" w14:paraId="43B728A7" w14:textId="77777777" w:rsidTr="003C04D8">
        <w:trPr>
          <w:trHeight w:val="915"/>
        </w:trPr>
        <w:tc>
          <w:tcPr>
            <w:tcW w:w="2305" w:type="dxa"/>
            <w:vMerge/>
            <w:tcBorders>
              <w:top w:val="nil"/>
              <w:left w:val="single" w:sz="8" w:space="0" w:color="auto"/>
              <w:bottom w:val="single" w:sz="8" w:space="0" w:color="auto"/>
              <w:right w:val="single" w:sz="8" w:space="0" w:color="auto"/>
            </w:tcBorders>
            <w:vAlign w:val="center"/>
            <w:hideMark/>
          </w:tcPr>
          <w:p w14:paraId="6D8D3429" w14:textId="77777777" w:rsidR="003C04D8" w:rsidRPr="003C04D8" w:rsidRDefault="003C04D8" w:rsidP="003C04D8">
            <w:pPr>
              <w:spacing w:after="0" w:line="240" w:lineRule="auto"/>
              <w:jc w:val="left"/>
              <w:rPr>
                <w:rFonts w:ascii="Aptos Narrow" w:eastAsia="Times New Roman" w:hAnsi="Aptos Narrow" w:cs="Times New Roman"/>
                <w:color w:val="0000FF"/>
                <w:u w:val="single"/>
                <w:lang w:eastAsia="cs-CZ"/>
              </w:rPr>
            </w:pPr>
          </w:p>
        </w:tc>
        <w:tc>
          <w:tcPr>
            <w:tcW w:w="1938" w:type="dxa"/>
            <w:vMerge/>
            <w:tcBorders>
              <w:top w:val="nil"/>
              <w:left w:val="single" w:sz="8" w:space="0" w:color="auto"/>
              <w:bottom w:val="single" w:sz="8" w:space="0" w:color="auto"/>
              <w:right w:val="single" w:sz="8" w:space="0" w:color="auto"/>
            </w:tcBorders>
            <w:vAlign w:val="center"/>
            <w:hideMark/>
          </w:tcPr>
          <w:p w14:paraId="5D16F025" w14:textId="77777777" w:rsidR="003C04D8" w:rsidRPr="003C04D8" w:rsidRDefault="003C04D8" w:rsidP="003C04D8">
            <w:pPr>
              <w:spacing w:after="0" w:line="240" w:lineRule="auto"/>
              <w:jc w:val="left"/>
              <w:rPr>
                <w:rFonts w:ascii="Aptos Narrow" w:eastAsia="Times New Roman" w:hAnsi="Aptos Narrow" w:cs="Times New Roman"/>
                <w:color w:val="000000"/>
                <w:lang w:eastAsia="cs-CZ"/>
              </w:rPr>
            </w:pPr>
          </w:p>
        </w:tc>
        <w:tc>
          <w:tcPr>
            <w:tcW w:w="11339" w:type="dxa"/>
            <w:tcBorders>
              <w:top w:val="nil"/>
              <w:left w:val="nil"/>
              <w:bottom w:val="single" w:sz="8" w:space="0" w:color="auto"/>
              <w:right w:val="single" w:sz="8" w:space="0" w:color="auto"/>
            </w:tcBorders>
            <w:vAlign w:val="center"/>
            <w:hideMark/>
          </w:tcPr>
          <w:p w14:paraId="5407A0F8" w14:textId="77777777" w:rsidR="003C04D8" w:rsidRPr="003C04D8" w:rsidRDefault="003C04D8" w:rsidP="003C04D8">
            <w:pPr>
              <w:spacing w:after="0" w:line="240" w:lineRule="auto"/>
              <w:jc w:val="left"/>
              <w:rPr>
                <w:rFonts w:ascii="Aptos Narrow" w:eastAsia="Times New Roman" w:hAnsi="Aptos Narrow" w:cs="Times New Roman"/>
                <w:b/>
                <w:bCs/>
                <w:color w:val="000000"/>
                <w:lang w:eastAsia="cs-CZ"/>
              </w:rPr>
            </w:pPr>
            <w:r w:rsidRPr="003C04D8">
              <w:rPr>
                <w:rFonts w:ascii="Aptos Narrow" w:eastAsia="Times New Roman" w:hAnsi="Aptos Narrow" w:cs="Times New Roman"/>
                <w:b/>
                <w:bCs/>
                <w:color w:val="000000"/>
                <w:lang w:eastAsia="cs-CZ"/>
              </w:rPr>
              <w:t>zda se očekává, že plán zajistí, aby v něm obsažené opatření a investice významně nepoškozovaly environmentální cíle ve smyslu článku 17 nařízení (EU) 2020/852, a zda plán pomáhá snižovat závislost na fosilních palivech</w:t>
            </w:r>
            <w:r w:rsidRPr="003C04D8">
              <w:rPr>
                <w:rFonts w:ascii="Aptos Narrow" w:eastAsia="Times New Roman" w:hAnsi="Aptos Narrow" w:cs="Times New Roman"/>
                <w:color w:val="000000"/>
                <w:lang w:eastAsia="cs-CZ"/>
              </w:rPr>
              <w:t>;</w:t>
            </w:r>
          </w:p>
        </w:tc>
      </w:tr>
      <w:tr w:rsidR="003C04D8" w:rsidRPr="003C04D8" w14:paraId="1742CE12" w14:textId="77777777" w:rsidTr="003C04D8">
        <w:trPr>
          <w:trHeight w:val="315"/>
        </w:trPr>
        <w:tc>
          <w:tcPr>
            <w:tcW w:w="2305" w:type="dxa"/>
            <w:vMerge/>
            <w:tcBorders>
              <w:top w:val="nil"/>
              <w:left w:val="single" w:sz="8" w:space="0" w:color="auto"/>
              <w:bottom w:val="single" w:sz="8" w:space="0" w:color="auto"/>
              <w:right w:val="single" w:sz="8" w:space="0" w:color="auto"/>
            </w:tcBorders>
            <w:vAlign w:val="center"/>
            <w:hideMark/>
          </w:tcPr>
          <w:p w14:paraId="649F7159" w14:textId="77777777" w:rsidR="003C04D8" w:rsidRPr="003C04D8" w:rsidRDefault="003C04D8" w:rsidP="003C04D8">
            <w:pPr>
              <w:spacing w:after="0" w:line="240" w:lineRule="auto"/>
              <w:jc w:val="left"/>
              <w:rPr>
                <w:rFonts w:ascii="Aptos Narrow" w:eastAsia="Times New Roman" w:hAnsi="Aptos Narrow" w:cs="Times New Roman"/>
                <w:color w:val="0000FF"/>
                <w:u w:val="single"/>
                <w:lang w:eastAsia="cs-CZ"/>
              </w:rPr>
            </w:pPr>
          </w:p>
        </w:tc>
        <w:tc>
          <w:tcPr>
            <w:tcW w:w="1938" w:type="dxa"/>
            <w:vMerge w:val="restart"/>
            <w:tcBorders>
              <w:top w:val="nil"/>
              <w:left w:val="single" w:sz="8" w:space="0" w:color="auto"/>
              <w:bottom w:val="single" w:sz="8" w:space="0" w:color="auto"/>
              <w:right w:val="single" w:sz="8" w:space="0" w:color="auto"/>
            </w:tcBorders>
            <w:noWrap/>
            <w:vAlign w:val="center"/>
            <w:hideMark/>
          </w:tcPr>
          <w:p w14:paraId="53CC45A3" w14:textId="77777777" w:rsidR="003C04D8" w:rsidRPr="003C04D8" w:rsidRDefault="003C04D8" w:rsidP="003C04D8">
            <w:pPr>
              <w:spacing w:after="0" w:line="240" w:lineRule="auto"/>
              <w:jc w:val="left"/>
              <w:rPr>
                <w:rFonts w:ascii="Aptos Narrow" w:eastAsia="Times New Roman" w:hAnsi="Aptos Narrow" w:cs="Times New Roman"/>
                <w:color w:val="000000"/>
                <w:lang w:eastAsia="cs-CZ"/>
              </w:rPr>
            </w:pPr>
            <w:r w:rsidRPr="003C04D8">
              <w:rPr>
                <w:rFonts w:ascii="Aptos Narrow" w:eastAsia="Times New Roman" w:hAnsi="Aptos Narrow" w:cs="Times New Roman"/>
                <w:color w:val="000000"/>
                <w:lang w:eastAsia="cs-CZ"/>
              </w:rPr>
              <w:t>Příloha V (Vzor pro sociální klimatické plány pro klimatická opatření uvedený v čl. 6 odst. 7)</w:t>
            </w:r>
          </w:p>
        </w:tc>
        <w:tc>
          <w:tcPr>
            <w:tcW w:w="11339" w:type="dxa"/>
            <w:tcBorders>
              <w:top w:val="nil"/>
              <w:left w:val="nil"/>
              <w:bottom w:val="single" w:sz="8" w:space="0" w:color="auto"/>
              <w:right w:val="single" w:sz="8" w:space="0" w:color="auto"/>
            </w:tcBorders>
            <w:vAlign w:val="center"/>
            <w:hideMark/>
          </w:tcPr>
          <w:p w14:paraId="5E98640A" w14:textId="3F9F1E06" w:rsidR="003C04D8" w:rsidRPr="003C04D8" w:rsidRDefault="003C04D8" w:rsidP="003C04D8">
            <w:pPr>
              <w:spacing w:after="0" w:line="240" w:lineRule="auto"/>
              <w:jc w:val="left"/>
              <w:rPr>
                <w:rFonts w:ascii="Aptos Narrow" w:eastAsia="Times New Roman" w:hAnsi="Aptos Narrow" w:cs="Times New Roman"/>
                <w:color w:val="000000"/>
                <w:lang w:eastAsia="cs-CZ"/>
              </w:rPr>
            </w:pPr>
            <w:proofErr w:type="spellStart"/>
            <w:r w:rsidRPr="003C04D8">
              <w:rPr>
                <w:rFonts w:ascii="Aptos Narrow" w:eastAsia="Times New Roman" w:hAnsi="Aptos Narrow" w:cs="Times New Roman"/>
                <w:color w:val="000000"/>
                <w:lang w:eastAsia="cs-CZ"/>
              </w:rPr>
              <w:t>iii</w:t>
            </w:r>
            <w:proofErr w:type="spellEnd"/>
            <w:r w:rsidRPr="003C04D8">
              <w:rPr>
                <w:rFonts w:ascii="Aptos Narrow" w:eastAsia="Times New Roman" w:hAnsi="Aptos Narrow" w:cs="Times New Roman"/>
                <w:color w:val="000000"/>
                <w:lang w:eastAsia="cs-CZ"/>
              </w:rPr>
              <w:t>)</w:t>
            </w:r>
            <w:r w:rsidR="00FB2A0F">
              <w:rPr>
                <w:rFonts w:ascii="Aptos Narrow" w:eastAsia="Times New Roman" w:hAnsi="Aptos Narrow" w:cs="Times New Roman"/>
                <w:color w:val="000000"/>
                <w:lang w:eastAsia="cs-CZ"/>
              </w:rPr>
              <w:t xml:space="preserve"> </w:t>
            </w:r>
            <w:r w:rsidRPr="003C04D8">
              <w:rPr>
                <w:rFonts w:ascii="Aptos Narrow" w:eastAsia="Times New Roman" w:hAnsi="Aptos Narrow" w:cs="Times New Roman"/>
                <w:color w:val="000000"/>
                <w:lang w:eastAsia="cs-CZ"/>
              </w:rPr>
              <w:t>Zásada „významně nepoškozovat“</w:t>
            </w:r>
          </w:p>
        </w:tc>
      </w:tr>
      <w:tr w:rsidR="003C04D8" w:rsidRPr="003C04D8" w14:paraId="787D9311" w14:textId="77777777" w:rsidTr="003C04D8">
        <w:trPr>
          <w:trHeight w:val="850"/>
        </w:trPr>
        <w:tc>
          <w:tcPr>
            <w:tcW w:w="2305" w:type="dxa"/>
            <w:vMerge/>
            <w:tcBorders>
              <w:top w:val="nil"/>
              <w:left w:val="single" w:sz="8" w:space="0" w:color="auto"/>
              <w:bottom w:val="single" w:sz="8" w:space="0" w:color="auto"/>
              <w:right w:val="single" w:sz="8" w:space="0" w:color="auto"/>
            </w:tcBorders>
            <w:vAlign w:val="center"/>
            <w:hideMark/>
          </w:tcPr>
          <w:p w14:paraId="78E8345E" w14:textId="77777777" w:rsidR="003C04D8" w:rsidRPr="003C04D8" w:rsidRDefault="003C04D8" w:rsidP="003C04D8">
            <w:pPr>
              <w:spacing w:after="0" w:line="240" w:lineRule="auto"/>
              <w:jc w:val="left"/>
              <w:rPr>
                <w:rFonts w:ascii="Aptos Narrow" w:eastAsia="Times New Roman" w:hAnsi="Aptos Narrow" w:cs="Times New Roman"/>
                <w:color w:val="0000FF"/>
                <w:u w:val="single"/>
                <w:lang w:eastAsia="cs-CZ"/>
              </w:rPr>
            </w:pPr>
          </w:p>
        </w:tc>
        <w:tc>
          <w:tcPr>
            <w:tcW w:w="1938" w:type="dxa"/>
            <w:vMerge/>
            <w:tcBorders>
              <w:top w:val="nil"/>
              <w:left w:val="single" w:sz="8" w:space="0" w:color="auto"/>
              <w:bottom w:val="single" w:sz="8" w:space="0" w:color="auto"/>
              <w:right w:val="single" w:sz="8" w:space="0" w:color="auto"/>
            </w:tcBorders>
            <w:vAlign w:val="center"/>
            <w:hideMark/>
          </w:tcPr>
          <w:p w14:paraId="7F2E0450" w14:textId="77777777" w:rsidR="003C04D8" w:rsidRPr="003C04D8" w:rsidRDefault="003C04D8" w:rsidP="003C04D8">
            <w:pPr>
              <w:spacing w:after="0" w:line="240" w:lineRule="auto"/>
              <w:jc w:val="left"/>
              <w:rPr>
                <w:rFonts w:ascii="Aptos Narrow" w:eastAsia="Times New Roman" w:hAnsi="Aptos Narrow" w:cs="Times New Roman"/>
                <w:color w:val="000000"/>
                <w:lang w:eastAsia="cs-CZ"/>
              </w:rPr>
            </w:pPr>
          </w:p>
        </w:tc>
        <w:tc>
          <w:tcPr>
            <w:tcW w:w="11339" w:type="dxa"/>
            <w:tcBorders>
              <w:top w:val="nil"/>
              <w:left w:val="nil"/>
              <w:bottom w:val="single" w:sz="8" w:space="0" w:color="auto"/>
              <w:right w:val="single" w:sz="8" w:space="0" w:color="auto"/>
            </w:tcBorders>
            <w:vAlign w:val="center"/>
            <w:hideMark/>
          </w:tcPr>
          <w:p w14:paraId="23686F2B" w14:textId="77777777" w:rsidR="003C04D8" w:rsidRPr="003C04D8" w:rsidRDefault="003C04D8" w:rsidP="003C04D8">
            <w:pPr>
              <w:spacing w:after="0" w:line="240" w:lineRule="auto"/>
              <w:jc w:val="left"/>
              <w:rPr>
                <w:rFonts w:ascii="Aptos Narrow" w:eastAsia="Times New Roman" w:hAnsi="Aptos Narrow" w:cs="Times New Roman"/>
                <w:b/>
                <w:bCs/>
                <w:color w:val="000000"/>
                <w:lang w:eastAsia="cs-CZ"/>
              </w:rPr>
            </w:pPr>
            <w:r w:rsidRPr="003C04D8">
              <w:rPr>
                <w:rFonts w:ascii="Aptos Narrow" w:eastAsia="Times New Roman" w:hAnsi="Aptos Narrow" w:cs="Times New Roman"/>
                <w:b/>
                <w:bCs/>
                <w:color w:val="000000"/>
                <w:lang w:eastAsia="cs-CZ"/>
              </w:rPr>
              <w:t xml:space="preserve">Informace o tom, jakým způsobem opatření a investice zahrnuté do složky dosahují souladu se zásadou „významně nepoškozovat“ ve smyslu článku 17 nařízení (EU) 2020/852. </w:t>
            </w:r>
            <w:r w:rsidRPr="003C04D8">
              <w:rPr>
                <w:rFonts w:ascii="Aptos Narrow" w:eastAsia="Times New Roman" w:hAnsi="Aptos Narrow" w:cs="Times New Roman"/>
                <w:color w:val="000000"/>
                <w:lang w:eastAsia="cs-CZ"/>
              </w:rPr>
              <w:t>Komise poskytne technické pokyny podle čl. 6 odst. 5 tohoto nařízení.</w:t>
            </w:r>
          </w:p>
        </w:tc>
      </w:tr>
      <w:tr w:rsidR="003C04D8" w:rsidRPr="003C04D8" w14:paraId="10711ABB" w14:textId="77777777" w:rsidTr="003C04D8">
        <w:trPr>
          <w:trHeight w:val="615"/>
        </w:trPr>
        <w:tc>
          <w:tcPr>
            <w:tcW w:w="2305" w:type="dxa"/>
            <w:vMerge w:val="restart"/>
            <w:tcBorders>
              <w:top w:val="nil"/>
              <w:left w:val="single" w:sz="8" w:space="0" w:color="auto"/>
              <w:bottom w:val="single" w:sz="8" w:space="0" w:color="auto"/>
              <w:right w:val="single" w:sz="8" w:space="0" w:color="auto"/>
            </w:tcBorders>
            <w:vAlign w:val="center"/>
            <w:hideMark/>
          </w:tcPr>
          <w:p w14:paraId="047FFA33" w14:textId="58F38D74" w:rsidR="003C04D8" w:rsidRPr="003C04D8" w:rsidRDefault="003C04D8" w:rsidP="003C04D8">
            <w:pPr>
              <w:spacing w:after="0" w:line="240" w:lineRule="auto"/>
              <w:jc w:val="left"/>
              <w:rPr>
                <w:rFonts w:ascii="Aptos Narrow" w:eastAsia="Times New Roman" w:hAnsi="Aptos Narrow" w:cs="Times New Roman"/>
                <w:color w:val="0000FF"/>
                <w:u w:val="single"/>
                <w:lang w:eastAsia="cs-CZ"/>
              </w:rPr>
            </w:pPr>
            <w:r w:rsidRPr="003C04D8">
              <w:rPr>
                <w:rFonts w:ascii="Aptos Narrow" w:eastAsia="Times New Roman" w:hAnsi="Aptos Narrow" w:cs="Times New Roman"/>
                <w:color w:val="0000FF"/>
                <w:u w:val="single"/>
                <w:lang w:eastAsia="cs-CZ"/>
              </w:rPr>
              <w:footnoteReference w:customMarkFollows="1" w:id="19"/>
              <w:t>Nařízení Evropského parlamentu a Rady (EU, Euratom) 2024/2509 ze dne 23. září 2024, kterým se stanoví finanční pravidla pro souhrnný rozpočet Unie (přepracované znění)</w:t>
            </w:r>
            <w:r w:rsidR="00ED07F2">
              <w:rPr>
                <w:rStyle w:val="Znakapoznpodarou"/>
                <w:rFonts w:ascii="Aptos Narrow" w:eastAsia="Times New Roman" w:hAnsi="Aptos Narrow" w:cs="Times New Roman"/>
                <w:color w:val="0000FF"/>
                <w:u w:val="single"/>
                <w:lang w:eastAsia="cs-CZ"/>
              </w:rPr>
              <w:footnoteReference w:id="20"/>
            </w:r>
          </w:p>
        </w:tc>
        <w:tc>
          <w:tcPr>
            <w:tcW w:w="1938" w:type="dxa"/>
            <w:vMerge w:val="restart"/>
            <w:tcBorders>
              <w:top w:val="nil"/>
              <w:left w:val="single" w:sz="8" w:space="0" w:color="auto"/>
              <w:bottom w:val="single" w:sz="8" w:space="0" w:color="auto"/>
              <w:right w:val="single" w:sz="8" w:space="0" w:color="auto"/>
            </w:tcBorders>
            <w:noWrap/>
            <w:vAlign w:val="center"/>
            <w:hideMark/>
          </w:tcPr>
          <w:p w14:paraId="3CAE364B" w14:textId="77777777" w:rsidR="003C04D8" w:rsidRPr="003C04D8" w:rsidRDefault="003C04D8" w:rsidP="003C04D8">
            <w:pPr>
              <w:spacing w:after="0" w:line="240" w:lineRule="auto"/>
              <w:jc w:val="left"/>
              <w:rPr>
                <w:rFonts w:ascii="Aptos Narrow" w:eastAsia="Times New Roman" w:hAnsi="Aptos Narrow" w:cs="Times New Roman"/>
                <w:color w:val="000000"/>
                <w:lang w:eastAsia="cs-CZ"/>
              </w:rPr>
            </w:pPr>
            <w:r w:rsidRPr="003C04D8">
              <w:rPr>
                <w:rFonts w:ascii="Aptos Narrow" w:eastAsia="Times New Roman" w:hAnsi="Aptos Narrow" w:cs="Times New Roman"/>
                <w:color w:val="000000"/>
                <w:lang w:eastAsia="cs-CZ"/>
              </w:rPr>
              <w:t>Článek 33(2)d)</w:t>
            </w:r>
          </w:p>
        </w:tc>
        <w:tc>
          <w:tcPr>
            <w:tcW w:w="11339" w:type="dxa"/>
            <w:tcBorders>
              <w:top w:val="nil"/>
              <w:left w:val="nil"/>
              <w:bottom w:val="single" w:sz="8" w:space="0" w:color="auto"/>
              <w:right w:val="single" w:sz="8" w:space="0" w:color="auto"/>
            </w:tcBorders>
            <w:vAlign w:val="center"/>
            <w:hideMark/>
          </w:tcPr>
          <w:p w14:paraId="0265A4D4" w14:textId="77777777" w:rsidR="003C04D8" w:rsidRPr="003C04D8" w:rsidRDefault="003C04D8" w:rsidP="003C04D8">
            <w:pPr>
              <w:spacing w:after="0" w:line="240" w:lineRule="auto"/>
              <w:jc w:val="left"/>
              <w:rPr>
                <w:rFonts w:ascii="Aptos Narrow" w:eastAsia="Times New Roman" w:hAnsi="Aptos Narrow" w:cs="Times New Roman"/>
                <w:color w:val="000000"/>
                <w:lang w:eastAsia="cs-CZ"/>
              </w:rPr>
            </w:pPr>
            <w:r w:rsidRPr="003C04D8">
              <w:rPr>
                <w:rFonts w:ascii="Aptos Narrow" w:eastAsia="Times New Roman" w:hAnsi="Aptos Narrow" w:cs="Times New Roman"/>
                <w:color w:val="000000"/>
                <w:lang w:eastAsia="cs-CZ"/>
              </w:rPr>
              <w:t>V souladu se zásadou řádného finančního řízení se využití prostředků zaměřuje na výkonnost, a za tímto účelem se:</w:t>
            </w:r>
          </w:p>
        </w:tc>
      </w:tr>
      <w:tr w:rsidR="003C04D8" w:rsidRPr="003C04D8" w14:paraId="5137081B" w14:textId="77777777" w:rsidTr="003C04D8">
        <w:trPr>
          <w:trHeight w:val="1361"/>
        </w:trPr>
        <w:tc>
          <w:tcPr>
            <w:tcW w:w="2305" w:type="dxa"/>
            <w:vMerge/>
            <w:tcBorders>
              <w:top w:val="nil"/>
              <w:left w:val="single" w:sz="8" w:space="0" w:color="auto"/>
              <w:bottom w:val="single" w:sz="8" w:space="0" w:color="auto"/>
              <w:right w:val="single" w:sz="8" w:space="0" w:color="auto"/>
            </w:tcBorders>
            <w:vAlign w:val="center"/>
            <w:hideMark/>
          </w:tcPr>
          <w:p w14:paraId="5E1B36E0" w14:textId="77777777" w:rsidR="003C04D8" w:rsidRPr="003C04D8" w:rsidRDefault="003C04D8" w:rsidP="003C04D8">
            <w:pPr>
              <w:spacing w:after="0" w:line="240" w:lineRule="auto"/>
              <w:jc w:val="left"/>
              <w:rPr>
                <w:rFonts w:ascii="Aptos Narrow" w:eastAsia="Times New Roman" w:hAnsi="Aptos Narrow" w:cs="Times New Roman"/>
                <w:color w:val="44546A" w:themeColor="text2"/>
                <w:u w:val="single"/>
                <w:lang w:eastAsia="cs-CZ"/>
              </w:rPr>
            </w:pPr>
          </w:p>
        </w:tc>
        <w:tc>
          <w:tcPr>
            <w:tcW w:w="1938" w:type="dxa"/>
            <w:vMerge/>
            <w:tcBorders>
              <w:top w:val="nil"/>
              <w:left w:val="single" w:sz="8" w:space="0" w:color="auto"/>
              <w:bottom w:val="single" w:sz="8" w:space="0" w:color="auto"/>
              <w:right w:val="single" w:sz="8" w:space="0" w:color="auto"/>
            </w:tcBorders>
            <w:vAlign w:val="center"/>
            <w:hideMark/>
          </w:tcPr>
          <w:p w14:paraId="55151008" w14:textId="77777777" w:rsidR="003C04D8" w:rsidRPr="003C04D8" w:rsidRDefault="003C04D8" w:rsidP="003C04D8">
            <w:pPr>
              <w:spacing w:after="0" w:line="240" w:lineRule="auto"/>
              <w:jc w:val="left"/>
              <w:rPr>
                <w:rFonts w:ascii="Aptos Narrow" w:eastAsia="Times New Roman" w:hAnsi="Aptos Narrow" w:cs="Times New Roman"/>
                <w:color w:val="000000"/>
                <w:lang w:eastAsia="cs-CZ"/>
              </w:rPr>
            </w:pPr>
          </w:p>
        </w:tc>
        <w:tc>
          <w:tcPr>
            <w:tcW w:w="11339" w:type="dxa"/>
            <w:tcBorders>
              <w:top w:val="nil"/>
              <w:left w:val="nil"/>
              <w:bottom w:val="single" w:sz="8" w:space="0" w:color="auto"/>
              <w:right w:val="single" w:sz="8" w:space="0" w:color="auto"/>
            </w:tcBorders>
            <w:vAlign w:val="center"/>
            <w:hideMark/>
          </w:tcPr>
          <w:p w14:paraId="2414E8E3" w14:textId="77777777" w:rsidR="003C04D8" w:rsidRPr="003C04D8" w:rsidRDefault="003C04D8" w:rsidP="003C04D8">
            <w:pPr>
              <w:spacing w:after="0" w:line="240" w:lineRule="auto"/>
              <w:jc w:val="left"/>
              <w:rPr>
                <w:rFonts w:ascii="Aptos Narrow" w:eastAsia="Times New Roman" w:hAnsi="Aptos Narrow" w:cs="Times New Roman"/>
                <w:color w:val="000000"/>
                <w:lang w:eastAsia="cs-CZ"/>
              </w:rPr>
            </w:pPr>
            <w:r w:rsidRPr="003C04D8">
              <w:rPr>
                <w:rFonts w:ascii="Aptos Narrow" w:eastAsia="Times New Roman" w:hAnsi="Aptos Narrow" w:cs="Times New Roman"/>
                <w:color w:val="000000"/>
                <w:lang w:eastAsia="cs-CZ"/>
              </w:rPr>
              <w:t xml:space="preserve">programy a činnosti provádějí, je-li to schůdné a vhodné, v souladu s příslušnými odvětvovými pravidly tak, aby vedly k dosažení stanovených cílů, </w:t>
            </w:r>
            <w:r w:rsidRPr="003C04D8">
              <w:rPr>
                <w:rFonts w:ascii="Aptos Narrow" w:eastAsia="Times New Roman" w:hAnsi="Aptos Narrow" w:cs="Times New Roman"/>
                <w:b/>
                <w:bCs/>
                <w:color w:val="000000"/>
                <w:lang w:eastAsia="cs-CZ"/>
              </w:rPr>
              <w:t>aniž by významně poškozovaly environmentální cíle spočívající ve zmírňování změny klimatu, přizpůsobování se změně klimatu, udržitelném využívání a ochraně vodních a mořských zdrojů, přechodu na oběhové hospodářství, prevenci a omezování znečištění a ochraně a obnově biologické rozmanitosti a ekosystémů</w:t>
            </w:r>
            <w:r w:rsidRPr="003C04D8">
              <w:rPr>
                <w:rFonts w:ascii="Aptos Narrow" w:eastAsia="Times New Roman" w:hAnsi="Aptos Narrow" w:cs="Times New Roman"/>
                <w:color w:val="000000"/>
                <w:lang w:eastAsia="cs-CZ"/>
              </w:rPr>
              <w:t>, jak je stanoveno v článku 9 nařízení Evropského parlamentu a Rady (EU) 2020/852</w:t>
            </w:r>
            <w:r w:rsidR="00092C95">
              <w:rPr>
                <w:rFonts w:ascii="Aptos Narrow" w:eastAsia="Times New Roman" w:hAnsi="Aptos Narrow" w:cs="Times New Roman"/>
                <w:color w:val="000000"/>
                <w:lang w:eastAsia="cs-CZ"/>
              </w:rPr>
              <w:t>.</w:t>
            </w:r>
          </w:p>
        </w:tc>
      </w:tr>
    </w:tbl>
    <w:p w14:paraId="3B521827" w14:textId="77777777" w:rsidR="003B1ACE" w:rsidRDefault="003B1ACE">
      <w:pPr>
        <w:keepNext/>
        <w:spacing w:line="240" w:lineRule="auto"/>
        <w:rPr>
          <w:b/>
          <w:u w:val="single"/>
        </w:rPr>
        <w:sectPr w:rsidR="003B1ACE" w:rsidSect="001A199F">
          <w:pgSz w:w="16838" w:h="11906" w:orient="landscape"/>
          <w:pgMar w:top="1418" w:right="1418" w:bottom="1418" w:left="709" w:header="709" w:footer="709" w:gutter="0"/>
          <w:cols w:space="708"/>
        </w:sectPr>
      </w:pPr>
    </w:p>
    <w:p w14:paraId="3098DFC2" w14:textId="77777777" w:rsidR="00602DCA" w:rsidRDefault="00602DCA">
      <w:pPr>
        <w:spacing w:line="240" w:lineRule="auto"/>
        <w:rPr>
          <w:rFonts w:cstheme="minorHAnsi"/>
        </w:rPr>
      </w:pPr>
    </w:p>
    <w:p w14:paraId="73CCDE4E" w14:textId="77777777" w:rsidR="00602DCA" w:rsidRDefault="00C5530C" w:rsidP="002F2468">
      <w:pPr>
        <w:pStyle w:val="Nadpis2"/>
      </w:pPr>
      <w:bookmarkStart w:id="32" w:name="_Sledování_příspěvku_fondů"/>
      <w:bookmarkStart w:id="33" w:name="_Toc116428043"/>
      <w:bookmarkStart w:id="34" w:name="_Toc210046021"/>
      <w:bookmarkEnd w:id="32"/>
      <w:r>
        <w:t>Sledování příspěvku fondů k ochraně klimatu a k environmentálním cílům</w:t>
      </w:r>
      <w:bookmarkEnd w:id="33"/>
      <w:bookmarkEnd w:id="34"/>
    </w:p>
    <w:p w14:paraId="223F7359" w14:textId="69788687" w:rsidR="00542C09" w:rsidRDefault="00542C09">
      <w:r>
        <w:t>Vzhledem k významu boje proti změně klimatu</w:t>
      </w:r>
      <w:r w:rsidR="00F37B1E">
        <w:t>,</w:t>
      </w:r>
      <w:r>
        <w:t xml:space="preserve"> závazky uvedenými v Pařížské dohodě a závazky týkající se cílů udržitelného rozvoje</w:t>
      </w:r>
      <w:r w:rsidR="004A0EAE">
        <w:t xml:space="preserve"> Organizace spojených národů, sleduje Evropská komise prostřednictvím koeficientů příspěvek rozpočtu Unie v rámci víceletého finančního rámce k těmto cílům. Cílem je,</w:t>
      </w:r>
      <w:r>
        <w:t xml:space="preserve"> aby bylo alespoň 30 % celkové částky rozpočtu Unie v rámci víceletého finančního rámce na období let 2021 až 2027, stanoveného v nařízení Rady (EU, Euratom) 2020/2093 (9), (dále jen „VFR na období 2021–2027“)</w:t>
      </w:r>
      <w:r w:rsidR="00F37B1E">
        <w:t>,</w:t>
      </w:r>
      <w:r>
        <w:t xml:space="preserve"> celkové částky Nástroje Evropské unie na podporu oživení, zřízeného nařízením Rady (EU) 2020/2094 (10), a nejméně 37 % celkové částky Nástroje pro oživení a odolnost, zřízeného nařízením Evropského parlamentu a Rady (EU) 2021/241</w:t>
      </w:r>
      <w:r w:rsidR="004A0EAE">
        <w:t xml:space="preserve"> </w:t>
      </w:r>
      <w:r>
        <w:t xml:space="preserve">vynaloženo </w:t>
      </w:r>
      <w:r w:rsidR="00893A60">
        <w:t>s přispěním k</w:t>
      </w:r>
      <w:r>
        <w:t xml:space="preserve"> cílů</w:t>
      </w:r>
      <w:r w:rsidR="00893A60">
        <w:t>m</w:t>
      </w:r>
      <w:r>
        <w:t xml:space="preserve"> v oblasti klimatu. Záměrem rovněž je, aby opatření a investice byly v souladu s ambicí poskytnout na cíle v oblasti biologické rozmanitosti 7,5 % ročních výdajů v rámci VFR na období 2021–2027 v roce 2024 a 10 % ročních výdajů v rámci VFR na období 2021–2027 v letech 2026 a 2027, přičemž je třeba zohledňovat stávající přesahy mezi cíli v oblasti klimatu a biologické rozmanitosti.</w:t>
      </w:r>
    </w:p>
    <w:p w14:paraId="15794575" w14:textId="284FAD22" w:rsidR="00602DCA" w:rsidRDefault="00D33B4A">
      <w:r>
        <w:t>Legislativa EU zahrnuje taktéž katalog pro přiřazení koeficientů příspěvků ke klimatickým a environmentálním cílům EU (zejm. příloha I CPR a příloha 6 RRF). Koeficienty jsou dány pevně dle kódů intervence.</w:t>
      </w:r>
      <w:r w:rsidR="00C5530C">
        <w:t xml:space="preserve"> </w:t>
      </w:r>
      <w:r w:rsidR="00C5530C">
        <w:rPr>
          <w:b/>
        </w:rPr>
        <w:t>Sledování příspěvku fondů k ochraně klimatu zahrnuje v některých případech „kritéria založená na účinku“, která musí intervence splnit, aby splnily odpovídající koeficient.</w:t>
      </w:r>
      <w:r w:rsidR="00C5530C">
        <w:t xml:space="preserve"> </w:t>
      </w:r>
      <w:r w:rsidR="00E93BE4">
        <w:t>Přirazení relevantních koeficientů k hospodářským činnostem je obsaženo v tabulce v </w:t>
      </w:r>
      <w:hyperlink w:anchor="_Přiřazení_relevance_koeficientů" w:history="1">
        <w:r w:rsidR="00123E55" w:rsidRPr="005E539C">
          <w:rPr>
            <w:rStyle w:val="Hypertextovodkaz"/>
          </w:rPr>
          <w:t>příloze 5.</w:t>
        </w:r>
        <w:r w:rsidR="00123E55">
          <w:rPr>
            <w:rStyle w:val="Hypertextovodkaz"/>
          </w:rPr>
          <w:t>5</w:t>
        </w:r>
      </w:hyperlink>
      <w:r w:rsidR="00E93BE4">
        <w:t>.</w:t>
      </w:r>
    </w:p>
    <w:p w14:paraId="686A5B5D" w14:textId="1931E740" w:rsidR="00602DCA" w:rsidRDefault="00C5530C">
      <w:r>
        <w:t>Obecné nařízení dále obsahuje koeficient pro výpočet podpory na plnění environmentálních cílů (environmentální tag).</w:t>
      </w:r>
      <w:r w:rsidR="003D37C3">
        <w:t xml:space="preserve"> Klimatické koeficienty EU se přidělují podle následujících kritérií:</w:t>
      </w:r>
    </w:p>
    <w:p w14:paraId="648EC5B0" w14:textId="37D1D99C" w:rsidR="003D37C3" w:rsidRDefault="003D37C3" w:rsidP="00A32A7E">
      <w:pPr>
        <w:pStyle w:val="Odstavecseseznamem"/>
        <w:numPr>
          <w:ilvl w:val="0"/>
          <w:numId w:val="57"/>
        </w:numPr>
      </w:pPr>
      <w:r w:rsidRPr="003D37C3">
        <w:t xml:space="preserve">100 %: očekává se, že činnost významně přispěje </w:t>
      </w:r>
      <w:r>
        <w:t xml:space="preserve">k plnění klimatických </w:t>
      </w:r>
      <w:r w:rsidR="00D33B4A">
        <w:t>nebo</w:t>
      </w:r>
      <w:r>
        <w:t xml:space="preserve"> environmentálních cílů</w:t>
      </w:r>
      <w:r w:rsidRPr="003D37C3">
        <w:t xml:space="preserve"> </w:t>
      </w:r>
      <w:r>
        <w:t>EU</w:t>
      </w:r>
      <w:r w:rsidRPr="003D37C3">
        <w:t>. Významný příspěvek lze přidělit činnosti, která přispívá ke klimatickým</w:t>
      </w:r>
      <w:r>
        <w:t xml:space="preserve"> a environmentálním</w:t>
      </w:r>
      <w:r w:rsidRPr="003D37C3">
        <w:t xml:space="preserve"> cílům buď přímo (např. obnovitelná energie, doprava s nulovými emisemi nebo </w:t>
      </w:r>
      <w:r w:rsidR="00893A60">
        <w:t xml:space="preserve">přírodě blízká </w:t>
      </w:r>
      <w:r w:rsidRPr="003D37C3">
        <w:t xml:space="preserve">řešení), nebo nepřímo (např. výzkum a inovace, vzdělávání související s čistými technologiemi nebo jiné podpůrné činnosti). </w:t>
      </w:r>
    </w:p>
    <w:p w14:paraId="49C85128" w14:textId="79A85BDA" w:rsidR="003D37C3" w:rsidRDefault="003D37C3" w:rsidP="00A32A7E">
      <w:pPr>
        <w:pStyle w:val="Odstavecseseznamem"/>
        <w:numPr>
          <w:ilvl w:val="0"/>
          <w:numId w:val="57"/>
        </w:numPr>
      </w:pPr>
      <w:r w:rsidRPr="003D37C3">
        <w:t>40 %: očekává se, že činnost bude mít nemarginální pozitivní příspěve</w:t>
      </w:r>
      <w:r>
        <w:t>k ke klimatickým a environmentálním</w:t>
      </w:r>
      <w:r w:rsidRPr="003D37C3">
        <w:t xml:space="preserve"> cílům</w:t>
      </w:r>
      <w:r>
        <w:t xml:space="preserve"> EU</w:t>
      </w:r>
      <w:r w:rsidRPr="003D37C3">
        <w:t xml:space="preserve">. Příspěvek činnosti ke klimatickým cílům může být opět přímý nebo nepřímý. </w:t>
      </w:r>
    </w:p>
    <w:p w14:paraId="206CB27C" w14:textId="0F25AFB2" w:rsidR="003D37C3" w:rsidRDefault="003D37C3" w:rsidP="00A32A7E">
      <w:pPr>
        <w:pStyle w:val="Odstavecseseznamem"/>
        <w:numPr>
          <w:ilvl w:val="0"/>
          <w:numId w:val="57"/>
        </w:numPr>
      </w:pPr>
      <w:r w:rsidRPr="003D37C3">
        <w:t xml:space="preserve">0 %: očekává se, že činnost bude mít neutrální dopad na </w:t>
      </w:r>
      <w:r>
        <w:t>klimatické a environmentální cíle EU.</w:t>
      </w:r>
    </w:p>
    <w:p w14:paraId="5734B7F4" w14:textId="77777777" w:rsidR="00602DCA" w:rsidRDefault="00C5530C">
      <w:r>
        <w:t>U Fondu pro spravedlivou transformaci bude všem investicím přiřazen 100% klimatický koeficient v souladu s nařízením FST.</w:t>
      </w:r>
    </w:p>
    <w:p w14:paraId="1C81FB70" w14:textId="386D8DB8" w:rsidR="00602DCA" w:rsidRDefault="00ED624F">
      <w:r>
        <w:lastRenderedPageBreak/>
        <w:t xml:space="preserve">Nařízení o RRF v </w:t>
      </w:r>
      <w:r w:rsidR="00C5530C">
        <w:t>čl. 19 odst. 3 písm. e) a f) a příloh</w:t>
      </w:r>
      <w:r>
        <w:t>ách</w:t>
      </w:r>
      <w:r w:rsidR="00C5530C">
        <w:t xml:space="preserve"> VI a VII použitelné klimatické a environmentální koeficienty. Podle těchto ustanovení mohou být klimatické koeficienty zvýšeny (až do 3 % celkových výdajů na klima v plánech obnovy a odolnosti), pokud budou investice doprovázeny politickými opatřeními, která zvýší jejich dopad. Členské státy by měly případně použití těchto ustanovení odůvodnit.</w:t>
      </w:r>
    </w:p>
    <w:p w14:paraId="39CB311A" w14:textId="4581D2E9" w:rsidR="004A0EAE" w:rsidRDefault="004A0EAE">
      <w:r>
        <w:t>Pro Sociální klimatický fond by se ke sledování výdajů fondu měla použít metodika stanovená v příloze I nařízení Evropského parlamentu a Rady (EU) 2021/1060. Fond by měl podporovat opatření a investice, jež plně dodržují klimatické a environmentální normy a priority Unie a zásadu „významně nepoškozovat“ ve smyslu článku 17 nařízení Evropského parlamentu a Rady (EU) 2020/852</w:t>
      </w:r>
      <w:r w:rsidR="00DF40C0">
        <w:t>.</w:t>
      </w:r>
    </w:p>
    <w:p w14:paraId="2EA47394" w14:textId="4FCDD0AB" w:rsidR="00D746B5" w:rsidRDefault="00C5530C" w:rsidP="000510DB">
      <w:r>
        <w:t>Pro účely podávání zpráv v rámci rozpočtu EU a počínaje červnem 2025 budou klimatické koeficienty EU uplatňovány také na výdaje na klima v rámci okruhu 6 VFR („Sousedství a svět“). Současně se budou i nadále používat ukazatele z R</w:t>
      </w:r>
      <w:r w:rsidR="00521006">
        <w:t>IA</w:t>
      </w:r>
      <w:r>
        <w:t xml:space="preserve"> pro podávání zpráv o mezinárodním financování EU v oblasti klimatu OECD, UNFCCC a Pařížské dohodě, jakož i dalším mezinárodním dohodám nebo rámcům, v souladu s mezinárodními </w:t>
      </w:r>
      <w:r w:rsidR="000510DB">
        <w:t>závazky.</w:t>
      </w:r>
    </w:p>
    <w:p w14:paraId="7F237F85" w14:textId="77777777" w:rsidR="000510DB" w:rsidRDefault="000510DB" w:rsidP="000510DB"/>
    <w:p w14:paraId="226C617E" w14:textId="719A8831" w:rsidR="000510DB" w:rsidRDefault="000510DB" w:rsidP="000510DB">
      <w:pPr>
        <w:sectPr w:rsidR="000510DB">
          <w:pgSz w:w="11906" w:h="16838"/>
          <w:pgMar w:top="1417" w:right="1417" w:bottom="709" w:left="1417" w:header="708" w:footer="708" w:gutter="0"/>
          <w:cols w:space="708"/>
        </w:sectPr>
      </w:pPr>
    </w:p>
    <w:p w14:paraId="176AE575" w14:textId="77777777" w:rsidR="00602DCA" w:rsidRDefault="00602DCA"/>
    <w:p w14:paraId="338BBF47" w14:textId="066F0C21" w:rsidR="00602DCA" w:rsidRDefault="008B503C">
      <w:pPr>
        <w:pStyle w:val="Nadpis1"/>
      </w:pPr>
      <w:bookmarkStart w:id="35" w:name="_Toc116428045"/>
      <w:bookmarkStart w:id="36" w:name="_Hlk114650650"/>
      <w:bookmarkStart w:id="37" w:name="_Toc210046022"/>
      <w:r>
        <w:t>Z</w:t>
      </w:r>
      <w:r w:rsidR="00C5530C">
        <w:t>ásad</w:t>
      </w:r>
      <w:r>
        <w:t>a</w:t>
      </w:r>
      <w:r w:rsidR="00C5530C">
        <w:t xml:space="preserve"> DNSH a prověřování infrastruktury z hlediska klimatického dopadu na strategické úrovni</w:t>
      </w:r>
      <w:bookmarkEnd w:id="37"/>
      <w:r w:rsidR="00C5530C">
        <w:t xml:space="preserve"> </w:t>
      </w:r>
      <w:bookmarkEnd w:id="35"/>
      <w:bookmarkEnd w:id="36"/>
    </w:p>
    <w:p w14:paraId="711DDEC7" w14:textId="25CB11FB" w:rsidR="005F2280" w:rsidRDefault="00F927AA" w:rsidP="005F2280">
      <w:r>
        <w:rPr>
          <w:noProof/>
        </w:rPr>
        <w:drawing>
          <wp:inline distT="0" distB="0" distL="0" distR="0" wp14:anchorId="54B93A98" wp14:editId="26D012C4">
            <wp:extent cx="5753735" cy="2993390"/>
            <wp:effectExtent l="0" t="0" r="0" b="0"/>
            <wp:docPr id="1886159050"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753735" cy="2993390"/>
                    </a:xfrm>
                    <a:prstGeom prst="rect">
                      <a:avLst/>
                    </a:prstGeom>
                    <a:noFill/>
                    <a:ln>
                      <a:noFill/>
                    </a:ln>
                  </pic:spPr>
                </pic:pic>
              </a:graphicData>
            </a:graphic>
          </wp:inline>
        </w:drawing>
      </w:r>
      <w:r w:rsidR="005F2280">
        <w:t xml:space="preserve">Kapitola 3 popisuje následující způsoby vyhodnocování DNSH </w:t>
      </w:r>
      <w:r w:rsidR="00DF40C0">
        <w:t>administrátory zdrojů EU</w:t>
      </w:r>
      <w:r w:rsidR="005F2280">
        <w:t xml:space="preserve"> (vyhodnocení souladu s DNSH na programové úrovni stanovením podmínek</w:t>
      </w:r>
      <w:r w:rsidR="00C97F74">
        <w:t>, které by měly být poté promítnuty do výzev a pravidel pro žadatele)</w:t>
      </w:r>
      <w:r w:rsidR="005F2280">
        <w:t>:</w:t>
      </w:r>
    </w:p>
    <w:p w14:paraId="67BF61C1" w14:textId="19F2B435" w:rsidR="008B503C" w:rsidRDefault="005F2280" w:rsidP="00A32A7E">
      <w:pPr>
        <w:pStyle w:val="Odstavecseseznamem"/>
        <w:numPr>
          <w:ilvl w:val="0"/>
          <w:numId w:val="60"/>
        </w:numPr>
      </w:pPr>
      <w:r>
        <w:t>V</w:t>
      </w:r>
      <w:r w:rsidRPr="005F2280">
        <w:t xml:space="preserve">ěcné zaměření </w:t>
      </w:r>
      <w:r w:rsidR="00C97F74">
        <w:t xml:space="preserve">programů / výzev </w:t>
      </w:r>
      <w:r w:rsidR="008B503C">
        <w:t>v souladu s legislativou daných EU zdrojů</w:t>
      </w:r>
    </w:p>
    <w:p w14:paraId="3D6609AF" w14:textId="5EB8657B" w:rsidR="005F2280" w:rsidRDefault="008B503C" w:rsidP="00A32A7E">
      <w:pPr>
        <w:pStyle w:val="Odstavecseseznamem"/>
        <w:numPr>
          <w:ilvl w:val="0"/>
          <w:numId w:val="60"/>
        </w:numPr>
      </w:pPr>
      <w:r>
        <w:t>O</w:t>
      </w:r>
      <w:r w:rsidR="005F2280" w:rsidRPr="005F2280">
        <w:t>mezení opatření</w:t>
      </w:r>
      <w:r w:rsidR="005F2280">
        <w:t xml:space="preserve"> (zejm. vyloučení podpor určitých opatření)</w:t>
      </w:r>
    </w:p>
    <w:p w14:paraId="5211E718" w14:textId="4C93F6FD" w:rsidR="008B503C" w:rsidRDefault="008B503C" w:rsidP="00A32A7E">
      <w:pPr>
        <w:pStyle w:val="Odstavecseseznamem"/>
        <w:numPr>
          <w:ilvl w:val="0"/>
          <w:numId w:val="60"/>
        </w:numPr>
      </w:pPr>
      <w:r>
        <w:t>Soulad s pravidly EU pro státní podporu</w:t>
      </w:r>
    </w:p>
    <w:p w14:paraId="1E86DFDF" w14:textId="4E49139E" w:rsidR="00945C98" w:rsidRDefault="00945C98" w:rsidP="00A32A7E">
      <w:pPr>
        <w:pStyle w:val="Odstavecseseznamem"/>
        <w:numPr>
          <w:ilvl w:val="0"/>
          <w:numId w:val="60"/>
        </w:numPr>
      </w:pPr>
      <w:r>
        <w:t>Deklarace administrace EU fondů tak, aby projekty byly v souladu s environmentální legislativou</w:t>
      </w:r>
    </w:p>
    <w:p w14:paraId="06622045" w14:textId="27896245" w:rsidR="00945C98" w:rsidRDefault="00945C98" w:rsidP="00A32A7E">
      <w:pPr>
        <w:pStyle w:val="Odstavecseseznamem"/>
        <w:numPr>
          <w:ilvl w:val="0"/>
          <w:numId w:val="60"/>
        </w:numPr>
      </w:pPr>
      <w:r>
        <w:t xml:space="preserve">Určení </w:t>
      </w:r>
      <w:r w:rsidRPr="00945C98">
        <w:t>koeficientů pro výpočet podpory na plnění cílů v oblasti změny klimatu a koeficientů pro výpočet podpory na plnění environmentálních cílů rozpočtu EU k příslušným environmentálním cílům</w:t>
      </w:r>
      <w:r>
        <w:t xml:space="preserve"> ke specifickým cílům (</w:t>
      </w:r>
      <w:proofErr w:type="spellStart"/>
      <w:r>
        <w:t>tagování</w:t>
      </w:r>
      <w:proofErr w:type="spellEnd"/>
      <w:r>
        <w:t xml:space="preserve"> příspěvku k cílům ochrany klimatu a environmentálním cílům)</w:t>
      </w:r>
    </w:p>
    <w:p w14:paraId="70D3A0B1" w14:textId="4369A75B" w:rsidR="00945C98" w:rsidRDefault="00945C98" w:rsidP="00A32A7E">
      <w:pPr>
        <w:pStyle w:val="Odstavecseseznamem"/>
        <w:numPr>
          <w:ilvl w:val="0"/>
          <w:numId w:val="60"/>
        </w:numPr>
      </w:pPr>
      <w:r>
        <w:t>Deklarace vyhodnocení DNSH, stanovení podmínek a provádění prověřování z hlediska klimatického dopadu</w:t>
      </w:r>
    </w:p>
    <w:p w14:paraId="32B4A3EB" w14:textId="1B87D395" w:rsidR="00945C98" w:rsidRDefault="00945C98" w:rsidP="00A32A7E">
      <w:pPr>
        <w:pStyle w:val="Odstavecseseznamem"/>
        <w:numPr>
          <w:ilvl w:val="1"/>
          <w:numId w:val="60"/>
        </w:numPr>
      </w:pPr>
      <w:r>
        <w:t>Míra detailu je odvislá od požadované dokumentace programů EU zdrojů, např. v případě Národního plánu obnovy byly podmínky DNSH již součástí příloh, které byly společně s plánem schvalovány a předkládány EK, v případě kohezní politiky se uváděly obecné deklarace či rámcové vymezení DNSH.</w:t>
      </w:r>
    </w:p>
    <w:p w14:paraId="23F5D107" w14:textId="5DE2AD53" w:rsidR="00945C98" w:rsidRDefault="00945C98" w:rsidP="00A32A7E">
      <w:pPr>
        <w:pStyle w:val="Odstavecseseznamem"/>
        <w:numPr>
          <w:ilvl w:val="1"/>
          <w:numId w:val="60"/>
        </w:numPr>
      </w:pPr>
      <w:r>
        <w:lastRenderedPageBreak/>
        <w:t>Obecně však tato Rámcová vodítka předpokládají stanovení přesného detailu podmínek DNS</w:t>
      </w:r>
      <w:r w:rsidR="00893A60">
        <w:t>H</w:t>
      </w:r>
      <w:r>
        <w:t xml:space="preserve"> a provádění prověřování z hlediska klimatického dopadu při vytváření konkrétních výzev a pravidel pro žadatele (viz kapitola 4).</w:t>
      </w:r>
    </w:p>
    <w:p w14:paraId="1335CF54" w14:textId="2BD4391B" w:rsidR="00602DCA" w:rsidRDefault="00C5530C">
      <w:pPr>
        <w:rPr>
          <w:b/>
          <w:bCs/>
        </w:rPr>
      </w:pPr>
      <w:r>
        <w:rPr>
          <w:b/>
          <w:bCs/>
        </w:rPr>
        <w:t>Administrace EU fondů</w:t>
      </w:r>
      <w:r w:rsidR="00893A60">
        <w:rPr>
          <w:b/>
          <w:bCs/>
        </w:rPr>
        <w:t>,</w:t>
      </w:r>
      <w:r>
        <w:rPr>
          <w:b/>
          <w:bCs/>
        </w:rPr>
        <w:t xml:space="preserve"> a tedy i vyhodnocení (a následná implementace) DNSH a CP je nastavována zejm. těmito organizačními útvary:</w:t>
      </w:r>
    </w:p>
    <w:p w14:paraId="125F7667" w14:textId="05601792" w:rsidR="00602DCA" w:rsidRDefault="00C5530C" w:rsidP="00A32A7E">
      <w:pPr>
        <w:numPr>
          <w:ilvl w:val="0"/>
          <w:numId w:val="7"/>
        </w:numPr>
      </w:pPr>
      <w:r>
        <w:rPr>
          <w:b/>
        </w:rPr>
        <w:t>Věcné útvary</w:t>
      </w:r>
      <w:r>
        <w:t xml:space="preserve">, které navrhují oblasti a potřeby podpor – DNSH a CP je nutné zohlednit již při přípravě programů a počítat s tím, že některé oblasti </w:t>
      </w:r>
      <w:r w:rsidR="00C97F74">
        <w:t xml:space="preserve">jsou z podpory vyloučeny, některé </w:t>
      </w:r>
      <w:r>
        <w:t>budou mít zpřísněné podmínky nebo je nebude možné realizovat bez dodatečných opatření.</w:t>
      </w:r>
    </w:p>
    <w:p w14:paraId="734DF953" w14:textId="7A7D8633" w:rsidR="00602DCA" w:rsidRDefault="00C5530C" w:rsidP="00A32A7E">
      <w:pPr>
        <w:numPr>
          <w:ilvl w:val="0"/>
          <w:numId w:val="7"/>
        </w:numPr>
      </w:pPr>
      <w:r>
        <w:rPr>
          <w:b/>
        </w:rPr>
        <w:t xml:space="preserve">Útvary připravující programy a konkrétní výzvy </w:t>
      </w:r>
      <w:r>
        <w:t xml:space="preserve">– DNSH a CP je nutné zohlednit jak v obecné programové dokumentaci, tak ve výzvách, tzn. vyjasnit, jak budou výzvy upraveny, aby DNSH a CP naplnily. Pro plnění DNSH není postačující pouze deklarace v rámci programové dokumentace, jedná se o horizontální zásadu dle čl. 9 odst. 4 obecného nařízení a mělo by k němu být přistupováno minimálně ve stejném rozsahu jako k ostatním zásadám, tzn. </w:t>
      </w:r>
      <w:r w:rsidR="00C97F74">
        <w:t xml:space="preserve">zásada DNSH by </w:t>
      </w:r>
      <w:r>
        <w:t>měl</w:t>
      </w:r>
      <w:r w:rsidR="00C97F74">
        <w:t>a</w:t>
      </w:r>
      <w:r>
        <w:t xml:space="preserve"> být vhodně implementován</w:t>
      </w:r>
      <w:r w:rsidR="00C97F74">
        <w:t>a</w:t>
      </w:r>
      <w:r>
        <w:t xml:space="preserve"> do celého cyklu administrace fondů. CP je povinností dle čl. 73 odst. 2 písm. j) obecného nařízení jako povinnost </w:t>
      </w:r>
      <w:r w:rsidR="006258CF" w:rsidRPr="006258CF">
        <w:t>administrátor</w:t>
      </w:r>
      <w:r w:rsidR="006258CF">
        <w:t>a</w:t>
      </w:r>
      <w:r w:rsidR="006258CF" w:rsidRPr="006258CF">
        <w:t xml:space="preserve"> EU </w:t>
      </w:r>
      <w:r w:rsidR="006258CF">
        <w:t>zdrojů</w:t>
      </w:r>
      <w:r>
        <w:t xml:space="preserve"> zajistit prověřování infrastruktury z hlediska klimatického dopadu při výběru operací.</w:t>
      </w:r>
    </w:p>
    <w:p w14:paraId="1162CFEE" w14:textId="3C923F53" w:rsidR="00602DCA" w:rsidRDefault="00930C22" w:rsidP="00A32A7E">
      <w:pPr>
        <w:numPr>
          <w:ilvl w:val="0"/>
          <w:numId w:val="7"/>
        </w:numPr>
      </w:pPr>
      <w:r>
        <w:rPr>
          <w:b/>
        </w:rPr>
        <w:t>Administrátoři zdrojů EU (</w:t>
      </w:r>
      <w:r w:rsidR="00C5530C">
        <w:rPr>
          <w:b/>
        </w:rPr>
        <w:t>konkrétních výzev / opatření / komponent</w:t>
      </w:r>
      <w:r>
        <w:rPr>
          <w:b/>
        </w:rPr>
        <w:t>)</w:t>
      </w:r>
      <w:r w:rsidR="00C5530C">
        <w:rPr>
          <w:b/>
        </w:rPr>
        <w:t xml:space="preserve"> </w:t>
      </w:r>
      <w:r w:rsidR="00C5530C">
        <w:t xml:space="preserve">– měly by být zavedeny adekvátní systémy evidence a kontroly, v případě NPO reporting dle </w:t>
      </w:r>
      <w:r w:rsidR="0033787E" w:rsidRPr="0033787E">
        <w:t>Metodick</w:t>
      </w:r>
      <w:r w:rsidR="0033787E">
        <w:t>ého</w:t>
      </w:r>
      <w:r w:rsidR="0033787E" w:rsidRPr="0033787E">
        <w:t xml:space="preserve"> pokyn</w:t>
      </w:r>
      <w:r w:rsidR="0033787E">
        <w:t>u</w:t>
      </w:r>
      <w:r w:rsidR="0033787E" w:rsidRPr="0033787E">
        <w:t xml:space="preserve"> pro uplatňování zásady DNSH pro Národní plán obnovy na období 2021–2026</w:t>
      </w:r>
      <w:r w:rsidR="0056543A">
        <w:t xml:space="preserve"> </w:t>
      </w:r>
      <w:r w:rsidR="00C5530C">
        <w:t xml:space="preserve">atd. </w:t>
      </w:r>
    </w:p>
    <w:p w14:paraId="608CAA7B" w14:textId="29094B66" w:rsidR="00C97F74" w:rsidRDefault="00C97F74" w:rsidP="00E93518">
      <w:r>
        <w:t>Dále je DNSH součástí auditů a kontrol ve vazbě právě na povinný legislativní rámec EU fondů.</w:t>
      </w:r>
    </w:p>
    <w:p w14:paraId="65943D4F" w14:textId="073B8426" w:rsidR="00D72584" w:rsidRDefault="00D72584" w:rsidP="00D72584">
      <w:pPr>
        <w:pStyle w:val="Nadpis2"/>
      </w:pPr>
      <w:bookmarkStart w:id="38" w:name="_Soulad_s_environmentální"/>
      <w:bookmarkStart w:id="39" w:name="_Toc210046023"/>
      <w:bookmarkEnd w:id="38"/>
      <w:r>
        <w:t>Soulad s environmentální legislativou</w:t>
      </w:r>
      <w:r w:rsidR="00F22E66">
        <w:t xml:space="preserve"> na strategické úrovni</w:t>
      </w:r>
      <w:r w:rsidR="00640F46">
        <w:t xml:space="preserve"> (na úrovni programu)</w:t>
      </w:r>
      <w:bookmarkEnd w:id="39"/>
    </w:p>
    <w:p w14:paraId="3A60380D" w14:textId="3A838FAC" w:rsidR="00BA2095" w:rsidRDefault="00F22E66" w:rsidP="00F22E66">
      <w:r w:rsidRPr="00D77C59">
        <w:t xml:space="preserve">Postup se vztahuje zejména ke koncepcím podléhajícím strategickému posouzení vlivů na životní </w:t>
      </w:r>
      <w:r w:rsidR="00BA2095">
        <w:t>prostředí (SEA) dle směrnice 2001/42/ES</w:t>
      </w:r>
      <w:r>
        <w:t>.</w:t>
      </w:r>
      <w:r w:rsidR="00BA2095">
        <w:t xml:space="preserve"> </w:t>
      </w:r>
      <w:r>
        <w:t>S</w:t>
      </w:r>
      <w:r w:rsidR="00BA2095">
        <w:t xml:space="preserve">tanovisko SEA </w:t>
      </w:r>
      <w:r>
        <w:t xml:space="preserve">v takovém případě </w:t>
      </w:r>
      <w:r w:rsidR="00BA2095">
        <w:t>není závazné, a</w:t>
      </w:r>
      <w:r>
        <w:t>le</w:t>
      </w:r>
      <w:r w:rsidR="00BA2095">
        <w:t> v případě, že nebudou požadavky splněny a koncepce nebude náležitě upravena, musí být tento postup řádně odůvodněn. P</w:t>
      </w:r>
      <w:r>
        <w:t>řestože p</w:t>
      </w:r>
      <w:r w:rsidR="00BA2095">
        <w:t>ožadavky stanovené na úrovni SEA nemohou dostatečně prokázat soulad s DNSH na úrovni nastavení výzvy a CP na úrovni projektu</w:t>
      </w:r>
      <w:r w:rsidR="009E4106">
        <w:t>, výstupy</w:t>
      </w:r>
      <w:r w:rsidR="00BA2095">
        <w:t xml:space="preserve"> procesu SEA (strategického hodnocení) </w:t>
      </w:r>
      <w:r w:rsidR="009E4106">
        <w:t>mohou být</w:t>
      </w:r>
      <w:r w:rsidR="00BA2095">
        <w:t xml:space="preserve"> nápomocné pro zohlednění hlediska dopadů na životní prostředí na strategické úrovni.</w:t>
      </w:r>
    </w:p>
    <w:p w14:paraId="741A64B9" w14:textId="3B136F04" w:rsidR="009E4106" w:rsidRDefault="00BA2095" w:rsidP="00BA2095">
      <w:r>
        <w:t xml:space="preserve">Proces posuzování vlivů koncepcí na životní prostředí (tzv. proces SEA) se provádí postupy dle směrnice 2001/42/EC, v českých podmínkách dle zákona č. 100/2001 Sb., o posuzování vlivů na životní prostředí a o změně některých souvisejících zákonů (zákon o posuzování vlivů na životní prostředí) ve znění pozdějších předpisů, a to nezávisle na povinnosti provedení DNSH. Ve výše jmenovaných právních předpisech je rovněž stanoven rámcový obsah vyhodnocení vlivů koncepce na životní prostředí a veřejné zdraví (dále jen „vyhodnocení SEA“), které se provádí ve stejné podrobnosti, v jaké je zpracována posuzovaná koncepce. </w:t>
      </w:r>
      <w:r w:rsidR="00D22367">
        <w:t xml:space="preserve">Způsob plnění </w:t>
      </w:r>
      <w:r w:rsidR="00D22367">
        <w:lastRenderedPageBreak/>
        <w:t xml:space="preserve">výstupů SEA ze strany předkladatele OP je uveden v </w:t>
      </w:r>
      <w:r w:rsidR="00D22367" w:rsidRPr="00D22367">
        <w:t>Prohlášení dle §10g odst. 4 a 5 zákona č.</w:t>
      </w:r>
      <w:r w:rsidR="00434820">
        <w:t> </w:t>
      </w:r>
      <w:r w:rsidR="00574904">
        <w:t xml:space="preserve">100/2001 Sb., o posuzování vlivů na životní prostředí </w:t>
      </w:r>
      <w:r w:rsidR="00574904" w:rsidRPr="00416A2A">
        <w:t>a o změně některých souvisejících zákonů</w:t>
      </w:r>
      <w:r w:rsidR="00574904">
        <w:t>, ve znění pozdějších předpisů.</w:t>
      </w:r>
      <w:r w:rsidR="00FB2A0F">
        <w:t xml:space="preserve"> </w:t>
      </w:r>
    </w:p>
    <w:p w14:paraId="18532277" w14:textId="30C3D0A1" w:rsidR="00BA2095" w:rsidRPr="00E066A8" w:rsidRDefault="00BA2095" w:rsidP="00BA2095">
      <w:r>
        <w:t xml:space="preserve">Konkrétní rozsah a obsah vyhodnocení SEA je pak v rámci zjišťovacího řízení stanovován individuálně dle charakteru (obsahu a zaměření) každé posuzované koncepce. V případech, kdy zpracované vyhodnocení SEA či jeho relevantní části odpovídají požadavkům DNSH, je možné odkázat se na ně a na výsledky procesu SEA v rámci plnění DNSH na strategické úrovni, nicméně tyto záruky je nutné vhodně implementovat v konkrétní podobě do podmínek výzev (resp. obdobně jako jiné podmínky DNSH). Posouzení dostatečnosti a souladu vyhodnocení </w:t>
      </w:r>
      <w:r w:rsidRPr="00E066A8">
        <w:t>SEA či jeho částí s požadavky DNSH je v kompetenci předkladatele dané koncepce.</w:t>
      </w:r>
      <w:r w:rsidR="00D22367" w:rsidRPr="00E066A8">
        <w:t xml:space="preserve"> </w:t>
      </w:r>
    </w:p>
    <w:p w14:paraId="485DFD9B" w14:textId="7B3931CB" w:rsidR="00BA2095" w:rsidRPr="00E066A8" w:rsidRDefault="00BA2095" w:rsidP="00BA2095">
      <w:pPr>
        <w:rPr>
          <w:b/>
        </w:rPr>
      </w:pPr>
      <w:r w:rsidRPr="00E066A8">
        <w:rPr>
          <w:b/>
        </w:rPr>
        <w:t>Dodržování platných právních předpisů EU a vnitrostátních environmentálních právních předpisů je samostatnou povinností</w:t>
      </w:r>
      <w:r w:rsidR="00C1144E" w:rsidRPr="00D77C59">
        <w:rPr>
          <w:b/>
        </w:rPr>
        <w:t xml:space="preserve"> při administraci EU fondů</w:t>
      </w:r>
      <w:r w:rsidRPr="00E066A8">
        <w:rPr>
          <w:b/>
        </w:rPr>
        <w:t xml:space="preserve">, dokladování souladu s legislativou </w:t>
      </w:r>
      <w:r w:rsidR="00392182" w:rsidRPr="00E066A8">
        <w:rPr>
          <w:b/>
        </w:rPr>
        <w:t xml:space="preserve">na úrovni projektu </w:t>
      </w:r>
      <w:r w:rsidRPr="00E066A8">
        <w:rPr>
          <w:b/>
        </w:rPr>
        <w:t xml:space="preserve">je na rozhodnutí a dosavadní praxi příslušného </w:t>
      </w:r>
      <w:r w:rsidR="004818B6">
        <w:rPr>
          <w:b/>
        </w:rPr>
        <w:t>administrátora zdrojů EU</w:t>
      </w:r>
      <w:r w:rsidR="00392182" w:rsidRPr="00E066A8">
        <w:rPr>
          <w:b/>
        </w:rPr>
        <w:t xml:space="preserve">, pokud není rozvedena potřeba v rámci administrace EU </w:t>
      </w:r>
      <w:r w:rsidR="004818B6">
        <w:rPr>
          <w:b/>
        </w:rPr>
        <w:t>zdrojů</w:t>
      </w:r>
      <w:r w:rsidR="004818B6" w:rsidRPr="00E066A8">
        <w:rPr>
          <w:b/>
        </w:rPr>
        <w:t xml:space="preserve"> </w:t>
      </w:r>
      <w:r w:rsidR="00392182" w:rsidRPr="00E066A8">
        <w:rPr>
          <w:b/>
        </w:rPr>
        <w:t>specifická kontrola požadavků vyplývajících z</w:t>
      </w:r>
      <w:r w:rsidR="00C1144E" w:rsidRPr="00D77C59">
        <w:rPr>
          <w:b/>
        </w:rPr>
        <w:t> </w:t>
      </w:r>
      <w:r w:rsidR="00392182" w:rsidRPr="00E066A8">
        <w:rPr>
          <w:b/>
        </w:rPr>
        <w:t>legislativy</w:t>
      </w:r>
      <w:r w:rsidR="00C1144E" w:rsidRPr="00D77C59">
        <w:rPr>
          <w:b/>
        </w:rPr>
        <w:t xml:space="preserve"> s vazbou na DNSH (např. ad provedení opatření ve vazbě na EIA a JES)</w:t>
      </w:r>
      <w:r w:rsidRPr="00E066A8">
        <w:rPr>
          <w:b/>
        </w:rPr>
        <w:t>.</w:t>
      </w:r>
    </w:p>
    <w:p w14:paraId="0300F305" w14:textId="7B37315D" w:rsidR="00D72584" w:rsidRPr="00A84314" w:rsidRDefault="00C1144E" w:rsidP="00D72584">
      <w:r w:rsidRPr="00D77C59">
        <w:rPr>
          <w:b/>
        </w:rPr>
        <w:t xml:space="preserve">Fakultativně se doporučuje zvážit </w:t>
      </w:r>
      <w:r w:rsidR="00392182" w:rsidRPr="00E066A8">
        <w:rPr>
          <w:b/>
        </w:rPr>
        <w:t>d</w:t>
      </w:r>
      <w:r w:rsidR="00D72584" w:rsidRPr="00E066A8">
        <w:rPr>
          <w:b/>
        </w:rPr>
        <w:t xml:space="preserve">okládání žadatele </w:t>
      </w:r>
      <w:r w:rsidRPr="00D77C59">
        <w:rPr>
          <w:b/>
        </w:rPr>
        <w:t>jako subjektu,</w:t>
      </w:r>
      <w:r w:rsidR="00D72584" w:rsidRPr="00E066A8">
        <w:rPr>
          <w:b/>
        </w:rPr>
        <w:t xml:space="preserve"> zda </w:t>
      </w:r>
      <w:r w:rsidRPr="00D77C59">
        <w:rPr>
          <w:b/>
        </w:rPr>
        <w:t xml:space="preserve">neporušuje environmentální </w:t>
      </w:r>
      <w:r w:rsidR="00D72584" w:rsidRPr="00E066A8">
        <w:rPr>
          <w:b/>
        </w:rPr>
        <w:t>legislativu</w:t>
      </w:r>
      <w:r w:rsidR="00D72584" w:rsidRPr="00E066A8">
        <w:t xml:space="preserve"> – </w:t>
      </w:r>
      <w:r w:rsidRPr="00D77C59">
        <w:t xml:space="preserve">např. </w:t>
      </w:r>
      <w:r w:rsidR="00D72584" w:rsidRPr="00E066A8">
        <w:t xml:space="preserve">v podobě čestného prohlášení žadatele, že proti němu nejsou vedena řízení za porušení povinností spojených s ochranou životního prostředí </w:t>
      </w:r>
      <w:r w:rsidRPr="00D77C59">
        <w:t xml:space="preserve">(např. ze strany ČIŽP a jiných kontrolních orgánů) </w:t>
      </w:r>
      <w:r w:rsidR="00D72584" w:rsidRPr="00E066A8">
        <w:t xml:space="preserve">a klimatu </w:t>
      </w:r>
      <w:r w:rsidRPr="00D77C59">
        <w:t xml:space="preserve">(ve smyslu, že </w:t>
      </w:r>
      <w:r w:rsidR="00D72584" w:rsidRPr="00E066A8">
        <w:t>nemá nedoplatky za povolenky na emise skleníkových plynů</w:t>
      </w:r>
      <w:r w:rsidRPr="00D77C59">
        <w:t>)</w:t>
      </w:r>
      <w:r w:rsidR="00D72584" w:rsidRPr="00E066A8">
        <w:t>.</w:t>
      </w:r>
    </w:p>
    <w:p w14:paraId="0E93B7A6" w14:textId="3BE8C5F0" w:rsidR="00D72584" w:rsidRDefault="00D72584" w:rsidP="00D72584">
      <w:pPr>
        <w:pStyle w:val="Nadpis2"/>
      </w:pPr>
      <w:bookmarkStart w:id="40" w:name="_Toc210046024"/>
      <w:r>
        <w:t>Stanovení koeficientů</w:t>
      </w:r>
      <w:r w:rsidRPr="00D72584">
        <w:t xml:space="preserve"> pro výpočet podpory na plnění cílů v oblasti změny klimatu a koeficientů pro výpočet podpory na plnění environmentálních cílů rozpočtu EU k příslušným environmentálním cílům</w:t>
      </w:r>
      <w:bookmarkEnd w:id="40"/>
    </w:p>
    <w:p w14:paraId="450379A6" w14:textId="5C382F5B" w:rsidR="00D72584" w:rsidRDefault="00D72584" w:rsidP="00D72584">
      <w:r>
        <w:t xml:space="preserve">Na úrovni programu stanovuje administrátor </w:t>
      </w:r>
      <w:r w:rsidR="001F2A00">
        <w:t>EU zdrojů</w:t>
      </w:r>
      <w:r>
        <w:t xml:space="preserve"> koeficienty pro výpočet podpory na plnění cílů v oblasti změny klimatu a koeficientů pro výpočet podpory na plnění environmentálních cílů rozpočtu EU k příslušným environmentálním cílům. S těmito koeficienty se dále pracuje v rámci vyhodnocení DNSH a CP a stanovení podmínek a postupů pro žadatele.</w:t>
      </w:r>
      <w:r w:rsidR="0056543A">
        <w:t xml:space="preserve"> Přirazení relevantních koeficientů k hospodářským činnostem je obsaženo v tabulce v </w:t>
      </w:r>
      <w:hyperlink w:anchor="_Přiřazení_relevance_koeficientů" w:history="1">
        <w:r w:rsidR="0056543A" w:rsidRPr="005E539C">
          <w:rPr>
            <w:rStyle w:val="Hypertextovodkaz"/>
          </w:rPr>
          <w:t>příloze 5.</w:t>
        </w:r>
        <w:r w:rsidR="0056543A">
          <w:rPr>
            <w:rStyle w:val="Hypertextovodkaz"/>
          </w:rPr>
          <w:t>5</w:t>
        </w:r>
      </w:hyperlink>
      <w:r w:rsidR="0056543A">
        <w:t>.</w:t>
      </w:r>
    </w:p>
    <w:p w14:paraId="4F7D78B2" w14:textId="011286A7" w:rsidR="00D72584" w:rsidRDefault="00D72584" w:rsidP="00D72584">
      <w:pPr>
        <w:pStyle w:val="Nadpis2"/>
      </w:pPr>
      <w:bookmarkStart w:id="41" w:name="_Toc210046025"/>
      <w:r>
        <w:t>Soulad s pravidly EU pro státní podporu</w:t>
      </w:r>
      <w:bookmarkEnd w:id="41"/>
    </w:p>
    <w:p w14:paraId="595BBB25" w14:textId="4A056B7D" w:rsidR="00D72584" w:rsidRPr="00D72584" w:rsidRDefault="00D72584" w:rsidP="000F5C0D">
      <w:r>
        <w:t xml:space="preserve">Programy a zamýšlené podpory opatření musí být v souladu s pravidly EU pro státní podporu. Tato pravidla zahrnují některá ustanovení, která se týkají ochrany klimatu a životního prostředí – přehled těchto ustanovení viz </w:t>
      </w:r>
      <w:hyperlink w:anchor="_Přehled_environmentálních_podmínek" w:history="1">
        <w:r w:rsidR="000510DB" w:rsidRPr="00BF3921">
          <w:rPr>
            <w:rStyle w:val="Hypertextovodkaz"/>
            <w:b/>
            <w:bCs/>
          </w:rPr>
          <w:t>5.</w:t>
        </w:r>
        <w:r w:rsidR="009775B8">
          <w:rPr>
            <w:rStyle w:val="Hypertextovodkaz"/>
            <w:b/>
            <w:bCs/>
          </w:rPr>
          <w:t xml:space="preserve">6 </w:t>
        </w:r>
        <w:r w:rsidR="000510DB" w:rsidRPr="00BF3921">
          <w:rPr>
            <w:rStyle w:val="Hypertextovodkaz"/>
            <w:b/>
            <w:bCs/>
          </w:rPr>
          <w:t>Přehled environmentálních podmínek ukotvených v rámci pravidel veřejné podpory</w:t>
        </w:r>
      </w:hyperlink>
      <w:r>
        <w:t>.</w:t>
      </w:r>
    </w:p>
    <w:p w14:paraId="16CF8ACC" w14:textId="77777777" w:rsidR="00602DCA" w:rsidRDefault="00602DCA"/>
    <w:p w14:paraId="330C6377" w14:textId="675DB19E" w:rsidR="00602DCA" w:rsidRDefault="00C5530C">
      <w:pPr>
        <w:pStyle w:val="Nadpis2"/>
      </w:pPr>
      <w:bookmarkStart w:id="42" w:name="_Toc116428046"/>
      <w:bookmarkStart w:id="43" w:name="_Toc210046026"/>
      <w:r>
        <w:lastRenderedPageBreak/>
        <w:t>Vyhodnocení souladu s DNSH na programové úrovni</w:t>
      </w:r>
      <w:bookmarkEnd w:id="43"/>
      <w:r>
        <w:t xml:space="preserve"> </w:t>
      </w:r>
      <w:bookmarkEnd w:id="42"/>
    </w:p>
    <w:p w14:paraId="7D509E46" w14:textId="3817D6AD" w:rsidR="00602DCA" w:rsidRDefault="00C5530C">
      <w:r>
        <w:rPr>
          <w:b/>
        </w:rPr>
        <w:t>V případě Nástroje pro oživení a odolnost</w:t>
      </w:r>
      <w:r>
        <w:t xml:space="preserve"> je vyhodnocení DNSH formalizováno a postupuje se dle </w:t>
      </w:r>
      <w:r w:rsidR="0033787E" w:rsidRPr="0033787E">
        <w:t>Metodick</w:t>
      </w:r>
      <w:r w:rsidR="0033787E">
        <w:t>ého</w:t>
      </w:r>
      <w:r w:rsidR="0033787E" w:rsidRPr="0033787E">
        <w:t xml:space="preserve"> pokyn</w:t>
      </w:r>
      <w:r w:rsidR="0033787E">
        <w:t>u</w:t>
      </w:r>
      <w:r w:rsidR="0033787E" w:rsidRPr="0033787E">
        <w:t xml:space="preserve"> pro uplatňování zásady DNSH pro Národní plán obnovy na období 2021–2026</w:t>
      </w:r>
      <w:r>
        <w:t>, CP není povinný, ale doporučený. Procesní náležitosti dále určuje Metodický pokyn pro uplatňování zásady DNSH pro Národní plán obnovy na období 2021–2026</w:t>
      </w:r>
      <w:r>
        <w:rPr>
          <w:rStyle w:val="Znakapoznpodarou"/>
        </w:rPr>
        <w:footnoteReference w:id="21"/>
      </w:r>
      <w:r>
        <w:t>, tato rámcová vodítka specifikují věcný obsah podmínek a možností jejich implementace.</w:t>
      </w:r>
    </w:p>
    <w:p w14:paraId="18D4DFAA" w14:textId="6C5F8C66" w:rsidR="00602DCA" w:rsidRDefault="00C5530C">
      <w:pPr>
        <w:rPr>
          <w:b/>
        </w:rPr>
      </w:pPr>
      <w:r>
        <w:rPr>
          <w:b/>
        </w:rPr>
        <w:t>V případě politiky soudržnosti</w:t>
      </w:r>
      <w:r>
        <w:t xml:space="preserve"> pro proces vyhodnocení na úrovni OP – resp. specifického cíle se postupuje obdobně dle vodítek pro DNSH pro RRF, přičemž v rámci politiky soudržnosti není nutné provádět </w:t>
      </w:r>
      <w:proofErr w:type="spellStart"/>
      <w:r>
        <w:t>dvoukrokové</w:t>
      </w:r>
      <w:proofErr w:type="spellEnd"/>
      <w:r>
        <w:t xml:space="preserve"> hodnocení (vodítka pro hodnocení DNSH pro RRF ukládají dva kroky – 1) zda opatření v rámci daného specifického cíle mohou mít environmentální dopady, a pokud ano, tak 2) přejít k druhému kroku, kdy mají být specifikovány konkrétní podmínky). </w:t>
      </w:r>
      <w:r>
        <w:rPr>
          <w:b/>
        </w:rPr>
        <w:t xml:space="preserve">V případě fondů politiky soudržnosti se pro fázi vyhodnocení doporučuje volnější formát, proto je možné rovnou uvést, zda daný SC zahrnuje opatření, pro která jsou stanoveny podmínky DNSH, a zároveň zda obsahuje opatření podléhající CP – zohlednění DNSH v podobě konkrétních podmínek a CP tam, kde je </w:t>
      </w:r>
      <w:r w:rsidR="00C97F74">
        <w:rPr>
          <w:b/>
        </w:rPr>
        <w:t xml:space="preserve">nutné podmínky vymezit pro </w:t>
      </w:r>
      <w:r>
        <w:rPr>
          <w:b/>
        </w:rPr>
        <w:t>žadatele</w:t>
      </w:r>
      <w:r w:rsidR="00C97F74">
        <w:rPr>
          <w:b/>
        </w:rPr>
        <w:t xml:space="preserve"> (s dopadem na způsob provedení projektů)</w:t>
      </w:r>
      <w:r>
        <w:rPr>
          <w:b/>
        </w:rPr>
        <w:t>, by mělo být poté jasně a konkrétně implementováno v podmínkách a nastavení výzev, a</w:t>
      </w:r>
      <w:r w:rsidR="003E55C2">
        <w:rPr>
          <w:b/>
        </w:rPr>
        <w:t> </w:t>
      </w:r>
      <w:r>
        <w:rPr>
          <w:b/>
        </w:rPr>
        <w:t>v pravidlech pro žadatele.</w:t>
      </w:r>
    </w:p>
    <w:p w14:paraId="5FCEE246" w14:textId="0829D93E" w:rsidR="00485DCF" w:rsidRDefault="00485DCF">
      <w:pPr>
        <w:rPr>
          <w:bCs/>
        </w:rPr>
      </w:pPr>
      <w:r>
        <w:rPr>
          <w:b/>
        </w:rPr>
        <w:t xml:space="preserve">V případě Modernizačního fondu </w:t>
      </w:r>
      <w:r>
        <w:rPr>
          <w:bCs/>
        </w:rPr>
        <w:t xml:space="preserve">podléhá schvalování schémat EIB, konkrétní formát vyhodnocení není stanoven, resp. předpokládá se implementace technických kritérií taxonomie dle přílohy pro zásadní přispění </w:t>
      </w:r>
      <w:r w:rsidR="00F75CB7">
        <w:rPr>
          <w:bCs/>
        </w:rPr>
        <w:t xml:space="preserve">ke </w:t>
      </w:r>
      <w:r w:rsidR="00714BCA">
        <w:rPr>
          <w:bCs/>
        </w:rPr>
        <w:t xml:space="preserve">zmírňování </w:t>
      </w:r>
      <w:r>
        <w:rPr>
          <w:bCs/>
        </w:rPr>
        <w:t>změny klimatu.</w:t>
      </w:r>
    </w:p>
    <w:p w14:paraId="1F37A46D" w14:textId="1394F50D" w:rsidR="00485DCF" w:rsidRPr="00485DCF" w:rsidRDefault="00485DCF">
      <w:pPr>
        <w:rPr>
          <w:bCs/>
        </w:rPr>
      </w:pPr>
      <w:r w:rsidRPr="00E93518">
        <w:rPr>
          <w:b/>
        </w:rPr>
        <w:t>V případě Sociálního klimatického fondu</w:t>
      </w:r>
      <w:r>
        <w:rPr>
          <w:bCs/>
        </w:rPr>
        <w:t xml:space="preserve"> je proces analogický k Nástroji pro oživení a odolnost, předpokládá se zpracování Sociálního klimatického plánu, který obsahuje explicitní kapitolu ohledně DNSH, a který podléhá schválení Evropskou komisí.</w:t>
      </w:r>
    </w:p>
    <w:p w14:paraId="39953687" w14:textId="77777777" w:rsidR="00602DCA" w:rsidRDefault="00602DCA"/>
    <w:p w14:paraId="2C59B49B" w14:textId="3CB0E56E" w:rsidR="00602DCA" w:rsidRDefault="00C5530C" w:rsidP="000F5C0D">
      <w:pPr>
        <w:keepNext/>
        <w:rPr>
          <w:b/>
        </w:rPr>
      </w:pPr>
      <w:r>
        <w:rPr>
          <w:b/>
        </w:rPr>
        <w:t xml:space="preserve">Obecné zásady při vyhodnocení DNSH a stanovení podmínek DNSH na úrovni </w:t>
      </w:r>
      <w:r w:rsidR="00D72584">
        <w:rPr>
          <w:b/>
        </w:rPr>
        <w:t>programu</w:t>
      </w:r>
      <w:r>
        <w:rPr>
          <w:b/>
        </w:rPr>
        <w:t>:</w:t>
      </w:r>
    </w:p>
    <w:p w14:paraId="087276CD" w14:textId="77777777" w:rsidR="00602DCA" w:rsidRDefault="00C5530C" w:rsidP="00A32A7E">
      <w:pPr>
        <w:pStyle w:val="Odstavecseseznamem"/>
        <w:numPr>
          <w:ilvl w:val="0"/>
          <w:numId w:val="9"/>
        </w:numPr>
      </w:pPr>
      <w:r>
        <w:t>Soulad s environmentální legislativou podporuje splnění DNSH, ale jde o postačující podmínku jen pro některé environmentální cíle a typy opatření, DNSH může jít nad rámec legislativy.</w:t>
      </w:r>
    </w:p>
    <w:p w14:paraId="2A445DCE" w14:textId="77777777" w:rsidR="00602DCA" w:rsidRDefault="00C5530C" w:rsidP="00A32A7E">
      <w:pPr>
        <w:pStyle w:val="Odstavecseseznamem"/>
        <w:numPr>
          <w:ilvl w:val="0"/>
          <w:numId w:val="9"/>
        </w:numPr>
      </w:pPr>
      <w:r>
        <w:t>Některá opatření nemají zásadní souvislost se životním prostředím (např. v oblasti školství, sociálních služeb, zdravotnictví apod.) – nicméně všechny hmotné části opatření musí být v souladu s DNSH (zejm. budovy, automobily).</w:t>
      </w:r>
    </w:p>
    <w:p w14:paraId="1BCF7EAE" w14:textId="591F9888" w:rsidR="00602DCA" w:rsidRDefault="00C5530C" w:rsidP="00A32A7E">
      <w:pPr>
        <w:pStyle w:val="Odstavecseseznamem"/>
        <w:numPr>
          <w:ilvl w:val="0"/>
          <w:numId w:val="9"/>
        </w:numPr>
      </w:pPr>
      <w:r>
        <w:t xml:space="preserve">V případě </w:t>
      </w:r>
      <w:r w:rsidR="00F6200E">
        <w:t xml:space="preserve">nastavení výzev tak, aby projekty plnily </w:t>
      </w:r>
      <w:r>
        <w:t>podmínk</w:t>
      </w:r>
      <w:r w:rsidR="00F6200E">
        <w:t>y</w:t>
      </w:r>
      <w:r>
        <w:t xml:space="preserve"> významného přínosu dle </w:t>
      </w:r>
      <w:r w:rsidR="00F6200E">
        <w:t xml:space="preserve">technických kritérií </w:t>
      </w:r>
      <w:r>
        <w:t xml:space="preserve">taxonomie není nutné pro tato opatření stanovovat další podmínky </w:t>
      </w:r>
      <w:proofErr w:type="gramStart"/>
      <w:r>
        <w:t xml:space="preserve">DNSH </w:t>
      </w:r>
      <w:r w:rsidR="00F6200E">
        <w:t>- platí</w:t>
      </w:r>
      <w:proofErr w:type="gramEnd"/>
      <w:r w:rsidR="00F6200E">
        <w:t xml:space="preserve"> však pouze </w:t>
      </w:r>
      <w:r>
        <w:t>pro ty cíle</w:t>
      </w:r>
      <w:r w:rsidR="00F6200E">
        <w:t xml:space="preserve">, které jsou implementovány s podmínkami </w:t>
      </w:r>
      <w:r w:rsidR="00F6200E">
        <w:lastRenderedPageBreak/>
        <w:t xml:space="preserve">zásadního přispění – </w:t>
      </w:r>
      <w:r>
        <w:t xml:space="preserve">podmínky taxonomie pro významný přínos představují konkrétní požadavky, které jako takové musí být v případě volby takové implementace zásady DNSH ze strany </w:t>
      </w:r>
      <w:r w:rsidR="007F68AD">
        <w:t>administrátora zdrojů EU</w:t>
      </w:r>
      <w:r>
        <w:t xml:space="preserve"> specifikovány a kontrolovány.</w:t>
      </w:r>
      <w:r w:rsidR="00F6200E">
        <w:t xml:space="preserve"> Podmínky DNSH dle technických kritérií taxonomie jsou pro DNSH v rámci EU fondů referenční a nemusí být nutně postačující.</w:t>
      </w:r>
      <w:r w:rsidR="00C03EEF">
        <w:t xml:space="preserve"> Rámcová vodítka však zahrnují některé podmínky, které nejsou plně pokryty kritérii taxonomie, doporučuje se proto postupovat dle zde představených postupů.</w:t>
      </w:r>
    </w:p>
    <w:p w14:paraId="023BA0B2" w14:textId="4D5A6F26" w:rsidR="00602DCA" w:rsidRDefault="00C5530C" w:rsidP="00A32A7E">
      <w:pPr>
        <w:pStyle w:val="Odstavecseseznamem"/>
        <w:numPr>
          <w:ilvl w:val="0"/>
          <w:numId w:val="9"/>
        </w:numPr>
      </w:pPr>
      <w:r>
        <w:t>Opatření, která mají 100% klimatický tag, splňují DNSH pouze vůči cíli zmírňování změny klimatu (</w:t>
      </w:r>
      <w:proofErr w:type="spellStart"/>
      <w:r>
        <w:t>mitigace</w:t>
      </w:r>
      <w:proofErr w:type="spellEnd"/>
      <w:r>
        <w:t xml:space="preserve">) nebo přizpůsobování se změně klimatu (adaptace) (dle povahy daného opatření). </w:t>
      </w:r>
      <w:r w:rsidR="00F6200E">
        <w:t>Obdobně v</w:t>
      </w:r>
      <w:r>
        <w:t xml:space="preserve"> případě </w:t>
      </w:r>
      <w:proofErr w:type="gramStart"/>
      <w:r>
        <w:t>100%</w:t>
      </w:r>
      <w:proofErr w:type="gramEnd"/>
      <w:r>
        <w:t xml:space="preserve"> environmentálního tagu je splněno DNSH bez dalších podmínek vždy pouze pro </w:t>
      </w:r>
      <w:proofErr w:type="spellStart"/>
      <w:r>
        <w:t>relevatní</w:t>
      </w:r>
      <w:proofErr w:type="spellEnd"/>
      <w:r>
        <w:t xml:space="preserve"> </w:t>
      </w:r>
      <w:proofErr w:type="spellStart"/>
      <w:r>
        <w:t>envi</w:t>
      </w:r>
      <w:proofErr w:type="spellEnd"/>
      <w:r>
        <w:t xml:space="preserve">. cíle. </w:t>
      </w:r>
      <w:proofErr w:type="spellStart"/>
      <w:r>
        <w:t>Tagování</w:t>
      </w:r>
      <w:proofErr w:type="spellEnd"/>
      <w:r>
        <w:t xml:space="preserve"> viz kapitola 2.1 a přiřazení relevantnosti koeficientů k </w:t>
      </w:r>
      <w:proofErr w:type="spellStart"/>
      <w:r>
        <w:t>envi</w:t>
      </w:r>
      <w:proofErr w:type="spellEnd"/>
      <w:r>
        <w:t>. cílům (dle přílohy I CPR a přílohy 6 RRF) je rozvedeno v kapitole 5.</w:t>
      </w:r>
      <w:r w:rsidR="00F6200E">
        <w:t>9</w:t>
      </w:r>
      <w:r>
        <w:t>.</w:t>
      </w:r>
    </w:p>
    <w:p w14:paraId="44908B14" w14:textId="77777777" w:rsidR="00602DCA" w:rsidRDefault="00C5530C" w:rsidP="00A32A7E">
      <w:pPr>
        <w:pStyle w:val="Odstavecseseznamem"/>
        <w:numPr>
          <w:ilvl w:val="0"/>
          <w:numId w:val="9"/>
        </w:numPr>
      </w:pPr>
      <w:r>
        <w:t>Pro opatření, kde není technologicky nebo ekonomicky dostupná alternativa se zanedbatelným environmentálním dopadem, mají být využity nejlepší dostupné technologie.</w:t>
      </w:r>
    </w:p>
    <w:p w14:paraId="0CE8382F" w14:textId="77777777" w:rsidR="00602DCA" w:rsidRDefault="00C5530C" w:rsidP="00A32A7E">
      <w:pPr>
        <w:pStyle w:val="Odstavecseseznamem"/>
        <w:numPr>
          <w:ilvl w:val="0"/>
          <w:numId w:val="9"/>
        </w:numPr>
      </w:pPr>
      <w:r>
        <w:t>SEA patří mezi legislativní požadavky, stanovisko SEA však není závazné, a v případě, že nebudou požadavky splněny a koncepce nebude náležitě upravena, musí být tento postup řádně odůvodněn. Požadavky stanovené na úrovni SEA nemohou dostatečně prokázat soulad s DNSH na úrovni nastavení výzvy a CP na úrovni projektu. Výstupy procesu SEA (strategického hodnocení) jsou však nápomocné pro zohlednění hlediska dopadů na životní prostředí na strategické úrovni.</w:t>
      </w:r>
    </w:p>
    <w:p w14:paraId="40586200" w14:textId="7279E3E4" w:rsidR="00D76263" w:rsidRDefault="00D76263" w:rsidP="00A32A7E">
      <w:pPr>
        <w:pStyle w:val="Odstavecseseznamem"/>
        <w:numPr>
          <w:ilvl w:val="0"/>
          <w:numId w:val="9"/>
        </w:numPr>
      </w:pPr>
      <w:r>
        <w:t xml:space="preserve">Opatření, která je nutné přijmout na straně projektů z důvodu DNSH </w:t>
      </w:r>
      <w:r w:rsidR="00D72584">
        <w:t xml:space="preserve">a CP </w:t>
      </w:r>
      <w:r>
        <w:t>by měla být zahrnuta mezi způsobilé výdaje.</w:t>
      </w:r>
    </w:p>
    <w:p w14:paraId="162A5626" w14:textId="77777777" w:rsidR="00602DCA" w:rsidRDefault="00602DCA"/>
    <w:p w14:paraId="029EC35F" w14:textId="09B2D6B4" w:rsidR="00602DCA" w:rsidRDefault="00C5530C" w:rsidP="000F5C0D">
      <w:pPr>
        <w:pStyle w:val="Nadpis2"/>
      </w:pPr>
      <w:bookmarkStart w:id="44" w:name="_Podmínky_DNSH_založené"/>
      <w:bookmarkStart w:id="45" w:name="_Toc97886178"/>
      <w:bookmarkStart w:id="46" w:name="_Toc97886519"/>
      <w:bookmarkStart w:id="47" w:name="_Toc97886177"/>
      <w:bookmarkStart w:id="48" w:name="_Toc97886518"/>
      <w:bookmarkStart w:id="49" w:name="_Toc210046027"/>
      <w:bookmarkEnd w:id="44"/>
      <w:r>
        <w:t>Podmínky DNSH založené na věcném vymezení podpory</w:t>
      </w:r>
      <w:bookmarkEnd w:id="45"/>
      <w:bookmarkEnd w:id="46"/>
      <w:r w:rsidR="00BA2095">
        <w:t xml:space="preserve"> a vyloučené podpory</w:t>
      </w:r>
      <w:bookmarkEnd w:id="49"/>
    </w:p>
    <w:p w14:paraId="1FB9B65B" w14:textId="1F715919" w:rsidR="00602DCA" w:rsidRPr="00F0116B" w:rsidRDefault="00C5530C">
      <w:r>
        <w:t xml:space="preserve">Při přípravě a schvalování </w:t>
      </w:r>
      <w:r w:rsidR="0003597D" w:rsidRPr="0003597D">
        <w:t>dotační</w:t>
      </w:r>
      <w:r w:rsidR="0003597D">
        <w:t>ho</w:t>
      </w:r>
      <w:r w:rsidR="0003597D" w:rsidRPr="0003597D">
        <w:t xml:space="preserve"> program</w:t>
      </w:r>
      <w:r w:rsidR="0003597D">
        <w:t>u (</w:t>
      </w:r>
      <w:r>
        <w:t>OP / NPO</w:t>
      </w:r>
      <w:r w:rsidR="00B92C47">
        <w:t xml:space="preserve"> / dotačních schémat </w:t>
      </w:r>
      <w:proofErr w:type="spellStart"/>
      <w:r w:rsidR="00B92C47">
        <w:t>ModF</w:t>
      </w:r>
      <w:proofErr w:type="spellEnd"/>
      <w:r w:rsidR="00B92C47">
        <w:t xml:space="preserve"> / </w:t>
      </w:r>
      <w:r w:rsidR="00A75EF4">
        <w:t>SCP</w:t>
      </w:r>
      <w:r>
        <w:t xml:space="preserve"> a jejich revizích, doplnění, </w:t>
      </w:r>
      <w:r w:rsidRPr="00F0116B">
        <w:t xml:space="preserve">stejně jako v případě nových fondů EU s tímto požadavkem) se zásada DNSH projevuje tak, že stanovuje věcné zaměření a omezení opatření, která jsou obsahem </w:t>
      </w:r>
      <w:r w:rsidR="0003597D">
        <w:t>programu.</w:t>
      </w:r>
    </w:p>
    <w:p w14:paraId="3295864C" w14:textId="5A73D784" w:rsidR="00602DCA" w:rsidRPr="00F0116B" w:rsidRDefault="00C5530C">
      <w:r w:rsidRPr="00F0116B">
        <w:lastRenderedPageBreak/>
        <w:t xml:space="preserve">Jedná se zejména o případy, kdy podmínka vylučuje podporu určitých opatření. V případě, kdy SC / komponenta obsahuje věcně nevymezená opatření - zejm. je to relevantní u opatření obecnější povahy, jako jsou rozsáhlé režimy podpory konkurenceschopnosti napříč několika odvětvími, musí </w:t>
      </w:r>
      <w:r w:rsidR="007F68AD">
        <w:t>administrátor zdrojů EU</w:t>
      </w:r>
      <w:r w:rsidRPr="00F0116B">
        <w:t xml:space="preserve"> nastavit implementaci opatření tak, aby byly tyto podmínky splněny – zejména skrze seznam vyloučených aktivit implementovaný do výzev a příslušné dokumentace, a dále kontrolu souladu žadatele s legislativou (čestné prohlášení žadatele o neporušování norem a o nevedení řízení za porušení legislativy, zejm. v oblasti ochrany životního prostředí).</w:t>
      </w:r>
    </w:p>
    <w:p w14:paraId="685C50A0" w14:textId="291FCF14" w:rsidR="00BA2095" w:rsidRDefault="00BA2095">
      <w:r w:rsidRPr="00F0116B">
        <w:t xml:space="preserve">Následující tabulka shrnuje vyloučené podpory dle příslušné legislativy EU zdrojů, další relevantní ustanovení zahrnují pravidla EU pro státní podporu </w:t>
      </w:r>
      <w:r w:rsidR="00E91C09">
        <w:t>(</w:t>
      </w:r>
      <w:r w:rsidRPr="00F0116B">
        <w:t>viz příloha</w:t>
      </w:r>
      <w:r w:rsidR="00E91C09">
        <w:t>)</w:t>
      </w:r>
      <w:r w:rsidRPr="00F0116B">
        <w:t>.</w:t>
      </w:r>
    </w:p>
    <w:p w14:paraId="58CCEA69" w14:textId="77777777" w:rsidR="00087350" w:rsidRDefault="00087350" w:rsidP="009B1BC4">
      <w:pPr>
        <w:sectPr w:rsidR="00087350">
          <w:pgSz w:w="11906" w:h="16838"/>
          <w:pgMar w:top="1417" w:right="1417" w:bottom="709" w:left="1417" w:header="708" w:footer="708" w:gutter="0"/>
          <w:cols w:space="708"/>
        </w:sectPr>
      </w:pPr>
    </w:p>
    <w:tbl>
      <w:tblPr>
        <w:tblStyle w:val="Mkatabulky"/>
        <w:tblW w:w="13608" w:type="dxa"/>
        <w:tblLook w:val="04A0" w:firstRow="1" w:lastRow="0" w:firstColumn="1" w:lastColumn="0" w:noHBand="0" w:noVBand="1"/>
      </w:tblPr>
      <w:tblGrid>
        <w:gridCol w:w="1701"/>
        <w:gridCol w:w="1701"/>
        <w:gridCol w:w="1701"/>
        <w:gridCol w:w="1701"/>
        <w:gridCol w:w="1701"/>
        <w:gridCol w:w="1701"/>
        <w:gridCol w:w="1701"/>
        <w:gridCol w:w="1701"/>
      </w:tblGrid>
      <w:tr w:rsidR="00087350" w14:paraId="49F27869" w14:textId="77777777" w:rsidTr="00087350">
        <w:tc>
          <w:tcPr>
            <w:tcW w:w="1701" w:type="dxa"/>
          </w:tcPr>
          <w:p w14:paraId="798D2758" w14:textId="77777777" w:rsidR="00087350" w:rsidRDefault="00087350" w:rsidP="009B1BC4"/>
        </w:tc>
        <w:tc>
          <w:tcPr>
            <w:tcW w:w="1701" w:type="dxa"/>
          </w:tcPr>
          <w:p w14:paraId="372B5BEC" w14:textId="77777777" w:rsidR="00087350" w:rsidRPr="00A92DC0" w:rsidRDefault="00087350" w:rsidP="009B1BC4">
            <w:pPr>
              <w:rPr>
                <w:b/>
                <w:bCs/>
              </w:rPr>
            </w:pPr>
            <w:r w:rsidRPr="00A92DC0">
              <w:rPr>
                <w:b/>
                <w:bCs/>
              </w:rPr>
              <w:t>Taxonomie EU</w:t>
            </w:r>
          </w:p>
        </w:tc>
        <w:tc>
          <w:tcPr>
            <w:tcW w:w="1701" w:type="dxa"/>
          </w:tcPr>
          <w:p w14:paraId="15723771" w14:textId="77777777" w:rsidR="00087350" w:rsidRPr="00A92DC0" w:rsidRDefault="00087350" w:rsidP="009B1BC4">
            <w:pPr>
              <w:rPr>
                <w:b/>
                <w:bCs/>
              </w:rPr>
            </w:pPr>
            <w:r w:rsidRPr="00A92DC0">
              <w:rPr>
                <w:b/>
                <w:bCs/>
              </w:rPr>
              <w:t>RRF</w:t>
            </w:r>
          </w:p>
        </w:tc>
        <w:tc>
          <w:tcPr>
            <w:tcW w:w="1701" w:type="dxa"/>
          </w:tcPr>
          <w:p w14:paraId="59C5A132" w14:textId="77777777" w:rsidR="00087350" w:rsidRPr="00A92DC0" w:rsidRDefault="00087350" w:rsidP="009B1BC4">
            <w:pPr>
              <w:rPr>
                <w:b/>
                <w:bCs/>
              </w:rPr>
            </w:pPr>
            <w:r w:rsidRPr="00A92DC0">
              <w:rPr>
                <w:b/>
                <w:bCs/>
              </w:rPr>
              <w:t>E</w:t>
            </w:r>
            <w:r>
              <w:rPr>
                <w:b/>
                <w:bCs/>
              </w:rPr>
              <w:t>FRR</w:t>
            </w:r>
            <w:r w:rsidRPr="00A92DC0">
              <w:rPr>
                <w:b/>
                <w:bCs/>
              </w:rPr>
              <w:t xml:space="preserve"> a </w:t>
            </w:r>
            <w:r>
              <w:rPr>
                <w:b/>
                <w:bCs/>
              </w:rPr>
              <w:t>Fond soudržnosti</w:t>
            </w:r>
          </w:p>
        </w:tc>
        <w:tc>
          <w:tcPr>
            <w:tcW w:w="1701" w:type="dxa"/>
          </w:tcPr>
          <w:p w14:paraId="0DC5EF62" w14:textId="77777777" w:rsidR="00087350" w:rsidRPr="00A92DC0" w:rsidRDefault="00087350" w:rsidP="009B1BC4">
            <w:pPr>
              <w:rPr>
                <w:b/>
                <w:bCs/>
              </w:rPr>
            </w:pPr>
            <w:r>
              <w:rPr>
                <w:b/>
                <w:bCs/>
              </w:rPr>
              <w:t>FST</w:t>
            </w:r>
          </w:p>
        </w:tc>
        <w:tc>
          <w:tcPr>
            <w:tcW w:w="1701" w:type="dxa"/>
          </w:tcPr>
          <w:p w14:paraId="7D7D2B82" w14:textId="77777777" w:rsidR="00087350" w:rsidRPr="00A92DC0" w:rsidRDefault="00087350" w:rsidP="009B1BC4">
            <w:pPr>
              <w:rPr>
                <w:b/>
                <w:bCs/>
              </w:rPr>
            </w:pPr>
            <w:proofErr w:type="spellStart"/>
            <w:r w:rsidRPr="00A92DC0">
              <w:rPr>
                <w:b/>
                <w:bCs/>
              </w:rPr>
              <w:t>InvestEU</w:t>
            </w:r>
            <w:proofErr w:type="spellEnd"/>
            <w:r w:rsidRPr="00A92DC0">
              <w:rPr>
                <w:b/>
                <w:bCs/>
              </w:rPr>
              <w:t xml:space="preserve"> </w:t>
            </w:r>
            <w:proofErr w:type="spellStart"/>
            <w:r w:rsidRPr="00A92DC0">
              <w:rPr>
                <w:b/>
                <w:bCs/>
              </w:rPr>
              <w:t>fund</w:t>
            </w:r>
            <w:proofErr w:type="spellEnd"/>
          </w:p>
        </w:tc>
        <w:tc>
          <w:tcPr>
            <w:tcW w:w="1701" w:type="dxa"/>
          </w:tcPr>
          <w:p w14:paraId="45FB212C" w14:textId="77777777" w:rsidR="00087350" w:rsidRPr="00A92DC0" w:rsidRDefault="00087350" w:rsidP="009B1BC4">
            <w:pPr>
              <w:rPr>
                <w:b/>
                <w:bCs/>
              </w:rPr>
            </w:pPr>
            <w:proofErr w:type="spellStart"/>
            <w:r w:rsidRPr="00A92DC0">
              <w:rPr>
                <w:b/>
                <w:bCs/>
              </w:rPr>
              <w:t>ModF</w:t>
            </w:r>
            <w:proofErr w:type="spellEnd"/>
          </w:p>
        </w:tc>
        <w:tc>
          <w:tcPr>
            <w:tcW w:w="1701" w:type="dxa"/>
          </w:tcPr>
          <w:p w14:paraId="4E347411" w14:textId="4457E9DD" w:rsidR="00087350" w:rsidRPr="00A92DC0" w:rsidRDefault="00087350" w:rsidP="009B1BC4">
            <w:pPr>
              <w:rPr>
                <w:b/>
                <w:bCs/>
              </w:rPr>
            </w:pPr>
            <w:r w:rsidRPr="00A92DC0">
              <w:rPr>
                <w:b/>
                <w:bCs/>
              </w:rPr>
              <w:t>S</w:t>
            </w:r>
            <w:r w:rsidR="00C7343C">
              <w:rPr>
                <w:b/>
                <w:bCs/>
              </w:rPr>
              <w:t>C</w:t>
            </w:r>
            <w:r w:rsidRPr="00A92DC0">
              <w:rPr>
                <w:b/>
                <w:bCs/>
              </w:rPr>
              <w:t>F</w:t>
            </w:r>
          </w:p>
        </w:tc>
      </w:tr>
      <w:tr w:rsidR="00087350" w14:paraId="66DFFFE2" w14:textId="77777777" w:rsidTr="00087350">
        <w:tc>
          <w:tcPr>
            <w:tcW w:w="1701" w:type="dxa"/>
          </w:tcPr>
          <w:p w14:paraId="687F4BE3" w14:textId="77777777" w:rsidR="00087350" w:rsidRDefault="00087350" w:rsidP="009B1BC4">
            <w:r w:rsidRPr="00061EFE">
              <w:t>Výjimky z oblasti působnosti nástroje (</w:t>
            </w:r>
            <w:r>
              <w:t>dle</w:t>
            </w:r>
            <w:r w:rsidRPr="00061EFE">
              <w:t xml:space="preserve"> nařízení).</w:t>
            </w:r>
          </w:p>
        </w:tc>
        <w:tc>
          <w:tcPr>
            <w:tcW w:w="1701" w:type="dxa"/>
          </w:tcPr>
          <w:p w14:paraId="768F2BE9" w14:textId="77777777" w:rsidR="00087350" w:rsidRDefault="00087350" w:rsidP="009B1BC4">
            <w:r w:rsidRPr="00061EFE">
              <w:t>Činnosti výroby energie využívající pevná fosilní paliva</w:t>
            </w:r>
            <w:r>
              <w:t>.</w:t>
            </w:r>
          </w:p>
        </w:tc>
        <w:tc>
          <w:tcPr>
            <w:tcW w:w="1701" w:type="dxa"/>
          </w:tcPr>
          <w:p w14:paraId="6D9491C9" w14:textId="77777777" w:rsidR="00087350" w:rsidRDefault="00087350" w:rsidP="009B1BC4">
            <w:r>
              <w:t>N/A</w:t>
            </w:r>
          </w:p>
        </w:tc>
        <w:tc>
          <w:tcPr>
            <w:tcW w:w="1701" w:type="dxa"/>
          </w:tcPr>
          <w:p w14:paraId="77A9CDDE" w14:textId="7BB39494" w:rsidR="00087350" w:rsidRDefault="00087350" w:rsidP="009B1BC4">
            <w:r w:rsidRPr="00061EFE">
              <w:t xml:space="preserve">Výjimky z programu definované v čl. 7 odst. 1 </w:t>
            </w:r>
            <w:hyperlink r:id="rId32" w:anchor="art_7" w:history="1">
              <w:r w:rsidRPr="00456BCF">
                <w:rPr>
                  <w:rStyle w:val="Hypertextovodkaz"/>
                </w:rPr>
                <w:t>nařízení o ERDF/CF</w:t>
              </w:r>
            </w:hyperlink>
            <w:r w:rsidRPr="00061EFE">
              <w:t xml:space="preserve">. Další vyloučení pro CF </w:t>
            </w:r>
            <w:r>
              <w:t>dle</w:t>
            </w:r>
            <w:r w:rsidRPr="00061EFE">
              <w:t xml:space="preserve"> čl. 7 odst. 5</w:t>
            </w:r>
          </w:p>
        </w:tc>
        <w:tc>
          <w:tcPr>
            <w:tcW w:w="1701" w:type="dxa"/>
          </w:tcPr>
          <w:p w14:paraId="484BB59C" w14:textId="059382E4" w:rsidR="00087350" w:rsidRDefault="00087350" w:rsidP="009B1BC4">
            <w:r w:rsidRPr="00061EFE">
              <w:t xml:space="preserve">Činnosti nespadající do působnosti čl. 8 odst. 2 </w:t>
            </w:r>
            <w:hyperlink r:id="rId33" w:anchor="art_8" w:history="1">
              <w:r w:rsidRPr="00456BCF">
                <w:rPr>
                  <w:rStyle w:val="Hypertextovodkaz"/>
                </w:rPr>
                <w:t>nařízení o FST</w:t>
              </w:r>
            </w:hyperlink>
            <w:r w:rsidRPr="00061EFE">
              <w:t xml:space="preserve">. Specifické programové výjimky definované v článku 9 nařízení </w:t>
            </w:r>
            <w:r w:rsidR="00456BCF">
              <w:t>o FST</w:t>
            </w:r>
            <w:r w:rsidRPr="00061EFE">
              <w:t>.</w:t>
            </w:r>
          </w:p>
        </w:tc>
        <w:tc>
          <w:tcPr>
            <w:tcW w:w="1701" w:type="dxa"/>
          </w:tcPr>
          <w:p w14:paraId="1B82F42C" w14:textId="7CEBF63C" w:rsidR="00087350" w:rsidRDefault="00087350" w:rsidP="009B1BC4">
            <w:r w:rsidRPr="00061EFE">
              <w:t xml:space="preserve">Výjimky z programu definované v příloze V </w:t>
            </w:r>
            <w:hyperlink r:id="rId34" w:history="1">
              <w:r w:rsidRPr="00BD0EF4">
                <w:rPr>
                  <w:rStyle w:val="Hypertextovodkaz"/>
                </w:rPr>
                <w:t xml:space="preserve">nařízení </w:t>
              </w:r>
              <w:proofErr w:type="spellStart"/>
              <w:r w:rsidRPr="00BD0EF4">
                <w:rPr>
                  <w:rStyle w:val="Hypertextovodkaz"/>
                </w:rPr>
                <w:t>InvestEU</w:t>
              </w:r>
              <w:proofErr w:type="spellEnd"/>
            </w:hyperlink>
            <w:r w:rsidRPr="00061EFE">
              <w:t>.</w:t>
            </w:r>
          </w:p>
        </w:tc>
        <w:tc>
          <w:tcPr>
            <w:tcW w:w="1701" w:type="dxa"/>
          </w:tcPr>
          <w:p w14:paraId="09DDEEF0" w14:textId="77777777" w:rsidR="00087350" w:rsidRPr="00061EFE" w:rsidRDefault="00087350" w:rsidP="009B1BC4">
            <w:r>
              <w:t>N</w:t>
            </w:r>
            <w:r w:rsidRPr="00F6626E">
              <w:t xml:space="preserve">eposkytuje </w:t>
            </w:r>
            <w:r>
              <w:t xml:space="preserve">se </w:t>
            </w:r>
            <w:r w:rsidRPr="00F6626E">
              <w:t xml:space="preserve">žádná podpora na zařízení na výrobu elektřiny využívající fosilní paliva. </w:t>
            </w:r>
          </w:p>
        </w:tc>
        <w:tc>
          <w:tcPr>
            <w:tcW w:w="1701" w:type="dxa"/>
          </w:tcPr>
          <w:p w14:paraId="22243472" w14:textId="3357F50B" w:rsidR="00087350" w:rsidRPr="00061EFE" w:rsidRDefault="00087350" w:rsidP="009B1BC4">
            <w:r>
              <w:t xml:space="preserve">Činnosti nespadající do působnosti čl. 8 </w:t>
            </w:r>
            <w:hyperlink r:id="rId35" w:anchor="art_8" w:history="1">
              <w:r w:rsidRPr="00BD0EF4">
                <w:rPr>
                  <w:rStyle w:val="Hypertextovodkaz"/>
                </w:rPr>
                <w:t>nařízení o S</w:t>
              </w:r>
              <w:r w:rsidR="00C7343C">
                <w:rPr>
                  <w:rStyle w:val="Hypertextovodkaz"/>
                </w:rPr>
                <w:t>C</w:t>
              </w:r>
              <w:r w:rsidRPr="00BD0EF4">
                <w:rPr>
                  <w:rStyle w:val="Hypertextovodkaz"/>
                </w:rPr>
                <w:t>F</w:t>
              </w:r>
            </w:hyperlink>
            <w:r>
              <w:t>.</w:t>
            </w:r>
          </w:p>
        </w:tc>
      </w:tr>
      <w:tr w:rsidR="00087350" w14:paraId="118BEC28" w14:textId="77777777" w:rsidTr="00087350">
        <w:tc>
          <w:tcPr>
            <w:tcW w:w="1701" w:type="dxa"/>
          </w:tcPr>
          <w:p w14:paraId="39C2E77C" w14:textId="77777777" w:rsidR="00087350" w:rsidRDefault="00087350" w:rsidP="009B1BC4">
            <w:r w:rsidRPr="00061EFE">
              <w:t xml:space="preserve">Další vyloučení </w:t>
            </w:r>
            <w:r>
              <w:t xml:space="preserve">v souvislosti </w:t>
            </w:r>
            <w:r w:rsidRPr="00061EFE">
              <w:t>s DNSH</w:t>
            </w:r>
          </w:p>
        </w:tc>
        <w:tc>
          <w:tcPr>
            <w:tcW w:w="1701" w:type="dxa"/>
          </w:tcPr>
          <w:p w14:paraId="05376474" w14:textId="77777777" w:rsidR="00087350" w:rsidRDefault="00087350" w:rsidP="009B1BC4">
            <w:r>
              <w:t>N/A</w:t>
            </w:r>
          </w:p>
        </w:tc>
        <w:tc>
          <w:tcPr>
            <w:tcW w:w="1701" w:type="dxa"/>
          </w:tcPr>
          <w:p w14:paraId="391578E7" w14:textId="498CFD6F" w:rsidR="00087350" w:rsidRDefault="00087350" w:rsidP="009B1BC4">
            <w:hyperlink r:id="rId36" w:history="1">
              <w:r w:rsidRPr="00456BCF">
                <w:rPr>
                  <w:rStyle w:val="Hypertextovodkaz"/>
                </w:rPr>
                <w:t>Technické pokyny RRF DNSH</w:t>
              </w:r>
            </w:hyperlink>
            <w:r w:rsidRPr="00061EFE">
              <w:t xml:space="preserve"> identifikují opatření, která by obecně neměla být podporována (např. výroba elektřiny a/nebo tepla </w:t>
            </w:r>
            <w:r w:rsidRPr="00061EFE">
              <w:lastRenderedPageBreak/>
              <w:t xml:space="preserve">pomocí zemního plynu a fosilních paliv). </w:t>
            </w:r>
          </w:p>
          <w:p w14:paraId="07CC09B1" w14:textId="77777777" w:rsidR="00087350" w:rsidRDefault="00087350" w:rsidP="009B1BC4"/>
          <w:p w14:paraId="399C81A0" w14:textId="77777777" w:rsidR="00087350" w:rsidRDefault="00087350" w:rsidP="009B1BC4">
            <w:r w:rsidRPr="00061EFE">
              <w:t>Další výjimky pro horizontální produkty a finanční nástroje (např. činnosti a aktiva související s fosilními palivy).</w:t>
            </w:r>
          </w:p>
        </w:tc>
        <w:tc>
          <w:tcPr>
            <w:tcW w:w="1701" w:type="dxa"/>
          </w:tcPr>
          <w:p w14:paraId="4425A50D" w14:textId="77777777" w:rsidR="00087350" w:rsidRDefault="00087350" w:rsidP="009B1BC4">
            <w:r>
              <w:lastRenderedPageBreak/>
              <w:t>N/A</w:t>
            </w:r>
          </w:p>
        </w:tc>
        <w:tc>
          <w:tcPr>
            <w:tcW w:w="1701" w:type="dxa"/>
          </w:tcPr>
          <w:p w14:paraId="7339B9F6" w14:textId="77777777" w:rsidR="00087350" w:rsidRDefault="00087350" w:rsidP="009B1BC4">
            <w:r w:rsidRPr="00061EFE">
              <w:t>Některé činnosti obecně považované za neslučitelné s principem DNSH (např. neudržitelná biomasa)</w:t>
            </w:r>
            <w:r>
              <w:t>.</w:t>
            </w:r>
          </w:p>
        </w:tc>
        <w:tc>
          <w:tcPr>
            <w:tcW w:w="1701" w:type="dxa"/>
          </w:tcPr>
          <w:p w14:paraId="08A01532" w14:textId="77777777" w:rsidR="00087350" w:rsidRDefault="00087350" w:rsidP="009B1BC4">
            <w:r>
              <w:t>N/A</w:t>
            </w:r>
          </w:p>
        </w:tc>
        <w:tc>
          <w:tcPr>
            <w:tcW w:w="1701" w:type="dxa"/>
          </w:tcPr>
          <w:p w14:paraId="0059D857" w14:textId="77777777" w:rsidR="00087350" w:rsidRDefault="00087350" w:rsidP="009B1BC4">
            <w:r>
              <w:t>N/A</w:t>
            </w:r>
          </w:p>
        </w:tc>
        <w:tc>
          <w:tcPr>
            <w:tcW w:w="1701" w:type="dxa"/>
          </w:tcPr>
          <w:p w14:paraId="11CD256D" w14:textId="50606376" w:rsidR="00087350" w:rsidRDefault="00087350" w:rsidP="009B1BC4">
            <w:hyperlink r:id="rId37" w:history="1">
              <w:r w:rsidRPr="00BD0EF4">
                <w:rPr>
                  <w:rStyle w:val="Hypertextovodkaz"/>
                </w:rPr>
                <w:t>Technické pokyny S</w:t>
              </w:r>
              <w:r w:rsidR="00C7343C">
                <w:rPr>
                  <w:rStyle w:val="Hypertextovodkaz"/>
                </w:rPr>
                <w:t>C</w:t>
              </w:r>
              <w:r w:rsidRPr="00BD0EF4">
                <w:rPr>
                  <w:rStyle w:val="Hypertextovodkaz"/>
                </w:rPr>
                <w:t>F</w:t>
              </w:r>
              <w:r w:rsidRPr="00BD0EF4">
                <w:rPr>
                  <w:rStyle w:val="Hypertextovodkaz"/>
                  <w:vertAlign w:val="superscript"/>
                </w:rPr>
                <w:footnoteReference w:id="22"/>
              </w:r>
              <w:r w:rsidRPr="00BD0EF4">
                <w:rPr>
                  <w:rStyle w:val="Hypertextovodkaz"/>
                </w:rPr>
                <w:t xml:space="preserve"> DNSH</w:t>
              </w:r>
            </w:hyperlink>
            <w:r w:rsidRPr="00061EFE">
              <w:t xml:space="preserve"> identifikují opatření, která by obecně neměla být podporována</w:t>
            </w:r>
          </w:p>
        </w:tc>
      </w:tr>
      <w:tr w:rsidR="00087350" w14:paraId="1435D2B7" w14:textId="77777777" w:rsidTr="00087350">
        <w:tc>
          <w:tcPr>
            <w:tcW w:w="1701" w:type="dxa"/>
          </w:tcPr>
          <w:p w14:paraId="4C525695" w14:textId="77777777" w:rsidR="00087350" w:rsidRDefault="00087350" w:rsidP="009B1BC4">
            <w:r w:rsidRPr="00061EFE">
              <w:t>Ad-hoc podmínky (výjimky)</w:t>
            </w:r>
          </w:p>
        </w:tc>
        <w:tc>
          <w:tcPr>
            <w:tcW w:w="1701" w:type="dxa"/>
          </w:tcPr>
          <w:p w14:paraId="0DD061D6" w14:textId="77777777" w:rsidR="00087350" w:rsidRDefault="00087350" w:rsidP="009B1BC4">
            <w:r>
              <w:t>N/A</w:t>
            </w:r>
          </w:p>
        </w:tc>
        <w:tc>
          <w:tcPr>
            <w:tcW w:w="1701" w:type="dxa"/>
          </w:tcPr>
          <w:p w14:paraId="0E461447" w14:textId="77777777" w:rsidR="00087350" w:rsidRDefault="00087350" w:rsidP="009B1BC4">
            <w:r w:rsidRPr="00061EFE">
              <w:t xml:space="preserve">Zvláštní podmínky definované v příloze III technických pokynů DNSH pro výrobu elektřiny a/nebo tepla, </w:t>
            </w:r>
            <w:r>
              <w:t xml:space="preserve">a </w:t>
            </w:r>
            <w:r>
              <w:lastRenderedPageBreak/>
              <w:t>rovněž</w:t>
            </w:r>
            <w:r w:rsidRPr="00061EFE">
              <w:t xml:space="preserve"> související přenosovou a distribuční infrastrukturu využívající zemní plyn</w:t>
            </w:r>
            <w:r w:rsidR="009570BB">
              <w:t>.</w:t>
            </w:r>
          </w:p>
        </w:tc>
        <w:tc>
          <w:tcPr>
            <w:tcW w:w="1701" w:type="dxa"/>
          </w:tcPr>
          <w:p w14:paraId="3184B0D9" w14:textId="77777777" w:rsidR="00087350" w:rsidRDefault="00087350" w:rsidP="009B1BC4">
            <w:r w:rsidRPr="00061EFE">
              <w:lastRenderedPageBreak/>
              <w:t>Definováno v čl. 7 odst. 1 nařízení o ERDF/CF</w:t>
            </w:r>
          </w:p>
        </w:tc>
        <w:tc>
          <w:tcPr>
            <w:tcW w:w="1701" w:type="dxa"/>
          </w:tcPr>
          <w:p w14:paraId="4A81527E" w14:textId="77777777" w:rsidR="00087350" w:rsidRDefault="00087350" w:rsidP="009B1BC4">
            <w:r>
              <w:t>N/A</w:t>
            </w:r>
          </w:p>
        </w:tc>
        <w:tc>
          <w:tcPr>
            <w:tcW w:w="1701" w:type="dxa"/>
          </w:tcPr>
          <w:p w14:paraId="5E46878F" w14:textId="77777777" w:rsidR="00087350" w:rsidRDefault="00087350" w:rsidP="009B1BC4">
            <w:r w:rsidRPr="00061EFE">
              <w:t xml:space="preserve">Specifické podmínky stanovené pro investice do obecně vyloučených činností, jako jsou činnosti související s </w:t>
            </w:r>
            <w:r w:rsidRPr="00061EFE">
              <w:lastRenderedPageBreak/>
              <w:t>fosilními palivy a ropou, skládky nebo spalovny.</w:t>
            </w:r>
          </w:p>
        </w:tc>
        <w:tc>
          <w:tcPr>
            <w:tcW w:w="1701" w:type="dxa"/>
          </w:tcPr>
          <w:p w14:paraId="52CB6658" w14:textId="77777777" w:rsidR="00087350" w:rsidRPr="00061EFE" w:rsidRDefault="00087350" w:rsidP="009B1BC4">
            <w:r w:rsidRPr="00F6626E">
              <w:lastRenderedPageBreak/>
              <w:t xml:space="preserve">Výnosy z povolenek oznamované podle odstavce 4 </w:t>
            </w:r>
            <w:r>
              <w:t>čl. 10d směrnice 2003/83/ES</w:t>
            </w:r>
            <w:r w:rsidRPr="00F6626E">
              <w:t xml:space="preserve"> však mohou být použity na </w:t>
            </w:r>
            <w:r w:rsidRPr="00F6626E">
              <w:lastRenderedPageBreak/>
              <w:t>investice do plynných fosilních paliv.</w:t>
            </w:r>
            <w:r>
              <w:t xml:space="preserve"> </w:t>
            </w:r>
          </w:p>
        </w:tc>
        <w:tc>
          <w:tcPr>
            <w:tcW w:w="1701" w:type="dxa"/>
          </w:tcPr>
          <w:p w14:paraId="60221F4D" w14:textId="77777777" w:rsidR="00087350" w:rsidRPr="00061EFE" w:rsidRDefault="00087350" w:rsidP="009B1BC4">
            <w:r>
              <w:lastRenderedPageBreak/>
              <w:t>N/A</w:t>
            </w:r>
          </w:p>
        </w:tc>
      </w:tr>
    </w:tbl>
    <w:p w14:paraId="4849B2F5" w14:textId="77777777" w:rsidR="00087350" w:rsidRDefault="00087350">
      <w:pPr>
        <w:sectPr w:rsidR="00087350" w:rsidSect="000F5C0D">
          <w:pgSz w:w="16838" w:h="11906" w:orient="landscape"/>
          <w:pgMar w:top="1418" w:right="1418" w:bottom="1418" w:left="709" w:header="709" w:footer="709" w:gutter="0"/>
          <w:cols w:space="708"/>
        </w:sectPr>
      </w:pPr>
    </w:p>
    <w:p w14:paraId="2D4DD5CC" w14:textId="77777777" w:rsidR="00602DCA" w:rsidRDefault="00602DCA"/>
    <w:p w14:paraId="1E0FB1D4" w14:textId="77777777" w:rsidR="00602DCA" w:rsidRDefault="00C5530C" w:rsidP="000F5C0D">
      <w:pPr>
        <w:pStyle w:val="Nadpis2"/>
      </w:pPr>
      <w:bookmarkStart w:id="50" w:name="_Toc97886179"/>
      <w:bookmarkStart w:id="51" w:name="_Toc97886520"/>
      <w:bookmarkStart w:id="52" w:name="_Toc210046028"/>
      <w:r>
        <w:t>Podmínky DNSH směřující k provádění opatření</w:t>
      </w:r>
      <w:bookmarkEnd w:id="50"/>
      <w:bookmarkEnd w:id="51"/>
      <w:bookmarkEnd w:id="52"/>
    </w:p>
    <w:p w14:paraId="5B25C6C4" w14:textId="228F8DC2" w:rsidR="00602DCA" w:rsidRDefault="00C5530C">
      <w:pPr>
        <w:rPr>
          <w:b/>
          <w:bCs/>
        </w:rPr>
      </w:pPr>
      <w:r>
        <w:t xml:space="preserve">Některé podmínky DNSH pro určitá opatření vyžadují specifický charakter provedení, např. požadavek, aby alespoň 70 % stavebního a demoličního odpadu (a materiálu) bylo připraveno k opětovnému použití nebo recyklaci (viz </w:t>
      </w:r>
      <w:hyperlink w:anchor="_Připravenost_k_opětovnému" w:history="1">
        <w:r w:rsidR="0056543A" w:rsidRPr="0077290F">
          <w:rPr>
            <w:rStyle w:val="Hypertextovodkaz"/>
          </w:rPr>
          <w:t>příloha 5.</w:t>
        </w:r>
        <w:r w:rsidR="0056543A">
          <w:rPr>
            <w:rStyle w:val="Hypertextovodkaz"/>
          </w:rPr>
          <w:t>3</w:t>
        </w:r>
      </w:hyperlink>
      <w:r>
        <w:t>).</w:t>
      </w:r>
      <w:r>
        <w:rPr>
          <w:vertAlign w:val="superscript"/>
        </w:rPr>
        <w:footnoteReference w:id="23"/>
      </w:r>
      <w:r>
        <w:t xml:space="preserve"> Obdobně jsou stanoveny některé podmínky pro plnění </w:t>
      </w:r>
      <w:proofErr w:type="gramStart"/>
      <w:r>
        <w:t>100%</w:t>
      </w:r>
      <w:proofErr w:type="gramEnd"/>
      <w:r>
        <w:t xml:space="preserve"> nebo </w:t>
      </w:r>
      <w:proofErr w:type="gramStart"/>
      <w:r>
        <w:t>40%</w:t>
      </w:r>
      <w:proofErr w:type="gramEnd"/>
      <w:r>
        <w:t xml:space="preserve"> klimatického tagu dle přílohy I CPR nebo přílohy VI RRF. </w:t>
      </w:r>
      <w:r w:rsidR="007F68AD">
        <w:rPr>
          <w:b/>
          <w:bCs/>
        </w:rPr>
        <w:t xml:space="preserve">Administrátor zdrojů EU </w:t>
      </w:r>
      <w:r>
        <w:rPr>
          <w:b/>
          <w:bCs/>
        </w:rPr>
        <w:t xml:space="preserve">je povinen zajistit proces implementace tak, aby byly tyto podmínky plněny, a to na úrovni projektu – tzn. jsou přeneseny na žadatele </w:t>
      </w:r>
      <w:r>
        <w:rPr>
          <w:b/>
          <w:bCs/>
          <w:u w:val="single"/>
        </w:rPr>
        <w:t>v konkrétní podobě s technickou specifikací nebo je zaveden systém hodnocení a bonifikace projektů v rámci projektů dle environmentálního dopadu</w:t>
      </w:r>
      <w:r>
        <w:rPr>
          <w:b/>
          <w:bCs/>
        </w:rPr>
        <w:t xml:space="preserve"> (např. zvýhodnění energeticky účinných projektů v relevanci k cíli zmírňování změny klimatu (</w:t>
      </w:r>
      <w:proofErr w:type="spellStart"/>
      <w:r>
        <w:rPr>
          <w:b/>
          <w:bCs/>
        </w:rPr>
        <w:t>mitigace</w:t>
      </w:r>
      <w:proofErr w:type="spellEnd"/>
      <w:r>
        <w:rPr>
          <w:b/>
          <w:bCs/>
        </w:rPr>
        <w:t>).</w:t>
      </w:r>
    </w:p>
    <w:p w14:paraId="4A0EAB74" w14:textId="03F57C17" w:rsidR="00633E0F" w:rsidRDefault="00633E0F">
      <w:pPr>
        <w:rPr>
          <w:b/>
          <w:bCs/>
        </w:rPr>
      </w:pPr>
      <w:r>
        <w:rPr>
          <w:b/>
          <w:bCs/>
        </w:rPr>
        <w:t>Tyto podmínky a jejich implementace je typicky v konkrétní podobě stanovena až ve fázi přípravy výzvy, kde dojde k technickému zaměření cíle podporovaných aktivit a jsou stanoveny konkrétní podmínky a způsoby jejich dokládání v Pravidlech pro žadatele.</w:t>
      </w:r>
    </w:p>
    <w:bookmarkEnd w:id="47"/>
    <w:bookmarkEnd w:id="48"/>
    <w:p w14:paraId="68520EA3" w14:textId="77777777" w:rsidR="00602DCA" w:rsidRDefault="00602DCA">
      <w:pPr>
        <w:rPr>
          <w:b/>
        </w:rPr>
      </w:pPr>
    </w:p>
    <w:p w14:paraId="2F08629A" w14:textId="77777777" w:rsidR="00602DCA" w:rsidRDefault="00C5530C" w:rsidP="00831DB7">
      <w:pPr>
        <w:pStyle w:val="Nadpis2"/>
      </w:pPr>
      <w:bookmarkStart w:id="53" w:name="_Toc116428049"/>
      <w:bookmarkStart w:id="54" w:name="_Toc210046029"/>
      <w:r>
        <w:t>Dobrá a špatná praxe implementace DNSH</w:t>
      </w:r>
      <w:bookmarkEnd w:id="53"/>
      <w:bookmarkEnd w:id="54"/>
    </w:p>
    <w:tbl>
      <w:tblPr>
        <w:tblStyle w:val="Mkatabulky"/>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524"/>
        <w:gridCol w:w="4518"/>
      </w:tblGrid>
      <w:tr w:rsidR="00602DCA" w14:paraId="18A32BF5" w14:textId="77777777">
        <w:tc>
          <w:tcPr>
            <w:tcW w:w="4524" w:type="dxa"/>
          </w:tcPr>
          <w:p w14:paraId="6FBB6A2F" w14:textId="77777777" w:rsidR="00602DCA" w:rsidRDefault="00C5530C">
            <w:pPr>
              <w:rPr>
                <w:b/>
              </w:rPr>
            </w:pPr>
            <w:r>
              <w:rPr>
                <w:b/>
              </w:rPr>
              <w:t>Dobrá praxe</w:t>
            </w:r>
          </w:p>
        </w:tc>
        <w:tc>
          <w:tcPr>
            <w:tcW w:w="4518" w:type="dxa"/>
          </w:tcPr>
          <w:p w14:paraId="03E58EC7" w14:textId="77777777" w:rsidR="00602DCA" w:rsidRDefault="00C5530C">
            <w:pPr>
              <w:rPr>
                <w:b/>
              </w:rPr>
            </w:pPr>
            <w:r>
              <w:rPr>
                <w:b/>
              </w:rPr>
              <w:t>Špatná praxe</w:t>
            </w:r>
          </w:p>
        </w:tc>
      </w:tr>
      <w:tr w:rsidR="00602DCA" w14:paraId="26D15A3F" w14:textId="77777777">
        <w:tc>
          <w:tcPr>
            <w:tcW w:w="4524" w:type="dxa"/>
          </w:tcPr>
          <w:p w14:paraId="46DA0A4E" w14:textId="77777777" w:rsidR="00602DCA" w:rsidRDefault="00C5530C">
            <w:r>
              <w:t>Jasnost podmínek v rámci veškeré dokumentace</w:t>
            </w:r>
          </w:p>
        </w:tc>
        <w:tc>
          <w:tcPr>
            <w:tcW w:w="4518" w:type="dxa"/>
          </w:tcPr>
          <w:p w14:paraId="35CA23EF" w14:textId="77777777" w:rsidR="00602DCA" w:rsidRDefault="00C5530C">
            <w:r>
              <w:t>Není postačující zahrnout podmínky jen pro klimatický tag nebo v opatřeních zaměřených na ochranu živ. prostředí – DNSH se vztahuje na všechna opatření</w:t>
            </w:r>
          </w:p>
        </w:tc>
      </w:tr>
      <w:tr w:rsidR="00602DCA" w14:paraId="5D2BEFD8" w14:textId="77777777">
        <w:tc>
          <w:tcPr>
            <w:tcW w:w="4524" w:type="dxa"/>
          </w:tcPr>
          <w:p w14:paraId="487FF53C" w14:textId="1C728EAC" w:rsidR="00602DCA" w:rsidRDefault="00C5530C">
            <w:r>
              <w:t>Konkrétní podmínky se mají propsat do všech relevantních dokumentů (výzvy, právní akty, pravidla pro žadatele atd.)</w:t>
            </w:r>
          </w:p>
        </w:tc>
        <w:tc>
          <w:tcPr>
            <w:tcW w:w="4518" w:type="dxa"/>
          </w:tcPr>
          <w:p w14:paraId="6FEFCA2C" w14:textId="45E41ECA" w:rsidR="00602DCA" w:rsidRDefault="002A6300">
            <w:r>
              <w:t>Ve většině případů n</w:t>
            </w:r>
            <w:r w:rsidR="00C5530C">
              <w:t xml:space="preserve">ení vhodné přenášet obecný požadavek </w:t>
            </w:r>
            <w:r>
              <w:t xml:space="preserve">hodnocení </w:t>
            </w:r>
            <w:r w:rsidR="00C5530C">
              <w:t>souladu s DNSH dle čl. 17 nařízení o taxonomii na žadatele</w:t>
            </w:r>
          </w:p>
        </w:tc>
      </w:tr>
      <w:tr w:rsidR="00602DCA" w14:paraId="2031CC73" w14:textId="77777777">
        <w:tc>
          <w:tcPr>
            <w:tcW w:w="4524" w:type="dxa"/>
          </w:tcPr>
          <w:p w14:paraId="799D2707" w14:textId="77777777" w:rsidR="00602DCA" w:rsidRDefault="00C5530C">
            <w:r>
              <w:t>Na žadatele se mají přenášet pouze konkrétní podmínky, které je nutné plnit pro dané opatření</w:t>
            </w:r>
          </w:p>
        </w:tc>
        <w:tc>
          <w:tcPr>
            <w:tcW w:w="4518" w:type="dxa"/>
          </w:tcPr>
          <w:p w14:paraId="1CEF3786" w14:textId="5B7E146E" w:rsidR="00602DCA" w:rsidRDefault="00C5530C">
            <w:r>
              <w:t>Čestné prohlášení žadatele o souladu s DNSH není ve většině případů postačující</w:t>
            </w:r>
          </w:p>
        </w:tc>
      </w:tr>
      <w:tr w:rsidR="00602DCA" w14:paraId="2A8C2487" w14:textId="77777777">
        <w:tc>
          <w:tcPr>
            <w:tcW w:w="4524" w:type="dxa"/>
          </w:tcPr>
          <w:p w14:paraId="317D172B" w14:textId="0EE2B321" w:rsidR="00602DCA" w:rsidRDefault="00C5530C">
            <w:r>
              <w:t xml:space="preserve">Zajistit soulad s veškerou EU i národní </w:t>
            </w:r>
            <w:proofErr w:type="spellStart"/>
            <w:r>
              <w:t>envi</w:t>
            </w:r>
            <w:proofErr w:type="spellEnd"/>
            <w:r>
              <w:t xml:space="preserve">. regulací </w:t>
            </w:r>
          </w:p>
        </w:tc>
        <w:tc>
          <w:tcPr>
            <w:tcW w:w="4518" w:type="dxa"/>
          </w:tcPr>
          <w:p w14:paraId="26EE99B9" w14:textId="67490821" w:rsidR="00602DCA" w:rsidRDefault="00C5530C">
            <w:r>
              <w:t xml:space="preserve">Není vhodné oddělovat </w:t>
            </w:r>
            <w:r w:rsidR="002A6300">
              <w:t xml:space="preserve">hodnocení </w:t>
            </w:r>
            <w:r>
              <w:t>DNSH od procesu implementace (výzev apod.)</w:t>
            </w:r>
          </w:p>
        </w:tc>
      </w:tr>
      <w:tr w:rsidR="00602DCA" w14:paraId="2114AA4F" w14:textId="77777777">
        <w:tc>
          <w:tcPr>
            <w:tcW w:w="4524" w:type="dxa"/>
          </w:tcPr>
          <w:p w14:paraId="5D620C1C" w14:textId="29FEB36F" w:rsidR="00602DCA" w:rsidRDefault="00C5530C">
            <w:r>
              <w:lastRenderedPageBreak/>
              <w:t xml:space="preserve">Zajistit konzistentnost </w:t>
            </w:r>
            <w:r w:rsidR="002A6300">
              <w:t xml:space="preserve">DNSH napříč programy </w:t>
            </w:r>
            <w:r>
              <w:t>na národní úrovni</w:t>
            </w:r>
          </w:p>
        </w:tc>
        <w:tc>
          <w:tcPr>
            <w:tcW w:w="4518" w:type="dxa"/>
          </w:tcPr>
          <w:p w14:paraId="15776970" w14:textId="77777777" w:rsidR="00602DCA" w:rsidRDefault="00C5530C">
            <w:r>
              <w:t>Není vhodné uplatňovat rozdílné podmínky pro typově stejná opatření</w:t>
            </w:r>
          </w:p>
        </w:tc>
      </w:tr>
      <w:tr w:rsidR="00831DB7" w14:paraId="79796A28" w14:textId="77777777">
        <w:tc>
          <w:tcPr>
            <w:tcW w:w="4524" w:type="dxa"/>
          </w:tcPr>
          <w:p w14:paraId="30D64A27" w14:textId="2B3676E0" w:rsidR="00831DB7" w:rsidRDefault="00831DB7" w:rsidP="00831DB7">
            <w:r>
              <w:t>Zajistit systém řízení DNSH na všech úrovních administrace fondů</w:t>
            </w:r>
          </w:p>
        </w:tc>
        <w:tc>
          <w:tcPr>
            <w:tcW w:w="4518" w:type="dxa"/>
          </w:tcPr>
          <w:p w14:paraId="27E78F83" w14:textId="0BB1B4C9" w:rsidR="00831DB7" w:rsidRDefault="00831DB7" w:rsidP="00831DB7">
            <w:r>
              <w:t>Není vhodné uvádět podmínky DNSH jen v části dokumentace v rámci cyklu implementace</w:t>
            </w:r>
            <w:r w:rsidRPr="00E93518" w:rsidDel="00831DB7">
              <w:rPr>
                <w:highlight w:val="yellow"/>
              </w:rPr>
              <w:t xml:space="preserve"> </w:t>
            </w:r>
          </w:p>
        </w:tc>
      </w:tr>
    </w:tbl>
    <w:p w14:paraId="711C2E5C" w14:textId="77777777" w:rsidR="00602DCA" w:rsidRDefault="00602DCA"/>
    <w:p w14:paraId="0467C909" w14:textId="3A832F48" w:rsidR="00393C79" w:rsidRDefault="00393C79">
      <w:pPr>
        <w:pStyle w:val="Nadpis2"/>
      </w:pPr>
      <w:bookmarkStart w:id="55" w:name="_Toc116428050"/>
      <w:bookmarkStart w:id="56" w:name="_Toc210046030"/>
      <w:r w:rsidRPr="00393C79">
        <w:t>Zásada DNSH a klimatické prověřování investic v kontextu finančních nástrojů</w:t>
      </w:r>
      <w:bookmarkEnd w:id="56"/>
    </w:p>
    <w:p w14:paraId="1CF930BC" w14:textId="071128B8" w:rsidR="00393C79" w:rsidRDefault="00DD792D" w:rsidP="00393C79">
      <w:r>
        <w:t>Prostřednictvím f</w:t>
      </w:r>
      <w:r w:rsidRPr="006E58EB">
        <w:t>inanční</w:t>
      </w:r>
      <w:r>
        <w:t>ch</w:t>
      </w:r>
      <w:r w:rsidRPr="006E58EB">
        <w:t xml:space="preserve"> nástroj</w:t>
      </w:r>
      <w:r>
        <w:t>ů</w:t>
      </w:r>
      <w:r w:rsidRPr="006E58EB">
        <w:t xml:space="preserve"> </w:t>
      </w:r>
      <w:r>
        <w:t>je poskytována</w:t>
      </w:r>
      <w:r w:rsidRPr="006E58EB">
        <w:t xml:space="preserve"> konečnému příjemci výhod</w:t>
      </w:r>
      <w:r>
        <w:t>a</w:t>
      </w:r>
      <w:r w:rsidRPr="006E58EB">
        <w:t xml:space="preserve"> ve srovnání</w:t>
      </w:r>
      <w:r w:rsidR="00393C79" w:rsidRPr="001F0F27">
        <w:t xml:space="preserve"> s komerčními produkty. Tato výhoda představuje poskytnutou podporu, jejíž výše se vypočítá prostřednictvím hrubého grantového ekvivalentu.</w:t>
      </w:r>
      <w:r w:rsidR="00393C79">
        <w:t xml:space="preserve"> </w:t>
      </w:r>
      <w:r w:rsidR="00393C79" w:rsidRPr="001F0F27">
        <w:t>Finanční nástroje mohou být poskytnuty např. v režimu podpory malého rozsahu „de minimis“ podle Nařízení č. 2023/2831 (či jiných), kdy je výše podpory poskytnuté jednomu konečnému příjemci v průběhu tříletého období limitována podle příslušného Nařízení.</w:t>
      </w:r>
      <w:r w:rsidR="00393C79">
        <w:t xml:space="preserve"> </w:t>
      </w:r>
      <w:r w:rsidR="00393C79" w:rsidRPr="001F0F27">
        <w:t>Dále lze aplikovat pravidla stanovená v jednotlivých článcích GBER, a to podle charakteru projektu a příjemce podpory – např. článek 14 pro regionální podporu, článek 22 pro zahájení podnikatelské činnosti, článek 38 na zvyšování energetické účinnosti a další.</w:t>
      </w:r>
    </w:p>
    <w:p w14:paraId="1EC90199" w14:textId="3853BDB0" w:rsidR="00393C79" w:rsidRPr="001F0F27" w:rsidRDefault="00DD792D" w:rsidP="00393C79">
      <w:pPr>
        <w:rPr>
          <w:b/>
          <w:bCs/>
        </w:rPr>
      </w:pPr>
      <w:r>
        <w:rPr>
          <w:b/>
          <w:bCs/>
        </w:rPr>
        <w:t>Charakteristika</w:t>
      </w:r>
      <w:r w:rsidRPr="001F0F27">
        <w:rPr>
          <w:b/>
          <w:bCs/>
        </w:rPr>
        <w:t xml:space="preserve"> </w:t>
      </w:r>
      <w:r w:rsidR="00393C79" w:rsidRPr="001F0F27">
        <w:rPr>
          <w:b/>
          <w:bCs/>
        </w:rPr>
        <w:t>jednotlivých forem finančních nástrojů:</w:t>
      </w:r>
    </w:p>
    <w:p w14:paraId="204F1596" w14:textId="77777777" w:rsidR="00393C79" w:rsidRPr="001F0F27" w:rsidRDefault="00393C79" w:rsidP="00393C79">
      <w:pPr>
        <w:pStyle w:val="Odstavecseseznamem"/>
        <w:numPr>
          <w:ilvl w:val="0"/>
          <w:numId w:val="133"/>
        </w:numPr>
        <w:spacing w:after="160" w:line="259" w:lineRule="auto"/>
        <w:contextualSpacing/>
        <w:rPr>
          <w:b/>
          <w:bCs/>
        </w:rPr>
      </w:pPr>
      <w:r w:rsidRPr="001F0F27">
        <w:rPr>
          <w:b/>
          <w:bCs/>
        </w:rPr>
        <w:t>Zvýhodněné úvěry:</w:t>
      </w:r>
    </w:p>
    <w:p w14:paraId="14FBEE84" w14:textId="77777777" w:rsidR="00393C79" w:rsidRDefault="00393C79" w:rsidP="00393C79">
      <w:r>
        <w:t>Investiční či provozní úvěry poskytnuté konečným příjemcům za výhodných podmínek (proti komerčním produktům) na realizaci podnikatelských záměrů. Zvýhodnění obvykle spočívá v nižším, případně žádném úročení úvěru, delším odkladu splácení či splatnosti.</w:t>
      </w:r>
    </w:p>
    <w:p w14:paraId="1FF9FB52" w14:textId="7FA0CE2B" w:rsidR="00393C79" w:rsidRPr="00DE344C" w:rsidRDefault="00393C79" w:rsidP="00393C79">
      <w:pPr>
        <w:rPr>
          <w:b/>
          <w:bCs/>
        </w:rPr>
      </w:pPr>
      <w:r>
        <w:t>Mohou být doplněny o dotační složku</w:t>
      </w:r>
      <w:r w:rsidR="00DD792D" w:rsidRPr="00DD792D">
        <w:t xml:space="preserve"> např. v podobě odpuštění splátek jistiny</w:t>
      </w:r>
      <w:r w:rsidR="00DD792D">
        <w:t>.</w:t>
      </w:r>
    </w:p>
    <w:p w14:paraId="542B4990" w14:textId="77777777" w:rsidR="00393C79" w:rsidRPr="001F0F27" w:rsidRDefault="00393C79" w:rsidP="00393C79">
      <w:pPr>
        <w:pStyle w:val="Odstavecseseznamem"/>
        <w:numPr>
          <w:ilvl w:val="0"/>
          <w:numId w:val="133"/>
        </w:numPr>
        <w:spacing w:after="160" w:line="259" w:lineRule="auto"/>
        <w:contextualSpacing/>
        <w:rPr>
          <w:b/>
          <w:bCs/>
        </w:rPr>
      </w:pPr>
      <w:r w:rsidRPr="001F0F27">
        <w:rPr>
          <w:b/>
          <w:bCs/>
        </w:rPr>
        <w:t>Zvýhodněné záruky:</w:t>
      </w:r>
    </w:p>
    <w:p w14:paraId="1BB1EBD0" w14:textId="77777777" w:rsidR="00393C79" w:rsidRDefault="00393C79" w:rsidP="00393C79">
      <w:r>
        <w:t xml:space="preserve">Záruky za provozní či </w:t>
      </w:r>
      <w:r w:rsidRPr="00F56CA9">
        <w:t>investiční úvěry komerčních poskytovatelů,</w:t>
      </w:r>
      <w:r>
        <w:t xml:space="preserve"> které konečným příjemcům usnadňují přístup k financování či jej zlevňují (řeší potřebu zajištění úvěru). Záruky se konečným příjemcům poskytují za zvýhodněnou cenu (proti komerčním zárukám) či zdarma. Základní dělení je na portfoliové a individuální.</w:t>
      </w:r>
    </w:p>
    <w:p w14:paraId="13B03D84" w14:textId="57124187" w:rsidR="00393C79" w:rsidRDefault="00393C79" w:rsidP="00393C79">
      <w:r>
        <w:t>Mohou být doplněny o dotační složku</w:t>
      </w:r>
      <w:r w:rsidR="00DD792D">
        <w:t xml:space="preserve"> např. v podobě úhrady splátek jistiny zaručeného úvěru</w:t>
      </w:r>
      <w:r w:rsidR="00DD792D" w:rsidRPr="006E58EB">
        <w:t>.</w:t>
      </w:r>
    </w:p>
    <w:p w14:paraId="6B34B835" w14:textId="77777777" w:rsidR="00393C79" w:rsidRPr="001F0F27" w:rsidRDefault="00393C79" w:rsidP="00393C79">
      <w:pPr>
        <w:pStyle w:val="Odstavecseseznamem"/>
        <w:numPr>
          <w:ilvl w:val="0"/>
          <w:numId w:val="133"/>
        </w:numPr>
        <w:spacing w:after="160" w:line="259" w:lineRule="auto"/>
        <w:contextualSpacing/>
        <w:rPr>
          <w:b/>
          <w:bCs/>
        </w:rPr>
      </w:pPr>
      <w:r w:rsidRPr="001F0F27">
        <w:rPr>
          <w:b/>
          <w:bCs/>
        </w:rPr>
        <w:t>Zvýhodněné podřízené úvěry:</w:t>
      </w:r>
    </w:p>
    <w:p w14:paraId="7501E1D9" w14:textId="388AD999" w:rsidR="00393C79" w:rsidRPr="00F56CA9" w:rsidRDefault="00DD792D" w:rsidP="00393C79">
      <w:pPr>
        <w:rPr>
          <w:b/>
          <w:bCs/>
        </w:rPr>
      </w:pPr>
      <w:r>
        <w:t>„Juniorní“ ú</w:t>
      </w:r>
      <w:r w:rsidRPr="006E58EB">
        <w:t>věry s výhodnou úrokovou sazbou podřízené „seniornímu“ úvěru komerčního poskytovatele, s nímž má poskytovatel podpory uzavřenu smlouvu o spolupráci. Podřízený úvěr se splácí až po splacení „seniorního“ úvěru</w:t>
      </w:r>
      <w:r>
        <w:t>. V případě defaultu projektu jsou primárně uspokojeny pohledávky seniorního věřitele</w:t>
      </w:r>
      <w:r w:rsidRPr="006E58EB">
        <w:t>.</w:t>
      </w:r>
      <w:r>
        <w:t xml:space="preserve"> </w:t>
      </w:r>
      <w:r w:rsidR="00393C79">
        <w:rPr>
          <w:b/>
          <w:bCs/>
        </w:rPr>
        <w:t>DNSH a předmět úvěru</w:t>
      </w:r>
      <w:r w:rsidR="001E5491">
        <w:rPr>
          <w:b/>
          <w:bCs/>
        </w:rPr>
        <w:t>:</w:t>
      </w:r>
    </w:p>
    <w:p w14:paraId="6442300D" w14:textId="77777777" w:rsidR="00393C79" w:rsidRDefault="00393C79" w:rsidP="00393C79">
      <w:r>
        <w:t>Pro účely aplikace FN jsou používané pojmy zpravidla definovány následovně:</w:t>
      </w:r>
    </w:p>
    <w:p w14:paraId="4855D942" w14:textId="1546395D" w:rsidR="00393C79" w:rsidRDefault="00393C79" w:rsidP="00393C79">
      <w:pPr>
        <w:pStyle w:val="Odstavecseseznamem"/>
        <w:numPr>
          <w:ilvl w:val="0"/>
          <w:numId w:val="133"/>
        </w:numPr>
      </w:pPr>
      <w:r w:rsidRPr="00393C79">
        <w:rPr>
          <w:b/>
          <w:bCs/>
        </w:rPr>
        <w:t>Provozní úvěr</w:t>
      </w:r>
      <w:r w:rsidRPr="00393C79">
        <w:t xml:space="preserve"> </w:t>
      </w:r>
    </w:p>
    <w:p w14:paraId="324D927F" w14:textId="6599D140" w:rsidR="00DD792D" w:rsidRDefault="00393C79" w:rsidP="00393C79">
      <w:r>
        <w:lastRenderedPageBreak/>
        <w:t>J</w:t>
      </w:r>
      <w:r w:rsidRPr="00393C79">
        <w:t xml:space="preserve">edná se o neinvestiční úvěr, slouží ke krátkodobému financování </w:t>
      </w:r>
      <w:r w:rsidR="00DD792D" w:rsidRPr="00DD792D">
        <w:t xml:space="preserve">provozních potřeb </w:t>
      </w:r>
      <w:r w:rsidRPr="00393C79">
        <w:t>firmy, tj. n</w:t>
      </w:r>
      <w:r w:rsidRPr="00393C79">
        <w:rPr>
          <w:rFonts w:hint="cs"/>
        </w:rPr>
        <w:t>á</w:t>
      </w:r>
      <w:r w:rsidRPr="00393C79">
        <w:t>kupu materi</w:t>
      </w:r>
      <w:r w:rsidRPr="00393C79">
        <w:rPr>
          <w:rFonts w:hint="cs"/>
        </w:rPr>
        <w:t>á</w:t>
      </w:r>
      <w:r w:rsidRPr="00393C79">
        <w:t>lu, po</w:t>
      </w:r>
      <w:r w:rsidRPr="00393C79">
        <w:rPr>
          <w:rFonts w:hint="cs"/>
        </w:rPr>
        <w:t>ří</w:t>
      </w:r>
      <w:r w:rsidRPr="00393C79">
        <w:t>zen</w:t>
      </w:r>
      <w:r w:rsidRPr="00393C79">
        <w:rPr>
          <w:rFonts w:hint="cs"/>
        </w:rPr>
        <w:t>í</w:t>
      </w:r>
      <w:r w:rsidRPr="00393C79">
        <w:t xml:space="preserve"> z</w:t>
      </w:r>
      <w:r w:rsidRPr="00393C79">
        <w:rPr>
          <w:rFonts w:hint="cs"/>
        </w:rPr>
        <w:t>á</w:t>
      </w:r>
      <w:r w:rsidRPr="00393C79">
        <w:t>sob, po</w:t>
      </w:r>
      <w:r w:rsidRPr="00393C79">
        <w:rPr>
          <w:rFonts w:hint="cs"/>
        </w:rPr>
        <w:t>ří</w:t>
      </w:r>
      <w:r w:rsidRPr="00393C79">
        <w:t>zen</w:t>
      </w:r>
      <w:r w:rsidRPr="00393C79">
        <w:rPr>
          <w:rFonts w:hint="cs"/>
        </w:rPr>
        <w:t>í</w:t>
      </w:r>
      <w:r w:rsidRPr="00393C79">
        <w:t xml:space="preserve"> drobn</w:t>
      </w:r>
      <w:r w:rsidRPr="00393C79">
        <w:rPr>
          <w:rFonts w:hint="cs"/>
        </w:rPr>
        <w:t>é</w:t>
      </w:r>
      <w:r w:rsidRPr="00393C79">
        <w:t>ho ne(hmotn</w:t>
      </w:r>
      <w:r w:rsidRPr="00393C79">
        <w:rPr>
          <w:rFonts w:hint="cs"/>
        </w:rPr>
        <w:t>é</w:t>
      </w:r>
      <w:r w:rsidRPr="00393C79">
        <w:t>ho) majetku (DDHM – delší jak 1 rok, cena po</w:t>
      </w:r>
      <w:r w:rsidRPr="00393C79">
        <w:rPr>
          <w:rFonts w:hint="cs"/>
        </w:rPr>
        <w:t>ří</w:t>
      </w:r>
      <w:r w:rsidRPr="00393C79">
        <w:t>zen</w:t>
      </w:r>
      <w:r w:rsidRPr="00393C79">
        <w:rPr>
          <w:rFonts w:hint="cs"/>
        </w:rPr>
        <w:t>á</w:t>
      </w:r>
      <w:r w:rsidRPr="00393C79">
        <w:t xml:space="preserve"> ni</w:t>
      </w:r>
      <w:r w:rsidRPr="00393C79">
        <w:rPr>
          <w:rFonts w:hint="cs"/>
        </w:rPr>
        <w:t>žší</w:t>
      </w:r>
      <w:r w:rsidRPr="00393C79">
        <w:t xml:space="preserve"> jak 40</w:t>
      </w:r>
      <w:r w:rsidR="00DD792D" w:rsidRPr="00DD792D">
        <w:t xml:space="preserve"> </w:t>
      </w:r>
      <w:r w:rsidRPr="00393C79">
        <w:t>000 K</w:t>
      </w:r>
      <w:r w:rsidRPr="00393C79">
        <w:rPr>
          <w:rFonts w:hint="cs"/>
        </w:rPr>
        <w:t>č</w:t>
      </w:r>
      <w:r w:rsidRPr="00393C79">
        <w:t>),</w:t>
      </w:r>
      <w:r w:rsidRPr="00DB1A0B">
        <w:t xml:space="preserve"> úhradě dodavatelsko-odběratelských faktur. Nezahrnuje mzdy.</w:t>
      </w:r>
      <w:r w:rsidR="00DD792D" w:rsidRPr="00DD792D">
        <w:t>na operativní řízení cash-</w:t>
      </w:r>
      <w:proofErr w:type="spellStart"/>
      <w:r w:rsidR="00DD792D" w:rsidRPr="00DD792D">
        <w:t>flow</w:t>
      </w:r>
      <w:proofErr w:type="spellEnd"/>
      <w:r w:rsidR="00DD792D" w:rsidRPr="00DD792D">
        <w:t>.</w:t>
      </w:r>
      <w:r w:rsidR="00FB2A0F">
        <w:t xml:space="preserve"> </w:t>
      </w:r>
      <w:r w:rsidR="00DD792D" w:rsidRPr="00DD792D">
        <w:t xml:space="preserve">Provozní úvěr vyhovuje zásadě DNSH. </w:t>
      </w:r>
    </w:p>
    <w:p w14:paraId="0CFFD138" w14:textId="2F278CAC" w:rsidR="00393C79" w:rsidRDefault="00393C79" w:rsidP="00393C79">
      <w:pPr>
        <w:pStyle w:val="Odstavecseseznamem"/>
        <w:numPr>
          <w:ilvl w:val="0"/>
          <w:numId w:val="133"/>
        </w:numPr>
      </w:pPr>
      <w:r w:rsidRPr="00393C79">
        <w:rPr>
          <w:b/>
          <w:bCs/>
        </w:rPr>
        <w:t>Investiční úvěr</w:t>
      </w:r>
      <w:r w:rsidRPr="00393C79">
        <w:t xml:space="preserve"> </w:t>
      </w:r>
    </w:p>
    <w:p w14:paraId="05AD7A3A" w14:textId="71D82696" w:rsidR="00A01009" w:rsidRDefault="00A01009" w:rsidP="00A01009">
      <w:r>
        <w:t xml:space="preserve">Úvěr určený pro pořízení dlouhodobého hmotného a (nebo) nehmotného </w:t>
      </w:r>
      <w:r w:rsidR="00FA6073">
        <w:t>majetku – majetek</w:t>
      </w:r>
      <w:r>
        <w:t xml:space="preserve"> s životností delší než 1 rok; investiční úvěr zohledňuje charakter podpořené investice z hlediska DNSH, zpravidla podléhá také </w:t>
      </w:r>
      <w:proofErr w:type="spellStart"/>
      <w:r>
        <w:t>climate</w:t>
      </w:r>
      <w:proofErr w:type="spellEnd"/>
      <w:r>
        <w:t xml:space="preserve"> </w:t>
      </w:r>
      <w:proofErr w:type="spellStart"/>
      <w:r>
        <w:t>proofingu</w:t>
      </w:r>
      <w:proofErr w:type="spellEnd"/>
      <w:r>
        <w:t>.</w:t>
      </w:r>
    </w:p>
    <w:p w14:paraId="0D203EB1" w14:textId="0C4D3AFC" w:rsidR="00393C79" w:rsidRDefault="00A01009" w:rsidP="00393C79">
      <w:r>
        <w:t>Procesní nastavení implementace zásady DNSH i prověření CP jsou řešeny smluvně mezi správcem programu a poskytovatelem podpory.</w:t>
      </w:r>
    </w:p>
    <w:p w14:paraId="7E796D4C" w14:textId="77777777" w:rsidR="00B34536" w:rsidRPr="008545CF" w:rsidRDefault="00B34536" w:rsidP="00D77C59">
      <w:pPr>
        <w:pStyle w:val="Nadpis3"/>
      </w:pPr>
      <w:r w:rsidRPr="008545CF">
        <w:t>Doporučená praxe pro implementaci DNSH v rámci finančních nástrojů</w:t>
      </w:r>
    </w:p>
    <w:p w14:paraId="1C7B33B5" w14:textId="57971F73" w:rsidR="005771DC" w:rsidRPr="00EB4B01" w:rsidRDefault="00EB4B01" w:rsidP="00B34536">
      <w:r w:rsidRPr="00D77C59">
        <w:t>Zásada DNSH se vztahuje na finanční nástroje zřizované evropskými fondy na základě legislativních odkazů v </w:t>
      </w:r>
      <w:hyperlink w:anchor="_Legislativní_odkazy_DNSH" w:history="1">
        <w:r w:rsidRPr="00D77C59">
          <w:rPr>
            <w:rStyle w:val="Hypertextovodkaz"/>
          </w:rPr>
          <w:t>kapitole 2.3</w:t>
        </w:r>
      </w:hyperlink>
      <w:r w:rsidRPr="00D77C59">
        <w:t>.</w:t>
      </w:r>
    </w:p>
    <w:p w14:paraId="1362E92F" w14:textId="5D94B717" w:rsidR="00B34536" w:rsidRDefault="00B34536" w:rsidP="00B34536">
      <w:r>
        <w:t xml:space="preserve">V první řadě by se mělo k principu DNSH přistupovat horizontálně, a to i dle závěrů </w:t>
      </w:r>
      <w:hyperlink r:id="rId38" w:history="1">
        <w:proofErr w:type="spellStart"/>
        <w:r w:rsidRPr="0074523B">
          <w:rPr>
            <w:rStyle w:val="Hypertextovodkaz"/>
          </w:rPr>
          <w:t>fi-compass</w:t>
        </w:r>
        <w:proofErr w:type="spellEnd"/>
        <w:r w:rsidRPr="0074523B">
          <w:rPr>
            <w:rStyle w:val="Hypertextovodkaz"/>
          </w:rPr>
          <w:t xml:space="preserve"> </w:t>
        </w:r>
        <w:proofErr w:type="spellStart"/>
        <w:r w:rsidRPr="0074523B">
          <w:rPr>
            <w:rStyle w:val="Hypertextovodkaz"/>
          </w:rPr>
          <w:t>Knowledge</w:t>
        </w:r>
        <w:proofErr w:type="spellEnd"/>
        <w:r w:rsidRPr="0074523B">
          <w:rPr>
            <w:rStyle w:val="Hypertextovodkaz"/>
          </w:rPr>
          <w:t xml:space="preserve"> Hub – zásada významně nepoškozovat a klimatické prověřování investic v kontextu finančních nástrojů ERDF/CF v programovém období 2021–2027</w:t>
        </w:r>
      </w:hyperlink>
      <w:r>
        <w:t xml:space="preserve">. V této souvislosti neexistuje povinnost, která by vyžadovala posouzení DNSH na úrovni jednotlivých projektů / na úrovni každé finanční operace. Posouzení souladu s DNSH by mělo být provedeno na úrovni programu a každý druh podporované aktivity by měl být v souladu se zásadou významně nepoškozovat. Příslušné prohlášení souladu na úrovni programu / finančního schématu by mělo být doprovozeno konkrétním hodnocením DNSH pro podporované aktivity provedeno a zdokumentováno zodpovědným administrátorem EU zdrojů na straně státu. </w:t>
      </w:r>
    </w:p>
    <w:p w14:paraId="133F7861" w14:textId="58FD7F0E" w:rsidR="005771DC" w:rsidRDefault="00A01009" w:rsidP="00A01009">
      <w:r>
        <w:t xml:space="preserve">Podmínky související s DNSH (např. určitá </w:t>
      </w:r>
      <w:proofErr w:type="spellStart"/>
      <w:r>
        <w:t>mitigační</w:t>
      </w:r>
      <w:proofErr w:type="spellEnd"/>
      <w:r>
        <w:t xml:space="preserve"> opatření) </w:t>
      </w:r>
      <w:r w:rsidRPr="004D1783">
        <w:t xml:space="preserve">jsou smluvně zajištěny, pokud jsou zahrnuty do dohody o financování mezi </w:t>
      </w:r>
      <w:r w:rsidR="007F68AD">
        <w:t>administrátorem zdrojů EU</w:t>
      </w:r>
      <w:r w:rsidR="007F68AD" w:rsidRPr="004D1783">
        <w:t xml:space="preserve"> </w:t>
      </w:r>
      <w:r w:rsidRPr="004D1783">
        <w:t>a správcem finančního nástroje</w:t>
      </w:r>
      <w:r>
        <w:t>, případně správcem holdingového fondu</w:t>
      </w:r>
      <w:r w:rsidRPr="004D1783">
        <w:t>.</w:t>
      </w:r>
      <w:r w:rsidRPr="006E58EB" w:rsidDel="00441763">
        <w:t xml:space="preserve"> </w:t>
      </w:r>
    </w:p>
    <w:p w14:paraId="74B14A82" w14:textId="77777777" w:rsidR="005771DC" w:rsidRDefault="005771DC" w:rsidP="005771DC">
      <w:pPr>
        <w:rPr>
          <w:b/>
          <w:bCs/>
        </w:rPr>
      </w:pPr>
      <w:r>
        <w:rPr>
          <w:b/>
          <w:bCs/>
        </w:rPr>
        <w:t>Dle oznámení Komise „</w:t>
      </w:r>
      <w:hyperlink r:id="rId39" w:history="1">
        <w:r w:rsidRPr="00845AE3">
          <w:rPr>
            <w:rStyle w:val="Hypertextovodkaz"/>
            <w:b/>
            <w:bCs/>
          </w:rPr>
          <w:t>Technické pokyny k uplatňování zásady „významně nepoškozovat“ podle nařízení o Nástroji pro oživení a odolnost</w:t>
        </w:r>
      </w:hyperlink>
      <w:r>
        <w:rPr>
          <w:b/>
          <w:bCs/>
        </w:rPr>
        <w:t xml:space="preserve">“ se </w:t>
      </w:r>
      <w:r w:rsidRPr="00524503">
        <w:rPr>
          <w:b/>
          <w:bCs/>
        </w:rPr>
        <w:t>pro účely finančních produktů považuje za dostatečné k prokázání souladu s DNSH:</w:t>
      </w:r>
    </w:p>
    <w:p w14:paraId="50846093" w14:textId="10003121" w:rsidR="005771DC" w:rsidRDefault="005771DC" w:rsidP="005771DC">
      <w:pPr>
        <w:pStyle w:val="Odstavecseseznamem"/>
        <w:numPr>
          <w:ilvl w:val="0"/>
          <w:numId w:val="133"/>
        </w:numPr>
        <w:spacing w:after="160" w:line="259" w:lineRule="auto"/>
        <w:contextualSpacing/>
        <w:rPr>
          <w:b/>
          <w:bCs/>
        </w:rPr>
      </w:pPr>
      <w:r>
        <w:rPr>
          <w:b/>
          <w:bCs/>
        </w:rPr>
        <w:t>Provedení ověřování udržitelnosti v souladu s </w:t>
      </w:r>
      <w:hyperlink r:id="rId40" w:history="1">
        <w:r w:rsidRPr="00845AE3">
          <w:rPr>
            <w:rStyle w:val="Hypertextovodkaz"/>
            <w:b/>
            <w:bCs/>
          </w:rPr>
          <w:t>technickými pokyny Komise</w:t>
        </w:r>
        <w:r w:rsidRPr="00845AE3">
          <w:rPr>
            <w:rStyle w:val="Hypertextovodkaz"/>
          </w:rPr>
          <w:t xml:space="preserve"> </w:t>
        </w:r>
        <w:r w:rsidRPr="00845AE3">
          <w:rPr>
            <w:rStyle w:val="Hypertextovodkaz"/>
            <w:b/>
            <w:bCs/>
          </w:rPr>
          <w:t>(2021/C 280/01</w:t>
        </w:r>
        <w:r>
          <w:rPr>
            <w:rStyle w:val="Hypertextovodkaz"/>
            <w:b/>
            <w:bCs/>
          </w:rPr>
          <w:t xml:space="preserve"> pro prověřování udržitelnosti</w:t>
        </w:r>
        <w:r w:rsidRPr="00845AE3">
          <w:rPr>
            <w:rStyle w:val="Hypertextovodkaz"/>
            <w:b/>
            <w:bCs/>
          </w:rPr>
          <w:t>)</w:t>
        </w:r>
      </w:hyperlink>
      <w:r>
        <w:rPr>
          <w:b/>
          <w:bCs/>
        </w:rPr>
        <w:t xml:space="preserve"> v kombinaci s aplikací politik implementačního partnera (konkrétně </w:t>
      </w:r>
      <w:hyperlink r:id="rId41" w:history="1">
        <w:r w:rsidRPr="005F36D1">
          <w:rPr>
            <w:rStyle w:val="Hypertextovodkaz"/>
            <w:b/>
            <w:bCs/>
          </w:rPr>
          <w:t xml:space="preserve">EIB Group </w:t>
        </w:r>
        <w:proofErr w:type="spellStart"/>
        <w:r w:rsidRPr="005F36D1">
          <w:rPr>
            <w:rStyle w:val="Hypertextovodkaz"/>
            <w:b/>
            <w:bCs/>
          </w:rPr>
          <w:t>Climate</w:t>
        </w:r>
        <w:proofErr w:type="spellEnd"/>
        <w:r w:rsidRPr="005F36D1">
          <w:rPr>
            <w:rStyle w:val="Hypertextovodkaz"/>
            <w:b/>
            <w:bCs/>
          </w:rPr>
          <w:t xml:space="preserve"> Bank </w:t>
        </w:r>
        <w:proofErr w:type="spellStart"/>
        <w:r w:rsidRPr="005F36D1">
          <w:rPr>
            <w:rStyle w:val="Hypertextovodkaz"/>
            <w:b/>
            <w:bCs/>
          </w:rPr>
          <w:t>Roadmap</w:t>
        </w:r>
        <w:proofErr w:type="spellEnd"/>
        <w:r w:rsidRPr="005F36D1">
          <w:rPr>
            <w:rStyle w:val="Hypertextovodkaz"/>
            <w:b/>
            <w:bCs/>
          </w:rPr>
          <w:t xml:space="preserve"> 2021-2025</w:t>
        </w:r>
      </w:hyperlink>
      <w:r>
        <w:rPr>
          <w:b/>
          <w:bCs/>
        </w:rPr>
        <w:t xml:space="preserve"> a v případě EBRD </w:t>
      </w:r>
      <w:hyperlink r:id="rId42" w:history="1">
        <w:r w:rsidRPr="005F36D1">
          <w:rPr>
            <w:rStyle w:val="Hypertextovodkaz"/>
            <w:b/>
            <w:bCs/>
          </w:rPr>
          <w:t xml:space="preserve"> </w:t>
        </w:r>
        <w:proofErr w:type="spellStart"/>
        <w:r w:rsidRPr="005F36D1">
          <w:rPr>
            <w:rStyle w:val="Hypertextovodkaz"/>
            <w:b/>
            <w:bCs/>
          </w:rPr>
          <w:t>Environmental</w:t>
        </w:r>
        <w:proofErr w:type="spellEnd"/>
        <w:r w:rsidRPr="005F36D1">
          <w:rPr>
            <w:rStyle w:val="Hypertextovodkaz"/>
            <w:b/>
            <w:bCs/>
          </w:rPr>
          <w:t xml:space="preserve"> and </w:t>
        </w:r>
        <w:proofErr w:type="spellStart"/>
        <w:r w:rsidRPr="005F36D1">
          <w:rPr>
            <w:rStyle w:val="Hypertextovodkaz"/>
            <w:b/>
            <w:bCs/>
          </w:rPr>
          <w:t>Solial</w:t>
        </w:r>
        <w:proofErr w:type="spellEnd"/>
        <w:r w:rsidRPr="005F36D1">
          <w:rPr>
            <w:rStyle w:val="Hypertextovodkaz"/>
            <w:b/>
            <w:bCs/>
          </w:rPr>
          <w:t xml:space="preserve"> </w:t>
        </w:r>
        <w:proofErr w:type="spellStart"/>
        <w:r w:rsidRPr="005F36D1">
          <w:rPr>
            <w:rStyle w:val="Hypertextovodkaz"/>
            <w:b/>
            <w:bCs/>
          </w:rPr>
          <w:t>Policy</w:t>
        </w:r>
        <w:proofErr w:type="spellEnd"/>
      </w:hyperlink>
      <w:r>
        <w:rPr>
          <w:b/>
          <w:bCs/>
        </w:rPr>
        <w:t xml:space="preserve"> a</w:t>
      </w:r>
      <w:r w:rsidR="00FB2A0F">
        <w:rPr>
          <w:b/>
          <w:bCs/>
        </w:rPr>
        <w:t xml:space="preserve"> </w:t>
      </w:r>
      <w:hyperlink r:id="rId43" w:history="1">
        <w:proofErr w:type="spellStart"/>
        <w:r w:rsidRPr="005F36D1">
          <w:rPr>
            <w:rStyle w:val="Hypertextovodkaz"/>
            <w:b/>
            <w:bCs/>
          </w:rPr>
          <w:t>Methodology</w:t>
        </w:r>
        <w:proofErr w:type="spellEnd"/>
        <w:r w:rsidRPr="005F36D1">
          <w:rPr>
            <w:rStyle w:val="Hypertextovodkaz"/>
            <w:b/>
            <w:bCs/>
          </w:rPr>
          <w:t xml:space="preserve"> to </w:t>
        </w:r>
        <w:proofErr w:type="spellStart"/>
        <w:r w:rsidRPr="005F36D1">
          <w:rPr>
            <w:rStyle w:val="Hypertextovodkaz"/>
            <w:b/>
            <w:bCs/>
          </w:rPr>
          <w:t>determine</w:t>
        </w:r>
        <w:proofErr w:type="spellEnd"/>
        <w:r w:rsidRPr="005F36D1">
          <w:rPr>
            <w:rStyle w:val="Hypertextovodkaz"/>
            <w:b/>
            <w:bCs/>
          </w:rPr>
          <w:t xml:space="preserve"> </w:t>
        </w:r>
        <w:proofErr w:type="spellStart"/>
        <w:r w:rsidRPr="005F36D1">
          <w:rPr>
            <w:rStyle w:val="Hypertextovodkaz"/>
            <w:b/>
            <w:bCs/>
          </w:rPr>
          <w:t>the</w:t>
        </w:r>
        <w:proofErr w:type="spellEnd"/>
        <w:r w:rsidRPr="005F36D1">
          <w:rPr>
            <w:rStyle w:val="Hypertextovodkaz"/>
            <w:b/>
            <w:bCs/>
          </w:rPr>
          <w:t xml:space="preserve"> Paris </w:t>
        </w:r>
        <w:proofErr w:type="spellStart"/>
        <w:r w:rsidRPr="005F36D1">
          <w:rPr>
            <w:rStyle w:val="Hypertextovodkaz"/>
            <w:b/>
            <w:bCs/>
          </w:rPr>
          <w:t>Agreement</w:t>
        </w:r>
        <w:proofErr w:type="spellEnd"/>
        <w:r w:rsidRPr="005F36D1">
          <w:rPr>
            <w:rStyle w:val="Hypertextovodkaz"/>
            <w:b/>
            <w:bCs/>
          </w:rPr>
          <w:t xml:space="preserve"> </w:t>
        </w:r>
        <w:proofErr w:type="spellStart"/>
        <w:r w:rsidRPr="005F36D1">
          <w:rPr>
            <w:rStyle w:val="Hypertextovodkaz"/>
            <w:b/>
            <w:bCs/>
          </w:rPr>
          <w:t>alignment</w:t>
        </w:r>
        <w:proofErr w:type="spellEnd"/>
        <w:r w:rsidRPr="005F36D1">
          <w:rPr>
            <w:rStyle w:val="Hypertextovodkaz"/>
            <w:b/>
            <w:bCs/>
          </w:rPr>
          <w:t xml:space="preserve"> </w:t>
        </w:r>
        <w:proofErr w:type="spellStart"/>
        <w:r w:rsidRPr="005F36D1">
          <w:rPr>
            <w:rStyle w:val="Hypertextovodkaz"/>
            <w:b/>
            <w:bCs/>
          </w:rPr>
          <w:t>of</w:t>
        </w:r>
        <w:proofErr w:type="spellEnd"/>
        <w:r w:rsidRPr="005F36D1">
          <w:rPr>
            <w:rStyle w:val="Hypertextovodkaz"/>
            <w:b/>
            <w:bCs/>
          </w:rPr>
          <w:t xml:space="preserve"> EBRD </w:t>
        </w:r>
        <w:proofErr w:type="spellStart"/>
        <w:r w:rsidRPr="005F36D1">
          <w:rPr>
            <w:rStyle w:val="Hypertextovodkaz"/>
            <w:b/>
            <w:bCs/>
          </w:rPr>
          <w:t>investments</w:t>
        </w:r>
        <w:proofErr w:type="spellEnd"/>
      </w:hyperlink>
      <w:r w:rsidR="00690D22" w:rsidRPr="00690D22">
        <w:rPr>
          <w:b/>
          <w:bCs/>
        </w:rPr>
        <w:t>)</w:t>
      </w:r>
      <w:r>
        <w:rPr>
          <w:b/>
          <w:bCs/>
        </w:rPr>
        <w:t>.</w:t>
      </w:r>
    </w:p>
    <w:p w14:paraId="0179D148" w14:textId="77777777" w:rsidR="005771DC" w:rsidRDefault="005771DC" w:rsidP="005771DC">
      <w:pPr>
        <w:pStyle w:val="Odstavecseseznamem"/>
        <w:numPr>
          <w:ilvl w:val="0"/>
          <w:numId w:val="133"/>
        </w:numPr>
        <w:spacing w:after="160" w:line="259" w:lineRule="auto"/>
        <w:contextualSpacing/>
        <w:rPr>
          <w:b/>
          <w:bCs/>
        </w:rPr>
      </w:pPr>
      <w:r>
        <w:rPr>
          <w:b/>
          <w:bCs/>
        </w:rPr>
        <w:t xml:space="preserve">V případě </w:t>
      </w:r>
      <w:r w:rsidRPr="00524503">
        <w:rPr>
          <w:b/>
          <w:bCs/>
        </w:rPr>
        <w:t>záručních dohod s implementačními partnery, jimiž nejsou EIB a EBRD,</w:t>
      </w:r>
      <w:r>
        <w:rPr>
          <w:b/>
          <w:bCs/>
        </w:rPr>
        <w:t xml:space="preserve"> je nutné pro prokázání souladu zaručit jedno z níže uvedených: </w:t>
      </w:r>
    </w:p>
    <w:p w14:paraId="395E5D85" w14:textId="77777777" w:rsidR="005771DC" w:rsidRDefault="005771DC" w:rsidP="005771DC">
      <w:pPr>
        <w:pStyle w:val="Odstavecseseznamem"/>
        <w:numPr>
          <w:ilvl w:val="1"/>
          <w:numId w:val="183"/>
        </w:numPr>
        <w:spacing w:after="160" w:line="259" w:lineRule="auto"/>
        <w:contextualSpacing/>
        <w:rPr>
          <w:b/>
          <w:bCs/>
        </w:rPr>
      </w:pPr>
      <w:r>
        <w:rPr>
          <w:b/>
          <w:bCs/>
        </w:rPr>
        <w:t>soulad se standardy stanovenými v delegovaných aktech Taxonomie pro příslušný environmentální cíl, nebo</w:t>
      </w:r>
    </w:p>
    <w:p w14:paraId="74369127" w14:textId="726967D2" w:rsidR="005771DC" w:rsidRDefault="005771DC" w:rsidP="005771DC">
      <w:pPr>
        <w:pStyle w:val="Odstavecseseznamem"/>
        <w:numPr>
          <w:ilvl w:val="1"/>
          <w:numId w:val="183"/>
        </w:numPr>
        <w:spacing w:after="160" w:line="259" w:lineRule="auto"/>
        <w:contextualSpacing/>
        <w:rPr>
          <w:b/>
          <w:bCs/>
        </w:rPr>
      </w:pPr>
      <w:r>
        <w:rPr>
          <w:b/>
          <w:bCs/>
        </w:rPr>
        <w:t>mít kritéria podobná výše uvedené poli</w:t>
      </w:r>
      <w:r w:rsidR="008545CF">
        <w:rPr>
          <w:b/>
          <w:bCs/>
        </w:rPr>
        <w:t>ti</w:t>
      </w:r>
      <w:r>
        <w:rPr>
          <w:b/>
          <w:bCs/>
        </w:rPr>
        <w:t>ce skupiny EIB</w:t>
      </w:r>
      <w:r w:rsidR="00690D22">
        <w:rPr>
          <w:b/>
          <w:bCs/>
        </w:rPr>
        <w:t xml:space="preserve"> (</w:t>
      </w:r>
      <w:hyperlink r:id="rId44" w:history="1">
        <w:r w:rsidR="00690D22" w:rsidRPr="005F36D1">
          <w:rPr>
            <w:rStyle w:val="Hypertextovodkaz"/>
            <w:b/>
            <w:bCs/>
          </w:rPr>
          <w:t xml:space="preserve">EIB Group </w:t>
        </w:r>
        <w:proofErr w:type="spellStart"/>
        <w:r w:rsidR="00690D22" w:rsidRPr="005F36D1">
          <w:rPr>
            <w:rStyle w:val="Hypertextovodkaz"/>
            <w:b/>
            <w:bCs/>
          </w:rPr>
          <w:t>Climate</w:t>
        </w:r>
        <w:proofErr w:type="spellEnd"/>
        <w:r w:rsidR="00690D22" w:rsidRPr="005F36D1">
          <w:rPr>
            <w:rStyle w:val="Hypertextovodkaz"/>
            <w:b/>
            <w:bCs/>
          </w:rPr>
          <w:t xml:space="preserve"> Bank </w:t>
        </w:r>
        <w:proofErr w:type="spellStart"/>
        <w:r w:rsidR="00690D22" w:rsidRPr="005F36D1">
          <w:rPr>
            <w:rStyle w:val="Hypertextovodkaz"/>
            <w:b/>
            <w:bCs/>
          </w:rPr>
          <w:t>Roadmap</w:t>
        </w:r>
        <w:proofErr w:type="spellEnd"/>
        <w:r w:rsidR="00690D22" w:rsidRPr="005F36D1">
          <w:rPr>
            <w:rStyle w:val="Hypertextovodkaz"/>
            <w:b/>
            <w:bCs/>
          </w:rPr>
          <w:t xml:space="preserve"> 2021-2025</w:t>
        </w:r>
      </w:hyperlink>
      <w:r w:rsidR="00690D22" w:rsidRPr="00690D22">
        <w:rPr>
          <w:b/>
          <w:bCs/>
        </w:rPr>
        <w:t>)</w:t>
      </w:r>
      <w:r w:rsidR="00690D22">
        <w:rPr>
          <w:b/>
          <w:bCs/>
        </w:rPr>
        <w:t xml:space="preserve"> nebo EBRD </w:t>
      </w:r>
      <w:hyperlink r:id="rId45" w:history="1">
        <w:r w:rsidR="00690D22" w:rsidRPr="005F36D1">
          <w:rPr>
            <w:rStyle w:val="Hypertextovodkaz"/>
            <w:b/>
            <w:bCs/>
          </w:rPr>
          <w:t xml:space="preserve"> </w:t>
        </w:r>
        <w:r w:rsidR="00C1082F">
          <w:rPr>
            <w:rStyle w:val="Hypertextovodkaz"/>
            <w:b/>
            <w:bCs/>
          </w:rPr>
          <w:t>(</w:t>
        </w:r>
        <w:proofErr w:type="spellStart"/>
        <w:r w:rsidR="00690D22" w:rsidRPr="005F36D1">
          <w:rPr>
            <w:rStyle w:val="Hypertextovodkaz"/>
            <w:b/>
            <w:bCs/>
          </w:rPr>
          <w:t>Environmental</w:t>
        </w:r>
        <w:proofErr w:type="spellEnd"/>
        <w:r w:rsidR="00690D22" w:rsidRPr="005F36D1">
          <w:rPr>
            <w:rStyle w:val="Hypertextovodkaz"/>
            <w:b/>
            <w:bCs/>
          </w:rPr>
          <w:t xml:space="preserve"> and </w:t>
        </w:r>
        <w:proofErr w:type="spellStart"/>
        <w:r w:rsidR="00690D22" w:rsidRPr="005F36D1">
          <w:rPr>
            <w:rStyle w:val="Hypertextovodkaz"/>
            <w:b/>
            <w:bCs/>
          </w:rPr>
          <w:t>Solial</w:t>
        </w:r>
        <w:proofErr w:type="spellEnd"/>
        <w:r w:rsidR="00690D22" w:rsidRPr="005F36D1">
          <w:rPr>
            <w:rStyle w:val="Hypertextovodkaz"/>
            <w:b/>
            <w:bCs/>
          </w:rPr>
          <w:t xml:space="preserve"> </w:t>
        </w:r>
        <w:proofErr w:type="spellStart"/>
        <w:r w:rsidR="00690D22" w:rsidRPr="005F36D1">
          <w:rPr>
            <w:rStyle w:val="Hypertextovodkaz"/>
            <w:b/>
            <w:bCs/>
          </w:rPr>
          <w:t>Policy</w:t>
        </w:r>
        <w:proofErr w:type="spellEnd"/>
      </w:hyperlink>
      <w:r w:rsidR="00690D22">
        <w:rPr>
          <w:b/>
          <w:bCs/>
        </w:rPr>
        <w:t xml:space="preserve"> a</w:t>
      </w:r>
      <w:r w:rsidR="00FB2A0F">
        <w:rPr>
          <w:b/>
          <w:bCs/>
        </w:rPr>
        <w:t xml:space="preserve"> </w:t>
      </w:r>
      <w:hyperlink r:id="rId46" w:history="1">
        <w:proofErr w:type="spellStart"/>
        <w:r w:rsidR="00690D22" w:rsidRPr="005F36D1">
          <w:rPr>
            <w:rStyle w:val="Hypertextovodkaz"/>
            <w:b/>
            <w:bCs/>
          </w:rPr>
          <w:t>Methodology</w:t>
        </w:r>
        <w:proofErr w:type="spellEnd"/>
        <w:r w:rsidR="00690D22" w:rsidRPr="005F36D1">
          <w:rPr>
            <w:rStyle w:val="Hypertextovodkaz"/>
            <w:b/>
            <w:bCs/>
          </w:rPr>
          <w:t xml:space="preserve"> to </w:t>
        </w:r>
        <w:proofErr w:type="spellStart"/>
        <w:r w:rsidR="00690D22" w:rsidRPr="005F36D1">
          <w:rPr>
            <w:rStyle w:val="Hypertextovodkaz"/>
            <w:b/>
            <w:bCs/>
          </w:rPr>
          <w:t>determine</w:t>
        </w:r>
        <w:proofErr w:type="spellEnd"/>
        <w:r w:rsidR="00690D22" w:rsidRPr="005F36D1">
          <w:rPr>
            <w:rStyle w:val="Hypertextovodkaz"/>
            <w:b/>
            <w:bCs/>
          </w:rPr>
          <w:t xml:space="preserve"> </w:t>
        </w:r>
        <w:proofErr w:type="spellStart"/>
        <w:r w:rsidR="00690D22" w:rsidRPr="005F36D1">
          <w:rPr>
            <w:rStyle w:val="Hypertextovodkaz"/>
            <w:b/>
            <w:bCs/>
          </w:rPr>
          <w:t>the</w:t>
        </w:r>
        <w:proofErr w:type="spellEnd"/>
        <w:r w:rsidR="00690D22" w:rsidRPr="005F36D1">
          <w:rPr>
            <w:rStyle w:val="Hypertextovodkaz"/>
            <w:b/>
            <w:bCs/>
          </w:rPr>
          <w:t xml:space="preserve"> Paris </w:t>
        </w:r>
        <w:proofErr w:type="spellStart"/>
        <w:r w:rsidR="00690D22" w:rsidRPr="005F36D1">
          <w:rPr>
            <w:rStyle w:val="Hypertextovodkaz"/>
            <w:b/>
            <w:bCs/>
          </w:rPr>
          <w:t>Agreement</w:t>
        </w:r>
        <w:proofErr w:type="spellEnd"/>
        <w:r w:rsidR="00690D22" w:rsidRPr="005F36D1">
          <w:rPr>
            <w:rStyle w:val="Hypertextovodkaz"/>
            <w:b/>
            <w:bCs/>
          </w:rPr>
          <w:t xml:space="preserve"> </w:t>
        </w:r>
        <w:proofErr w:type="spellStart"/>
        <w:r w:rsidR="00690D22" w:rsidRPr="005F36D1">
          <w:rPr>
            <w:rStyle w:val="Hypertextovodkaz"/>
            <w:b/>
            <w:bCs/>
          </w:rPr>
          <w:t>alignment</w:t>
        </w:r>
        <w:proofErr w:type="spellEnd"/>
        <w:r w:rsidR="00690D22" w:rsidRPr="005F36D1">
          <w:rPr>
            <w:rStyle w:val="Hypertextovodkaz"/>
            <w:b/>
            <w:bCs/>
          </w:rPr>
          <w:t xml:space="preserve"> </w:t>
        </w:r>
        <w:proofErr w:type="spellStart"/>
        <w:r w:rsidR="00690D22" w:rsidRPr="005F36D1">
          <w:rPr>
            <w:rStyle w:val="Hypertextovodkaz"/>
            <w:b/>
            <w:bCs/>
          </w:rPr>
          <w:t>of</w:t>
        </w:r>
        <w:proofErr w:type="spellEnd"/>
        <w:r w:rsidR="00690D22" w:rsidRPr="005F36D1">
          <w:rPr>
            <w:rStyle w:val="Hypertextovodkaz"/>
            <w:b/>
            <w:bCs/>
          </w:rPr>
          <w:t xml:space="preserve"> EBRD </w:t>
        </w:r>
        <w:proofErr w:type="spellStart"/>
        <w:r w:rsidR="00690D22" w:rsidRPr="005F36D1">
          <w:rPr>
            <w:rStyle w:val="Hypertextovodkaz"/>
            <w:b/>
            <w:bCs/>
          </w:rPr>
          <w:t>investments</w:t>
        </w:r>
        <w:proofErr w:type="spellEnd"/>
      </w:hyperlink>
      <w:r w:rsidR="00C1082F" w:rsidRPr="00C1082F">
        <w:rPr>
          <w:b/>
          <w:bCs/>
        </w:rPr>
        <w:t>)</w:t>
      </w:r>
      <w:r>
        <w:rPr>
          <w:b/>
          <w:bCs/>
        </w:rPr>
        <w:t xml:space="preserve">, nebo </w:t>
      </w:r>
    </w:p>
    <w:p w14:paraId="6A43177D" w14:textId="05965C5F" w:rsidR="005771DC" w:rsidRPr="004D5BFB" w:rsidRDefault="004D5BFB" w:rsidP="00D77C59">
      <w:pPr>
        <w:pStyle w:val="Odstavecseseznamem"/>
        <w:numPr>
          <w:ilvl w:val="1"/>
          <w:numId w:val="183"/>
        </w:numPr>
        <w:spacing w:after="160" w:line="259" w:lineRule="auto"/>
        <w:contextualSpacing/>
      </w:pPr>
      <w:r w:rsidRPr="004D5BFB">
        <w:rPr>
          <w:b/>
          <w:bCs/>
        </w:rPr>
        <w:t xml:space="preserve">nefinancovat </w:t>
      </w:r>
      <w:r w:rsidR="005771DC" w:rsidRPr="004D5BFB">
        <w:rPr>
          <w:b/>
          <w:bCs/>
        </w:rPr>
        <w:t>vyloučen</w:t>
      </w:r>
      <w:r w:rsidRPr="004D5BFB">
        <w:rPr>
          <w:b/>
          <w:bCs/>
        </w:rPr>
        <w:t xml:space="preserve">é </w:t>
      </w:r>
      <w:r w:rsidR="005771DC" w:rsidRPr="004D5BFB">
        <w:rPr>
          <w:b/>
          <w:bCs/>
        </w:rPr>
        <w:t>aktivit</w:t>
      </w:r>
      <w:r w:rsidRPr="004D5BFB">
        <w:rPr>
          <w:b/>
          <w:bCs/>
        </w:rPr>
        <w:t>y</w:t>
      </w:r>
      <w:r w:rsidR="005771DC" w:rsidRPr="004D5BFB">
        <w:rPr>
          <w:b/>
          <w:bCs/>
        </w:rPr>
        <w:t xml:space="preserve"> dle </w:t>
      </w:r>
      <w:r w:rsidRPr="004D5BFB">
        <w:rPr>
          <w:b/>
          <w:bCs/>
        </w:rPr>
        <w:t xml:space="preserve">EU legislativy příslušného finančního zdroje EU (viz kapitola 3.5) a souvisejících dokumentací </w:t>
      </w:r>
      <w:r w:rsidRPr="00D77C59">
        <w:t>(Operační programy, Národní plán obnovy ČR a Prováděcí rozhodnutí Rady o schválení posouzení plánu pro oživení a odolnost</w:t>
      </w:r>
      <w:r>
        <w:t xml:space="preserve"> atd.), </w:t>
      </w:r>
      <w:r w:rsidRPr="00D77C59">
        <w:rPr>
          <w:b/>
          <w:bCs/>
        </w:rPr>
        <w:t xml:space="preserve">a dále </w:t>
      </w:r>
      <w:r>
        <w:rPr>
          <w:b/>
          <w:bCs/>
        </w:rPr>
        <w:t xml:space="preserve">dle </w:t>
      </w:r>
      <w:r w:rsidRPr="00D77C59">
        <w:rPr>
          <w:b/>
          <w:bCs/>
        </w:rPr>
        <w:t>čl. 17 nařízení EU 852/2020 o taxonomii</w:t>
      </w:r>
      <w:r>
        <w:rPr>
          <w:b/>
          <w:bCs/>
        </w:rPr>
        <w:t xml:space="preserve"> EU pro udržitelné investice</w:t>
      </w:r>
      <w:r w:rsidR="005771DC" w:rsidRPr="00D77C59">
        <w:t>.</w:t>
      </w:r>
      <w:r>
        <w:t xml:space="preserve"> Seznam vyloučených aktivit je třeba vytvořit a implementovat dle potřeb a zaměření konkrétního finančního nástroje.</w:t>
      </w:r>
    </w:p>
    <w:p w14:paraId="078EA5B2" w14:textId="50C0E344" w:rsidR="005771DC" w:rsidRPr="00D77C59" w:rsidRDefault="005771DC" w:rsidP="00A01009">
      <w:pPr>
        <w:rPr>
          <w:u w:val="single"/>
        </w:rPr>
      </w:pPr>
      <w:r w:rsidRPr="00D77C59">
        <w:rPr>
          <w:u w:val="single"/>
        </w:rPr>
        <w:t xml:space="preserve">Neadresná opatření (podpora provozního kapitálu) a podpora </w:t>
      </w:r>
      <w:r w:rsidR="00A75EF4">
        <w:rPr>
          <w:u w:val="single"/>
        </w:rPr>
        <w:t>malých a středních podniků</w:t>
      </w:r>
    </w:p>
    <w:p w14:paraId="3A3B006E" w14:textId="77777777" w:rsidR="00B34536" w:rsidRDefault="00B34536" w:rsidP="00B34536">
      <w:r>
        <w:t xml:space="preserve">V případě finančních produktů je důležité </w:t>
      </w:r>
      <w:r w:rsidRPr="000949EF">
        <w:t>rozlišit mezi těmi, které směřují na podporu MSP v podobě provozního kapitálu a těch, které směřují na podporu investic.</w:t>
      </w:r>
      <w:r>
        <w:t xml:space="preserve"> Pokud se produkt zaměřuje na obecnou podporu likvidity podniku, nikoliv na podporu investičních opatření, lze dojít k závěru, že činnost je v souladu s DNSH, pokud jsou splněny podmínky způsobilosti fondu a programu.</w:t>
      </w:r>
    </w:p>
    <w:p w14:paraId="436B0A9F" w14:textId="07C76B01" w:rsidR="00EB4B01" w:rsidRDefault="00B34536" w:rsidP="00EB4B01">
      <w:r>
        <w:t xml:space="preserve">Finanční produkty, které směřují na podporu investic pro MSP budou v mnoha případech vyžadovat více holistický přístup. Důvodem je široké spektrum možných investičních projektů a heterogenní charakter investičního portfolia. V tomto případě využití záruk či úvěrů se sdílením rizik prostřednictvím komerčních bank dále zvyšuje složitost struktury implementující finanční nástroj. V takových případech </w:t>
      </w:r>
      <w:r w:rsidR="0052338D">
        <w:t xml:space="preserve">je možné využít implementaci DNSH pouze skrze vyloučení určitých podpor (tzn. nebudou se stanovovat další kritéria DNSH). </w:t>
      </w:r>
      <w:r w:rsidR="00EB4B01" w:rsidRPr="00D77C59">
        <w:t>Vyloučené podpory jsou blíže specifikovány v </w:t>
      </w:r>
      <w:hyperlink w:anchor="_Podmínky_DNSH_založené" w:history="1">
        <w:r w:rsidR="00EB4B01" w:rsidRPr="00D77C59">
          <w:rPr>
            <w:rStyle w:val="Hypertextovodkaz"/>
          </w:rPr>
          <w:t>kapitole 3.5</w:t>
        </w:r>
      </w:hyperlink>
      <w:r w:rsidR="00EB4B01">
        <w:t>.</w:t>
      </w:r>
    </w:p>
    <w:p w14:paraId="64785153" w14:textId="2F3EB623" w:rsidR="005771DC" w:rsidRPr="00D77C59" w:rsidRDefault="005771DC" w:rsidP="00B34536">
      <w:pPr>
        <w:rPr>
          <w:u w:val="single"/>
        </w:rPr>
      </w:pPr>
      <w:r w:rsidRPr="00D77C59">
        <w:rPr>
          <w:u w:val="single"/>
        </w:rPr>
        <w:t>Ex-post monitorování</w:t>
      </w:r>
    </w:p>
    <w:p w14:paraId="40210311" w14:textId="12DB8AD6" w:rsidR="00B34536" w:rsidRDefault="00B34536" w:rsidP="00B34536">
      <w:r w:rsidRPr="00D209FC">
        <w:t>Ex-post monitorování implementace</w:t>
      </w:r>
      <w:r>
        <w:t xml:space="preserve"> principu DNSH by v případě finančních nástrojů měl</w:t>
      </w:r>
      <w:r w:rsidR="00A01009">
        <w:t>o</w:t>
      </w:r>
      <w:r>
        <w:t xml:space="preserve"> být potřeba jen v případech, kdy program nebo posouzení </w:t>
      </w:r>
      <w:r w:rsidR="00A01009">
        <w:t>jeho</w:t>
      </w:r>
      <w:r>
        <w:t xml:space="preserve"> souladu se zásadou DNSH nastavuje specifická kritéria nebo podmínky pro konkrétní druh aktivity nebo související investice. Pouze v takovém případě se tedy doporučuje DNSH zohlednit v dohodě o financování mezi </w:t>
      </w:r>
      <w:r w:rsidR="006258CF" w:rsidRPr="006258CF">
        <w:t>administrátor</w:t>
      </w:r>
      <w:r w:rsidR="006258CF">
        <w:t>em</w:t>
      </w:r>
      <w:r w:rsidR="006258CF" w:rsidRPr="006258CF">
        <w:t xml:space="preserve"> EU </w:t>
      </w:r>
      <w:r w:rsidR="006258CF">
        <w:t xml:space="preserve">zdrojů </w:t>
      </w:r>
      <w:r>
        <w:t>a subjektem, kte</w:t>
      </w:r>
      <w:r w:rsidR="00A01009">
        <w:t>rý</w:t>
      </w:r>
      <w:r>
        <w:t xml:space="preserve"> finanční nástroj zavádí.</w:t>
      </w:r>
    </w:p>
    <w:p w14:paraId="4D7F8ABA" w14:textId="77777777" w:rsidR="00B34536" w:rsidRPr="008545CF" w:rsidRDefault="00B34536" w:rsidP="00D77C59">
      <w:pPr>
        <w:pStyle w:val="Nadpis3"/>
      </w:pPr>
      <w:r w:rsidRPr="008545CF">
        <w:t>Doporučená praxe pro provádění klimatického prověřování investic v případě finančních nástrojů</w:t>
      </w:r>
    </w:p>
    <w:p w14:paraId="105F50EF" w14:textId="0B69F323" w:rsidR="00B34536" w:rsidRDefault="00B34536" w:rsidP="00B34536">
      <w:pPr>
        <w:rPr>
          <w:b/>
          <w:bCs/>
        </w:rPr>
      </w:pPr>
      <w:r w:rsidRPr="00771CF9">
        <w:t xml:space="preserve">V čl. 73 odst. 2 písm. j) nařízení o společných ustanoveních se uvádí, že „řídící orgán při výběru operací zajistí posouzení klimatické odolnosti investic do infrastruktury s očekávanou životností alespoň pět let.“. Pokud tedy členský stát zřídí </w:t>
      </w:r>
      <w:r w:rsidRPr="00D209FC">
        <w:t>finanční nástroj na podporu investic do infrastruktury</w:t>
      </w:r>
      <w:r w:rsidRPr="00771CF9">
        <w:t xml:space="preserve">, může </w:t>
      </w:r>
      <w:r w:rsidR="006258CF" w:rsidRPr="006258CF">
        <w:t xml:space="preserve">administrátor EU </w:t>
      </w:r>
      <w:r w:rsidR="006258CF">
        <w:t xml:space="preserve">zdrojů </w:t>
      </w:r>
      <w:r w:rsidRPr="00771CF9">
        <w:t>požadovat, aby subjekty provádějící finanční nástroje podle podmínek dohody o financování (čl. 59 odst. 5 nařízení o společných ustanoveních) uplatňovaly požadavky vyplývající z</w:t>
      </w:r>
      <w:r>
        <w:t xml:space="preserve"> požadavků pro klimatické prověřování investic. </w:t>
      </w:r>
      <w:r w:rsidRPr="00153F28">
        <w:rPr>
          <w:b/>
          <w:bCs/>
        </w:rPr>
        <w:t xml:space="preserve">Klimatické prověřování investic by i v případě finančních nástrojů mělo být prováděno dle </w:t>
      </w:r>
      <w:hyperlink r:id="rId47" w:history="1">
        <w:r w:rsidRPr="00153F28">
          <w:rPr>
            <w:rStyle w:val="Hypertextovodkaz"/>
            <w:b/>
            <w:bCs/>
          </w:rPr>
          <w:t>Technických pokynů</w:t>
        </w:r>
      </w:hyperlink>
      <w:r w:rsidRPr="00153F28">
        <w:rPr>
          <w:b/>
          <w:bCs/>
        </w:rPr>
        <w:t xml:space="preserve"> Komise. </w:t>
      </w:r>
      <w:r>
        <w:rPr>
          <w:b/>
          <w:bCs/>
        </w:rPr>
        <w:t>M</w:t>
      </w:r>
      <w:r w:rsidRPr="00153F28">
        <w:rPr>
          <w:b/>
          <w:bCs/>
        </w:rPr>
        <w:t>etodický postup</w:t>
      </w:r>
      <w:r>
        <w:rPr>
          <w:b/>
          <w:bCs/>
        </w:rPr>
        <w:t xml:space="preserve"> blíže upravují </w:t>
      </w:r>
      <w:r w:rsidRPr="00153F28">
        <w:rPr>
          <w:b/>
          <w:bCs/>
        </w:rPr>
        <w:t xml:space="preserve">kapitoly </w:t>
      </w:r>
      <w:hyperlink w:anchor="_Toc118829912" w:history="1">
        <w:r w:rsidRPr="00B34536">
          <w:rPr>
            <w:rStyle w:val="Hypertextovodkaz"/>
            <w:b/>
            <w:bCs/>
          </w:rPr>
          <w:t>4.1</w:t>
        </w:r>
      </w:hyperlink>
      <w:r w:rsidR="000A73C2">
        <w:t xml:space="preserve"> </w:t>
      </w:r>
      <w:r w:rsidRPr="00153F28">
        <w:rPr>
          <w:b/>
          <w:bCs/>
        </w:rPr>
        <w:t>(</w:t>
      </w:r>
      <w:proofErr w:type="spellStart"/>
      <w:r w:rsidRPr="00153F28">
        <w:rPr>
          <w:b/>
          <w:bCs/>
        </w:rPr>
        <w:t>mitigace</w:t>
      </w:r>
      <w:proofErr w:type="spellEnd"/>
      <w:r w:rsidRPr="00153F28">
        <w:rPr>
          <w:b/>
          <w:bCs/>
        </w:rPr>
        <w:t xml:space="preserve">) a </w:t>
      </w:r>
      <w:hyperlink w:anchor="_Přizpůsobování_se_změně_1" w:history="1">
        <w:r w:rsidRPr="00B34536">
          <w:rPr>
            <w:rStyle w:val="Hypertextovodkaz"/>
            <w:b/>
            <w:bCs/>
          </w:rPr>
          <w:t>4.2</w:t>
        </w:r>
      </w:hyperlink>
      <w:r w:rsidRPr="00153F28">
        <w:rPr>
          <w:b/>
          <w:bCs/>
        </w:rPr>
        <w:t xml:space="preserve"> (adaptace).</w:t>
      </w:r>
    </w:p>
    <w:p w14:paraId="6F1080E9" w14:textId="1FDD7B6F" w:rsidR="00B34536" w:rsidRDefault="00B34536" w:rsidP="00B34536">
      <w:pPr>
        <w:rPr>
          <w:b/>
          <w:bCs/>
        </w:rPr>
      </w:pPr>
      <w:r>
        <w:lastRenderedPageBreak/>
        <w:t xml:space="preserve">Zároveň ze závěrů </w:t>
      </w:r>
      <w:hyperlink r:id="rId48" w:history="1">
        <w:proofErr w:type="spellStart"/>
        <w:r w:rsidRPr="0074523B">
          <w:rPr>
            <w:rStyle w:val="Hypertextovodkaz"/>
          </w:rPr>
          <w:t>fi-compass</w:t>
        </w:r>
        <w:proofErr w:type="spellEnd"/>
        <w:r w:rsidRPr="0074523B">
          <w:rPr>
            <w:rStyle w:val="Hypertextovodkaz"/>
          </w:rPr>
          <w:t xml:space="preserve"> </w:t>
        </w:r>
        <w:proofErr w:type="spellStart"/>
        <w:r w:rsidRPr="0074523B">
          <w:rPr>
            <w:rStyle w:val="Hypertextovodkaz"/>
          </w:rPr>
          <w:t>Knowledge</w:t>
        </w:r>
        <w:proofErr w:type="spellEnd"/>
        <w:r w:rsidRPr="0074523B">
          <w:rPr>
            <w:rStyle w:val="Hypertextovodkaz"/>
          </w:rPr>
          <w:t xml:space="preserve"> Hub – zásada významně nepoškozovat a klimatické prověřování investic v kontextu finančních nástrojů ERDF/CF v programovém období 2021–2027</w:t>
        </w:r>
      </w:hyperlink>
      <w:r>
        <w:t xml:space="preserve"> plyne doporučení, že </w:t>
      </w:r>
      <w:r w:rsidRPr="005E2BC9">
        <w:t xml:space="preserve">pokud se </w:t>
      </w:r>
      <w:r w:rsidRPr="005E2BC9">
        <w:rPr>
          <w:rFonts w:hint="eastAsia"/>
        </w:rPr>
        <w:t>č</w:t>
      </w:r>
      <w:r w:rsidRPr="005E2BC9">
        <w:t>lensk</w:t>
      </w:r>
      <w:r w:rsidRPr="005E2BC9">
        <w:rPr>
          <w:rFonts w:hint="eastAsia"/>
        </w:rPr>
        <w:t>ý</w:t>
      </w:r>
      <w:r w:rsidRPr="005E2BC9">
        <w:t xml:space="preserve"> st</w:t>
      </w:r>
      <w:r w:rsidRPr="005E2BC9">
        <w:rPr>
          <w:rFonts w:hint="eastAsia"/>
        </w:rPr>
        <w:t>á</w:t>
      </w:r>
      <w:r w:rsidRPr="005E2BC9">
        <w:t>t rozhodne implementovat finan</w:t>
      </w:r>
      <w:r w:rsidRPr="005E2BC9">
        <w:rPr>
          <w:rFonts w:hint="eastAsia"/>
        </w:rPr>
        <w:t>č</w:t>
      </w:r>
      <w:r w:rsidRPr="005E2BC9">
        <w:t>n</w:t>
      </w:r>
      <w:r w:rsidRPr="005E2BC9">
        <w:rPr>
          <w:rFonts w:hint="eastAsia"/>
        </w:rPr>
        <w:t>í</w:t>
      </w:r>
      <w:r w:rsidRPr="005E2BC9">
        <w:t xml:space="preserve"> n</w:t>
      </w:r>
      <w:r w:rsidRPr="005E2BC9">
        <w:rPr>
          <w:rFonts w:hint="eastAsia"/>
        </w:rPr>
        <w:t>á</w:t>
      </w:r>
      <w:r w:rsidRPr="005E2BC9">
        <w:t>stroj podporuj</w:t>
      </w:r>
      <w:r w:rsidRPr="005E2BC9">
        <w:rPr>
          <w:rFonts w:hint="eastAsia"/>
        </w:rPr>
        <w:t>í</w:t>
      </w:r>
      <w:r w:rsidRPr="005E2BC9">
        <w:t>c</w:t>
      </w:r>
      <w:r w:rsidRPr="005E2BC9">
        <w:rPr>
          <w:rFonts w:hint="eastAsia"/>
        </w:rPr>
        <w:t>í</w:t>
      </w:r>
      <w:r w:rsidRPr="005E2BC9">
        <w:t xml:space="preserve"> investice do infrastruktury, je mo</w:t>
      </w:r>
      <w:r w:rsidRPr="005E2BC9">
        <w:rPr>
          <w:rFonts w:hint="eastAsia"/>
        </w:rPr>
        <w:t>ž</w:t>
      </w:r>
      <w:r w:rsidRPr="005E2BC9">
        <w:t>n</w:t>
      </w:r>
      <w:r w:rsidRPr="00D209FC">
        <w:t>é vyloučit projekty menšího rozsahu z definice infrastruktury zavedením prahových hodnot.</w:t>
      </w:r>
      <w:r>
        <w:t xml:space="preserve"> V tomto ohledu odkazuje např. na možnost vzít v úvahu prahové hodnoty a přístupy jiných metodik – konkrétně uvádí odkaz na Technické pokyny k prověřování udržitelnost pro účely Fondu </w:t>
      </w:r>
      <w:proofErr w:type="spellStart"/>
      <w:r>
        <w:t>InvestEU</w:t>
      </w:r>
      <w:proofErr w:type="spellEnd"/>
      <w:r>
        <w:t>, které pracují s prahovou hodnotou 10 milionů EUR.</w:t>
      </w:r>
      <w:r w:rsidRPr="00A003AB">
        <w:rPr>
          <w:rFonts w:ascii="Times New Roman" w:eastAsia="Times New Roman" w:hAnsi="Times New Roman" w:cs="Times New Roman"/>
          <w:sz w:val="24"/>
          <w:szCs w:val="24"/>
          <w:lang w:eastAsia="cs-CZ"/>
        </w:rPr>
        <w:t xml:space="preserve"> </w:t>
      </w:r>
      <w:r>
        <w:t>I v případech</w:t>
      </w:r>
      <w:r w:rsidRPr="00A003AB">
        <w:t xml:space="preserve">, </w:t>
      </w:r>
      <w:r>
        <w:t>kdy</w:t>
      </w:r>
      <w:r w:rsidRPr="00A003AB">
        <w:t xml:space="preserve"> definice infrastruktury zahrnuje</w:t>
      </w:r>
      <w:r>
        <w:t xml:space="preserve"> </w:t>
      </w:r>
      <w:r w:rsidRPr="00A003AB">
        <w:t xml:space="preserve">relativně malé projekty, může být </w:t>
      </w:r>
      <w:r>
        <w:t>klimatické prověřování investic</w:t>
      </w:r>
      <w:r w:rsidRPr="00A003AB">
        <w:t xml:space="preserve"> stále relevantní, </w:t>
      </w:r>
      <w:r>
        <w:t>jelikož</w:t>
      </w:r>
      <w:r w:rsidRPr="00A003AB">
        <w:t xml:space="preserve"> je specifické</w:t>
      </w:r>
      <w:r>
        <w:t xml:space="preserve"> </w:t>
      </w:r>
      <w:r w:rsidRPr="00A003AB">
        <w:t>dle kontextu a lokality</w:t>
      </w:r>
      <w:r>
        <w:t xml:space="preserve"> projektu</w:t>
      </w:r>
      <w:r w:rsidRPr="00A003AB">
        <w:t>. Očekává se však, že úroveň podrobností takové</w:t>
      </w:r>
      <w:r>
        <w:t xml:space="preserve"> </w:t>
      </w:r>
      <w:r w:rsidRPr="00A003AB">
        <w:t>analýz</w:t>
      </w:r>
      <w:r>
        <w:t>y</w:t>
      </w:r>
      <w:r w:rsidRPr="00A003AB">
        <w:t xml:space="preserve"> bude úměrná velikosti investic</w:t>
      </w:r>
      <w:r>
        <w:t>e</w:t>
      </w:r>
      <w:r w:rsidRPr="00A003AB">
        <w:t xml:space="preserve"> do infrastruktur</w:t>
      </w:r>
      <w:r>
        <w:t>y.</w:t>
      </w:r>
    </w:p>
    <w:p w14:paraId="657F85F4" w14:textId="2B5D3621" w:rsidR="00992BDB" w:rsidRDefault="00992BDB">
      <w:pPr>
        <w:spacing w:after="160" w:line="259" w:lineRule="auto"/>
        <w:jc w:val="left"/>
      </w:pPr>
      <w:r>
        <w:br w:type="page"/>
      </w:r>
    </w:p>
    <w:p w14:paraId="612B6360" w14:textId="72859142" w:rsidR="00602DCA" w:rsidRDefault="008B503C">
      <w:pPr>
        <w:pStyle w:val="Nadpis1"/>
      </w:pPr>
      <w:bookmarkStart w:id="57" w:name="_Zásada_DNSH_a"/>
      <w:bookmarkStart w:id="58" w:name="_Toc210046031"/>
      <w:bookmarkEnd w:id="57"/>
      <w:r>
        <w:lastRenderedPageBreak/>
        <w:t>Z</w:t>
      </w:r>
      <w:r w:rsidR="00C5530C">
        <w:t>ásad</w:t>
      </w:r>
      <w:r>
        <w:t>a</w:t>
      </w:r>
      <w:r w:rsidR="00C5530C">
        <w:t xml:space="preserve"> DNSH a prověřování infrastruktury z hlediska klimatického dopadu – </w:t>
      </w:r>
      <w:r>
        <w:t>konkrétní postupy pro jednotlivé klimatické a</w:t>
      </w:r>
      <w:r w:rsidR="00992BDB">
        <w:t> </w:t>
      </w:r>
      <w:r>
        <w:t>environmentální cíle</w:t>
      </w:r>
      <w:r w:rsidR="00945C98">
        <w:t xml:space="preserve"> pro přípravu výzev a stanovení podmínek pro žadatele</w:t>
      </w:r>
      <w:bookmarkEnd w:id="58"/>
    </w:p>
    <w:p w14:paraId="49AC281B" w14:textId="40F0C5CF" w:rsidR="000B1D81" w:rsidRDefault="000B1D81" w:rsidP="000B1D81">
      <w:r>
        <w:t>Kapitola 4 obsahuje postupy, které je doporučeno dodržet pro posouzení souladu opatření s šesti klimatickými a environmentálními cíli:</w:t>
      </w:r>
    </w:p>
    <w:p w14:paraId="71C00579" w14:textId="57D6F26D" w:rsidR="000B1D81" w:rsidRDefault="000B1D81" w:rsidP="006A45B6">
      <w:pPr>
        <w:pStyle w:val="Odstavecseseznamem"/>
        <w:numPr>
          <w:ilvl w:val="0"/>
          <w:numId w:val="107"/>
        </w:numPr>
        <w:spacing w:line="240" w:lineRule="auto"/>
      </w:pPr>
      <w:r>
        <w:t>Zmírňování změny klimatu</w:t>
      </w:r>
      <w:r w:rsidR="0077290F">
        <w:t xml:space="preserve"> (</w:t>
      </w:r>
      <w:proofErr w:type="spellStart"/>
      <w:r w:rsidR="00641F53">
        <w:t>mitigace</w:t>
      </w:r>
      <w:proofErr w:type="spellEnd"/>
      <w:r w:rsidR="0077290F">
        <w:t>)</w:t>
      </w:r>
    </w:p>
    <w:p w14:paraId="3B8ADDDA" w14:textId="6C1F183C" w:rsidR="000B1D81" w:rsidRDefault="000B1D81" w:rsidP="006A45B6">
      <w:pPr>
        <w:pStyle w:val="Odstavecseseznamem"/>
        <w:numPr>
          <w:ilvl w:val="0"/>
          <w:numId w:val="107"/>
        </w:numPr>
        <w:spacing w:line="240" w:lineRule="auto"/>
      </w:pPr>
      <w:r>
        <w:t>Přizpůsobování se změně klimatu</w:t>
      </w:r>
      <w:r w:rsidR="0077290F">
        <w:t xml:space="preserve"> (</w:t>
      </w:r>
      <w:r w:rsidR="00641F53">
        <w:t>adaptace</w:t>
      </w:r>
      <w:r w:rsidR="0077290F">
        <w:t>)</w:t>
      </w:r>
    </w:p>
    <w:p w14:paraId="0A3175D7" w14:textId="3ECD05B1" w:rsidR="000B1D81" w:rsidRDefault="000B1D81" w:rsidP="006A45B6">
      <w:pPr>
        <w:pStyle w:val="Odstavecseseznamem"/>
        <w:numPr>
          <w:ilvl w:val="0"/>
          <w:numId w:val="107"/>
        </w:numPr>
        <w:spacing w:line="240" w:lineRule="auto"/>
      </w:pPr>
      <w:r>
        <w:t>Udržitelné využívání a ochrana vodních zdrojů</w:t>
      </w:r>
    </w:p>
    <w:p w14:paraId="3FEC2978" w14:textId="30E45AE2" w:rsidR="000B1D81" w:rsidRDefault="000B1D81" w:rsidP="006A45B6">
      <w:pPr>
        <w:pStyle w:val="Odstavecseseznamem"/>
        <w:numPr>
          <w:ilvl w:val="0"/>
          <w:numId w:val="107"/>
        </w:numPr>
        <w:spacing w:line="240" w:lineRule="auto"/>
      </w:pPr>
      <w:r>
        <w:t>Přechod na oběhové hospodářství</w:t>
      </w:r>
    </w:p>
    <w:p w14:paraId="2FF9C877" w14:textId="021A0E2F" w:rsidR="000B1D81" w:rsidRDefault="000B1D81" w:rsidP="006A45B6">
      <w:pPr>
        <w:pStyle w:val="Odstavecseseznamem"/>
        <w:numPr>
          <w:ilvl w:val="0"/>
          <w:numId w:val="107"/>
        </w:numPr>
        <w:spacing w:line="240" w:lineRule="auto"/>
      </w:pPr>
      <w:r>
        <w:t>Prevence a omezování znečištění</w:t>
      </w:r>
    </w:p>
    <w:p w14:paraId="4AF05FEB" w14:textId="1A143FAF" w:rsidR="000B1D81" w:rsidRDefault="000B1D81" w:rsidP="006A45B6">
      <w:pPr>
        <w:pStyle w:val="Odstavecseseznamem"/>
        <w:numPr>
          <w:ilvl w:val="0"/>
          <w:numId w:val="107"/>
        </w:numPr>
        <w:spacing w:line="240" w:lineRule="auto"/>
      </w:pPr>
      <w:r>
        <w:t>Ochrana a obnova biologické rozmanitosti a ekosystémů</w:t>
      </w:r>
    </w:p>
    <w:p w14:paraId="6E251EB8" w14:textId="09227529" w:rsidR="006A45B6" w:rsidRDefault="0076583E" w:rsidP="0077290F">
      <w:pPr>
        <w:rPr>
          <w:rFonts w:cs="Segoe UI"/>
          <w:b/>
          <w:bCs/>
        </w:rPr>
      </w:pPr>
      <w:r>
        <w:rPr>
          <w:rFonts w:cs="Segoe UI"/>
          <w:b/>
          <w:bCs/>
        </w:rPr>
        <w:t xml:space="preserve">Celkový diagram postupu je dostupný </w:t>
      </w:r>
      <w:hyperlink w:anchor="_Přehled_postupů_pro" w:history="1">
        <w:r w:rsidR="00713F02" w:rsidRPr="00713F02">
          <w:rPr>
            <w:rStyle w:val="Hypertextovodkaz"/>
            <w:rFonts w:cs="Segoe UI"/>
            <w:b/>
            <w:bCs/>
          </w:rPr>
          <w:t>zde</w:t>
        </w:r>
      </w:hyperlink>
      <w:r>
        <w:rPr>
          <w:rFonts w:cs="Segoe UI"/>
          <w:b/>
          <w:bCs/>
        </w:rPr>
        <w:t xml:space="preserve">, s ohledem na jeho velikost jej není možné zde uvést </w:t>
      </w:r>
      <w:r w:rsidR="006A45B6">
        <w:rPr>
          <w:rFonts w:cs="Segoe UI"/>
          <w:b/>
          <w:bCs/>
        </w:rPr>
        <w:t xml:space="preserve">– v jednotlivých kapitolách jsou </w:t>
      </w:r>
      <w:r w:rsidR="00D21E8D">
        <w:rPr>
          <w:rFonts w:cs="Segoe UI"/>
          <w:b/>
          <w:bCs/>
        </w:rPr>
        <w:t xml:space="preserve">uvedeny </w:t>
      </w:r>
      <w:r w:rsidR="006A45B6">
        <w:rPr>
          <w:rFonts w:cs="Segoe UI"/>
          <w:b/>
          <w:bCs/>
        </w:rPr>
        <w:t>jeho příslušné části.</w:t>
      </w:r>
    </w:p>
    <w:p w14:paraId="392B545F" w14:textId="239DACC1" w:rsidR="0077290F" w:rsidRPr="0077290F" w:rsidRDefault="0077290F" w:rsidP="006A45B6">
      <w:pPr>
        <w:rPr>
          <w:rFonts w:cs="Segoe UI"/>
          <w:b/>
          <w:bCs/>
        </w:rPr>
      </w:pPr>
      <w:r>
        <w:rPr>
          <w:rFonts w:cs="Segoe UI"/>
          <w:b/>
          <w:bCs/>
        </w:rPr>
        <w:t xml:space="preserve">V případě </w:t>
      </w:r>
      <w:proofErr w:type="spellStart"/>
      <w:r w:rsidR="00992BDB">
        <w:rPr>
          <w:rFonts w:cs="Segoe UI"/>
          <w:b/>
          <w:bCs/>
        </w:rPr>
        <w:t>mitigace</w:t>
      </w:r>
      <w:proofErr w:type="spellEnd"/>
      <w:r w:rsidR="00992BDB">
        <w:rPr>
          <w:rFonts w:cs="Segoe UI"/>
          <w:b/>
          <w:bCs/>
        </w:rPr>
        <w:t xml:space="preserve"> </w:t>
      </w:r>
      <w:r>
        <w:rPr>
          <w:rFonts w:cs="Segoe UI"/>
          <w:b/>
          <w:bCs/>
        </w:rPr>
        <w:t xml:space="preserve">a </w:t>
      </w:r>
      <w:r w:rsidR="00992BDB">
        <w:rPr>
          <w:rFonts w:cs="Segoe UI"/>
          <w:b/>
          <w:bCs/>
        </w:rPr>
        <w:t xml:space="preserve">adaptace </w:t>
      </w:r>
      <w:r w:rsidR="00D21E8D" w:rsidRPr="006A45B6">
        <w:rPr>
          <w:rFonts w:cs="Segoe UI"/>
          <w:b/>
          <w:bCs/>
        </w:rPr>
        <w:t>představuje</w:t>
      </w:r>
      <w:r w:rsidR="00D21E8D">
        <w:rPr>
          <w:rFonts w:cs="Segoe UI"/>
          <w:b/>
          <w:bCs/>
        </w:rPr>
        <w:t xml:space="preserve"> </w:t>
      </w:r>
      <w:r>
        <w:rPr>
          <w:rFonts w:cs="Segoe UI"/>
          <w:b/>
          <w:bCs/>
        </w:rPr>
        <w:t>n</w:t>
      </w:r>
      <w:r w:rsidRPr="006A45B6">
        <w:rPr>
          <w:rFonts w:cs="Segoe UI"/>
          <w:b/>
          <w:bCs/>
        </w:rPr>
        <w:t xml:space="preserve">ásledující metodický postup kombinovaný přístup k zásadě DNSH a klimatickému prověřování investic (tzv. </w:t>
      </w:r>
      <w:proofErr w:type="spellStart"/>
      <w:r w:rsidRPr="006A45B6">
        <w:rPr>
          <w:rFonts w:cs="Segoe UI"/>
          <w:b/>
          <w:bCs/>
        </w:rPr>
        <w:t>climate</w:t>
      </w:r>
      <w:proofErr w:type="spellEnd"/>
      <w:r w:rsidRPr="006A45B6">
        <w:rPr>
          <w:rFonts w:cs="Segoe UI"/>
          <w:b/>
          <w:bCs/>
        </w:rPr>
        <w:t xml:space="preserve"> </w:t>
      </w:r>
      <w:proofErr w:type="spellStart"/>
      <w:r w:rsidRPr="006A45B6">
        <w:rPr>
          <w:rFonts w:cs="Segoe UI"/>
          <w:b/>
          <w:bCs/>
        </w:rPr>
        <w:t>proofing</w:t>
      </w:r>
      <w:proofErr w:type="spellEnd"/>
      <w:r w:rsidRPr="006A45B6">
        <w:rPr>
          <w:rFonts w:cs="Segoe UI"/>
          <w:b/>
          <w:bCs/>
        </w:rPr>
        <w:t xml:space="preserve">). Aplikace DNSH a zároveň CP je povinná pro fondy politiky soudržnosti, v případě Nástroje pro oživení a odolnost je povinné DNSH, aplikace CP se v případě RRF dle EK doporučuje. Při využití aplikace CP i v rámci komponent RRF se aplikuje stejný postup jako v případě fondů politiky soudržnosti. Při dodržení následujících pokynů je možné považovat povinnost provádět </w:t>
      </w:r>
      <w:proofErr w:type="spellStart"/>
      <w:r w:rsidRPr="006A45B6">
        <w:rPr>
          <w:rFonts w:cs="Segoe UI"/>
          <w:b/>
          <w:bCs/>
        </w:rPr>
        <w:t>climate</w:t>
      </w:r>
      <w:proofErr w:type="spellEnd"/>
      <w:r w:rsidRPr="006A45B6">
        <w:rPr>
          <w:rFonts w:cs="Segoe UI"/>
          <w:b/>
          <w:bCs/>
        </w:rPr>
        <w:t xml:space="preserve"> </w:t>
      </w:r>
      <w:proofErr w:type="spellStart"/>
      <w:r w:rsidRPr="006A45B6">
        <w:rPr>
          <w:rFonts w:cs="Segoe UI"/>
          <w:b/>
          <w:bCs/>
        </w:rPr>
        <w:t>proofing</w:t>
      </w:r>
      <w:proofErr w:type="spellEnd"/>
      <w:r w:rsidRPr="006A45B6">
        <w:rPr>
          <w:rFonts w:cs="Segoe UI"/>
          <w:b/>
          <w:bCs/>
        </w:rPr>
        <w:t xml:space="preserve"> dle </w:t>
      </w:r>
      <w:r w:rsidRPr="006A45B6">
        <w:rPr>
          <w:rFonts w:cs="Segoe UI"/>
          <w:b/>
          <w:bCs/>
          <w:i/>
          <w:iCs/>
        </w:rPr>
        <w:t>„Technického pokynu pro prověřování infrastruktury z hlediska klimatického dopadu v období 2021-2027“</w:t>
      </w:r>
      <w:r w:rsidRPr="006A45B6">
        <w:rPr>
          <w:rFonts w:cs="Segoe UI"/>
          <w:b/>
          <w:bCs/>
        </w:rPr>
        <w:t xml:space="preserve"> za splněnou. </w:t>
      </w:r>
    </w:p>
    <w:p w14:paraId="2F396E98" w14:textId="77777777" w:rsidR="00602DCA" w:rsidRDefault="00C5530C" w:rsidP="00DD7CA8">
      <w:pPr>
        <w:pStyle w:val="Nadpis2"/>
      </w:pPr>
      <w:bookmarkStart w:id="59" w:name="_Toc118829912"/>
      <w:bookmarkStart w:id="60" w:name="_Toc118829913"/>
      <w:bookmarkStart w:id="61" w:name="_Toc118829914"/>
      <w:bookmarkStart w:id="62" w:name="_Toc118829915"/>
      <w:bookmarkStart w:id="63" w:name="_Toc118829916"/>
      <w:bookmarkStart w:id="64" w:name="_Toc118829917"/>
      <w:bookmarkStart w:id="65" w:name="_Toc118829918"/>
      <w:bookmarkStart w:id="66" w:name="_Toc118829919"/>
      <w:bookmarkStart w:id="67" w:name="_Toc118829920"/>
      <w:bookmarkStart w:id="68" w:name="_Toc118829921"/>
      <w:bookmarkStart w:id="69" w:name="_Toc118829922"/>
      <w:bookmarkStart w:id="70" w:name="_Toc118829923"/>
      <w:bookmarkStart w:id="71" w:name="_Zmírňování_změny_klimatu"/>
      <w:bookmarkStart w:id="72" w:name="_Toc210046032"/>
      <w:bookmarkEnd w:id="55"/>
      <w:bookmarkEnd w:id="59"/>
      <w:bookmarkEnd w:id="60"/>
      <w:bookmarkEnd w:id="61"/>
      <w:bookmarkEnd w:id="62"/>
      <w:bookmarkEnd w:id="63"/>
      <w:bookmarkEnd w:id="64"/>
      <w:bookmarkEnd w:id="65"/>
      <w:bookmarkEnd w:id="66"/>
      <w:bookmarkEnd w:id="67"/>
      <w:bookmarkEnd w:id="68"/>
      <w:bookmarkEnd w:id="69"/>
      <w:bookmarkEnd w:id="70"/>
      <w:bookmarkEnd w:id="71"/>
      <w:r>
        <w:lastRenderedPageBreak/>
        <w:t>Zmírňování změny klimatu (</w:t>
      </w:r>
      <w:proofErr w:type="spellStart"/>
      <w:r>
        <w:t>mitigace</w:t>
      </w:r>
      <w:proofErr w:type="spellEnd"/>
      <w:r>
        <w:t>)</w:t>
      </w:r>
      <w:bookmarkEnd w:id="72"/>
      <w:r>
        <w:t xml:space="preserve"> </w:t>
      </w:r>
    </w:p>
    <w:p w14:paraId="60BB3D9E" w14:textId="1B3799F3" w:rsidR="00602DCA" w:rsidRPr="006A45B6" w:rsidRDefault="002B66B4" w:rsidP="006A45B6">
      <w:pPr>
        <w:keepNext/>
        <w:spacing w:line="240" w:lineRule="auto"/>
        <w:rPr>
          <w:bCs/>
        </w:rPr>
      </w:pPr>
      <w:r w:rsidRPr="006A45B6">
        <w:rPr>
          <w:bCs/>
        </w:rPr>
        <w:t xml:space="preserve">Smyslem DNSH je, aby činnost významně nepoškozovala klimatický cíl </w:t>
      </w:r>
      <w:proofErr w:type="spellStart"/>
      <w:r w:rsidRPr="006A45B6">
        <w:rPr>
          <w:bCs/>
        </w:rPr>
        <w:t>mitigace</w:t>
      </w:r>
      <w:proofErr w:type="spellEnd"/>
      <w:r w:rsidRPr="006A45B6">
        <w:rPr>
          <w:bCs/>
        </w:rPr>
        <w:t xml:space="preserve">, snižování emisí skleníkových plynů, a tudíž aby byla v souladu s cílem přechodu na udržitelné nízko-emisní hospodářství EU. </w:t>
      </w:r>
    </w:p>
    <w:p w14:paraId="7A29FCDF" w14:textId="02DD76E9" w:rsidR="002B66B4" w:rsidRDefault="002B66B4" w:rsidP="002B66B4">
      <w:pPr>
        <w:pStyle w:val="Nadpis3"/>
      </w:pPr>
      <w:r w:rsidRPr="007C734C">
        <w:t>Posouzení souladu podpory se zásadou DNSH</w:t>
      </w:r>
      <w:r w:rsidR="003732CC">
        <w:rPr>
          <w:rStyle w:val="Znakapoznpodarou"/>
        </w:rPr>
        <w:footnoteReference w:id="24"/>
      </w:r>
    </w:p>
    <w:p w14:paraId="0F42A142" w14:textId="56A3D779" w:rsidR="00B471EB" w:rsidRPr="00B471EB" w:rsidRDefault="008E769A" w:rsidP="00DB1A0B">
      <w:r>
        <w:rPr>
          <w:noProof/>
        </w:rPr>
        <w:drawing>
          <wp:inline distT="0" distB="0" distL="0" distR="0" wp14:anchorId="15B0A6BE" wp14:editId="62CC2FD3">
            <wp:extent cx="5760720" cy="3474720"/>
            <wp:effectExtent l="0" t="0" r="0" b="0"/>
            <wp:docPr id="835706963" name="Obrázek 1" descr="Obsah obrázku text, diagram, Písmo, Plán&#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706963" name="Obrázek 1" descr="Obsah obrázku text, diagram, Písmo, Plán&#10;&#10;Obsah vygenerovaný umělou inteligencí může být nesprávný."/>
                    <pic:cNvPicPr/>
                  </pic:nvPicPr>
                  <pic:blipFill>
                    <a:blip r:embed="rId49"/>
                    <a:stretch>
                      <a:fillRect/>
                    </a:stretch>
                  </pic:blipFill>
                  <pic:spPr>
                    <a:xfrm>
                      <a:off x="0" y="0"/>
                      <a:ext cx="5760720" cy="3474720"/>
                    </a:xfrm>
                    <a:prstGeom prst="rect">
                      <a:avLst/>
                    </a:prstGeom>
                  </pic:spPr>
                </pic:pic>
              </a:graphicData>
            </a:graphic>
          </wp:inline>
        </w:drawing>
      </w:r>
    </w:p>
    <w:p w14:paraId="6639DF90" w14:textId="77777777" w:rsidR="002B66B4" w:rsidRPr="00D3052F" w:rsidRDefault="002B66B4" w:rsidP="001F3292">
      <w:pPr>
        <w:pStyle w:val="Nadpis3"/>
      </w:pPr>
      <w:r w:rsidRPr="00D3052F">
        <w:t xml:space="preserve">Vyloučené </w:t>
      </w:r>
      <w:r w:rsidRPr="001F3292">
        <w:t>podpory</w:t>
      </w:r>
    </w:p>
    <w:p w14:paraId="55428275" w14:textId="6B58AA74" w:rsidR="002B66B4" w:rsidRDefault="002B66B4" w:rsidP="002B66B4">
      <w:pPr>
        <w:rPr>
          <w:rFonts w:cs="Segoe UI"/>
        </w:rPr>
      </w:pPr>
      <w:r w:rsidRPr="007C734C">
        <w:rPr>
          <w:rFonts w:cs="Segoe UI"/>
        </w:rPr>
        <w:t xml:space="preserve">V první řadě je při přípravě </w:t>
      </w:r>
      <w:r w:rsidR="001F3292">
        <w:rPr>
          <w:rFonts w:cs="Segoe UI"/>
        </w:rPr>
        <w:t xml:space="preserve">výzev </w:t>
      </w:r>
      <w:r w:rsidRPr="007C734C">
        <w:rPr>
          <w:rFonts w:cs="Segoe UI"/>
        </w:rPr>
        <w:t xml:space="preserve">nutné </w:t>
      </w:r>
      <w:r w:rsidR="001F3292">
        <w:rPr>
          <w:rFonts w:cs="Segoe UI"/>
        </w:rPr>
        <w:t>reflektovat vyloučené podpory</w:t>
      </w:r>
      <w:r w:rsidRPr="007C734C">
        <w:rPr>
          <w:rFonts w:cs="Segoe UI"/>
        </w:rPr>
        <w:t>, ať již na základě oblasti působnosti nástroje</w:t>
      </w:r>
      <w:r w:rsidR="001F3292">
        <w:rPr>
          <w:rFonts w:cs="Segoe UI"/>
        </w:rPr>
        <w:t>, pravidel pro veřejnou podporu</w:t>
      </w:r>
      <w:r w:rsidRPr="007C734C">
        <w:rPr>
          <w:rFonts w:cs="Segoe UI"/>
        </w:rPr>
        <w:t xml:space="preserve"> nebo v souvislosti s DNSH. V některých případech je potřeba zásadu DNSH implementovat prostřednictvím věcného zaměření podpory a omezení určitých opatření. Vyloučené podpory jsou blíže popsány v části </w:t>
      </w:r>
      <w:hyperlink w:anchor="_Podmínky_DNSH_založené" w:history="1">
        <w:r w:rsidRPr="00356447">
          <w:rPr>
            <w:rStyle w:val="Hypertextovodkaz"/>
            <w:rFonts w:cs="Segoe UI"/>
          </w:rPr>
          <w:t>3.5 tohoto materiálu</w:t>
        </w:r>
      </w:hyperlink>
      <w:r w:rsidRPr="007C734C">
        <w:rPr>
          <w:rFonts w:cs="Segoe UI"/>
        </w:rPr>
        <w:t>.</w:t>
      </w:r>
    </w:p>
    <w:p w14:paraId="6F0D56EE" w14:textId="77777777" w:rsidR="006C71F9" w:rsidRDefault="006C71F9" w:rsidP="006A45B6">
      <w:pPr>
        <w:pStyle w:val="Nadpis4"/>
      </w:pPr>
      <w:r>
        <w:t>O</w:t>
      </w:r>
      <w:r w:rsidRPr="00B25660">
        <w:t>patření na podporu činností, na něž se vztahuje systém EU pro obchodování s emisemi (ETS)</w:t>
      </w:r>
    </w:p>
    <w:p w14:paraId="6DCCCE10" w14:textId="77777777" w:rsidR="006C71F9" w:rsidRPr="00A652DC" w:rsidRDefault="006C71F9" w:rsidP="006C71F9">
      <w:r w:rsidRPr="00A652DC">
        <w:t>V případě opatření na podporu činností, na něž se vztahuje systém EU pro obchodování s emisemi (ETS), by neměly být obecně podporovány činnosti s předpokládanými emisemi ekvivalentu CO</w:t>
      </w:r>
      <w:r w:rsidRPr="006C1B48">
        <w:rPr>
          <w:vertAlign w:val="subscript"/>
        </w:rPr>
        <w:t>2</w:t>
      </w:r>
      <w:r w:rsidRPr="00A652DC">
        <w:t>, které nejsou významně nižší než příslušné referenční hodnoty stanovené pro přidělování bezplatných povolenek v nařízení EK 2021/447, aby nedošlo k narušení tržních signálů zavedených systémem ETS.</w:t>
      </w:r>
    </w:p>
    <w:p w14:paraId="4082DFA6" w14:textId="77777777" w:rsidR="006C71F9" w:rsidRPr="007C734C" w:rsidRDefault="006C71F9" w:rsidP="002B66B4">
      <w:pPr>
        <w:rPr>
          <w:rFonts w:cs="Segoe UI"/>
        </w:rPr>
      </w:pPr>
    </w:p>
    <w:p w14:paraId="175AC1CD" w14:textId="77777777" w:rsidR="00D23289" w:rsidRPr="001F3292" w:rsidRDefault="00D23289" w:rsidP="001F3292">
      <w:pPr>
        <w:pStyle w:val="Nadpis3"/>
      </w:pPr>
      <w:r w:rsidRPr="001F3292">
        <w:lastRenderedPageBreak/>
        <w:t>Sledování příspěvku opatření k ochraně klimatu a k environmentálním cílům</w:t>
      </w:r>
    </w:p>
    <w:p w14:paraId="0FC98175" w14:textId="4903C392" w:rsidR="00D23289" w:rsidRPr="0019244D" w:rsidRDefault="00D23289" w:rsidP="00D23289">
      <w:pPr>
        <w:rPr>
          <w:rFonts w:cs="Segoe UI"/>
        </w:rPr>
      </w:pPr>
      <w:r w:rsidRPr="007C734C">
        <w:rPr>
          <w:rFonts w:cs="Segoe UI"/>
        </w:rPr>
        <w:t>Po ověření souladu s právními předpisy jednotlivých fondů a vyloučenými aktivity v souvislosti s DNSH nebo ad-hoc podmínkami (výjimkami) je možné postoupit k ověření klimatického tagu v</w:t>
      </w:r>
      <w:r>
        <w:rPr>
          <w:rFonts w:cs="Segoe UI"/>
        </w:rPr>
        <w:t> </w:t>
      </w:r>
      <w:r w:rsidRPr="007C734C">
        <w:rPr>
          <w:rFonts w:cs="Segoe UI"/>
        </w:rPr>
        <w:t>oblasti</w:t>
      </w:r>
      <w:r>
        <w:rPr>
          <w:rFonts w:cs="Segoe UI"/>
        </w:rPr>
        <w:t xml:space="preserve"> </w:t>
      </w:r>
      <w:proofErr w:type="spellStart"/>
      <w:r>
        <w:rPr>
          <w:rFonts w:cs="Segoe UI"/>
        </w:rPr>
        <w:t>mitigace</w:t>
      </w:r>
      <w:proofErr w:type="spellEnd"/>
      <w:r w:rsidRPr="007C734C">
        <w:rPr>
          <w:rFonts w:cs="Segoe UI"/>
        </w:rPr>
        <w:t xml:space="preserve">. Klimatické a environmentální tagy a obecně sledování příspěvku fondů k ochraně klimatu a k environmentálním cílům, stejně jako zdroje koeficientů pro jednotlivé fondy, jsou blíže popsány v části </w:t>
      </w:r>
      <w:hyperlink w:anchor="_Sledování_příspěvku_fondů" w:history="1">
        <w:r w:rsidRPr="0077290F">
          <w:rPr>
            <w:rStyle w:val="Hypertextovodkaz"/>
            <w:rFonts w:cs="Segoe UI"/>
          </w:rPr>
          <w:t>2.4 tohoto materiálu</w:t>
        </w:r>
      </w:hyperlink>
      <w:r w:rsidRPr="007C734C">
        <w:rPr>
          <w:rFonts w:cs="Segoe UI"/>
        </w:rPr>
        <w:t xml:space="preserve">. V případě, že je k činnosti zamýšlené podpory přiřazen koeficient 100 % v oblasti </w:t>
      </w:r>
      <w:proofErr w:type="spellStart"/>
      <w:r>
        <w:rPr>
          <w:rFonts w:cs="Segoe UI"/>
        </w:rPr>
        <w:t>mitigace</w:t>
      </w:r>
      <w:proofErr w:type="spellEnd"/>
      <w:r w:rsidRPr="007C734C">
        <w:rPr>
          <w:rFonts w:cs="Segoe UI"/>
        </w:rPr>
        <w:t>, očekává se, že činnost významně přispěje k plnění tohoto environmentálního cíle a není nutné stanovovat dodatečné podmínky kromě těch, které jsou nutné pro plnění 100 % klimatického tagu (které je nutné přesně stanovit do úrovně projektu). V případě, že je při</w:t>
      </w:r>
      <w:r w:rsidR="00641F53">
        <w:rPr>
          <w:rFonts w:cs="Segoe UI"/>
        </w:rPr>
        <w:t>ř</w:t>
      </w:r>
      <w:r w:rsidRPr="007C734C">
        <w:rPr>
          <w:rFonts w:cs="Segoe UI"/>
        </w:rPr>
        <w:t>a</w:t>
      </w:r>
      <w:r w:rsidR="00400566">
        <w:rPr>
          <w:rFonts w:cs="Segoe UI"/>
        </w:rPr>
        <w:t>z</w:t>
      </w:r>
      <w:r w:rsidRPr="007C734C">
        <w:rPr>
          <w:rFonts w:cs="Segoe UI"/>
        </w:rPr>
        <w:t xml:space="preserve">ený koeficient 40 % nebo 0 % je nutné postoupit s detailním posouzením DNSH a případně nastavit doplňující podmínky nebo systém hodnocení projektů / míry podpory. Toto posouzení DNSH a nastavení podmínek by mělo být prioritně provedeno již </w:t>
      </w:r>
      <w:r w:rsidRPr="0019244D">
        <w:rPr>
          <w:rFonts w:cs="Segoe UI"/>
        </w:rPr>
        <w:t>na úrovni přípravy výzvy a pravidel pro žadatele / přípravy komponenty.</w:t>
      </w:r>
    </w:p>
    <w:p w14:paraId="41276A73" w14:textId="307289C9" w:rsidR="00CD3E9C" w:rsidRPr="00AF460E" w:rsidRDefault="0019244D" w:rsidP="006A45B6">
      <w:pPr>
        <w:pStyle w:val="Nadpis3"/>
        <w:rPr>
          <w:i/>
          <w:iCs/>
        </w:rPr>
      </w:pPr>
      <w:r>
        <w:t>Postup</w:t>
      </w:r>
      <w:r w:rsidRPr="0019244D">
        <w:t xml:space="preserve"> posouzení DNSH</w:t>
      </w:r>
      <w:r>
        <w:t xml:space="preserve"> </w:t>
      </w:r>
      <w:proofErr w:type="spellStart"/>
      <w:r>
        <w:t>mitigace</w:t>
      </w:r>
      <w:proofErr w:type="spellEnd"/>
      <w:r>
        <w:t xml:space="preserve"> s vazbou na CPM</w:t>
      </w:r>
    </w:p>
    <w:p w14:paraId="453F6194" w14:textId="351CC461" w:rsidR="0019244D" w:rsidRDefault="0019244D" w:rsidP="00CD3E9C">
      <w:pPr>
        <w:rPr>
          <w:rFonts w:cs="Segoe UI"/>
        </w:rPr>
      </w:pPr>
      <w:r>
        <w:rPr>
          <w:rFonts w:cs="Segoe UI"/>
        </w:rPr>
        <w:t xml:space="preserve">Vůči cíli </w:t>
      </w:r>
      <w:proofErr w:type="spellStart"/>
      <w:r>
        <w:rPr>
          <w:rFonts w:cs="Segoe UI"/>
        </w:rPr>
        <w:t>mitigace</w:t>
      </w:r>
      <w:proofErr w:type="spellEnd"/>
      <w:r>
        <w:rPr>
          <w:rFonts w:cs="Segoe UI"/>
        </w:rPr>
        <w:t xml:space="preserve"> se po stanovení vyloučených podpor a ověření, zda se nejedná o opatření s přiřazeným 100% příspěvkem vůči cíli </w:t>
      </w:r>
      <w:proofErr w:type="spellStart"/>
      <w:r>
        <w:rPr>
          <w:rFonts w:cs="Segoe UI"/>
        </w:rPr>
        <w:t>mitigace</w:t>
      </w:r>
      <w:proofErr w:type="spellEnd"/>
      <w:r>
        <w:rPr>
          <w:rFonts w:cs="Segoe UI"/>
        </w:rPr>
        <w:t xml:space="preserve"> postupuje následovně:</w:t>
      </w:r>
    </w:p>
    <w:p w14:paraId="188C57CC" w14:textId="6E659FDD" w:rsidR="0019244D" w:rsidRDefault="0019244D" w:rsidP="0019244D">
      <w:pPr>
        <w:pStyle w:val="Odstavecseseznamem"/>
        <w:numPr>
          <w:ilvl w:val="0"/>
          <w:numId w:val="199"/>
        </w:numPr>
        <w:rPr>
          <w:rFonts w:cs="Segoe UI"/>
        </w:rPr>
      </w:pPr>
      <w:r>
        <w:rPr>
          <w:rFonts w:cs="Segoe UI"/>
        </w:rPr>
        <w:t xml:space="preserve">Vždy je nutné zvážit vhodnou implementaci zásady „energetická účinnost v první řadě“ (kap. </w:t>
      </w:r>
      <w:hyperlink r:id="rId50" w:anchor="_Zásada_" w:history="1">
        <w:r w:rsidRPr="00D67C7E">
          <w:rPr>
            <w:rStyle w:val="Hypertextovodkaz"/>
            <w:rFonts w:cs="Segoe UI"/>
          </w:rPr>
          <w:t>4.1.5.1</w:t>
        </w:r>
      </w:hyperlink>
      <w:r>
        <w:rPr>
          <w:rFonts w:cs="Segoe UI"/>
        </w:rPr>
        <w:t>);</w:t>
      </w:r>
    </w:p>
    <w:p w14:paraId="14C1BFC9" w14:textId="7540F494" w:rsidR="00CE1E44" w:rsidRDefault="00CE1E44" w:rsidP="00CE1E44">
      <w:pPr>
        <w:pStyle w:val="Odstavecseseznamem"/>
        <w:numPr>
          <w:ilvl w:val="0"/>
          <w:numId w:val="199"/>
        </w:numPr>
        <w:rPr>
          <w:rFonts w:cs="Segoe UI"/>
        </w:rPr>
      </w:pPr>
      <w:r>
        <w:t>Vždy je stanovena povinnost p</w:t>
      </w:r>
      <w:r w:rsidRPr="00CD1D3F">
        <w:t>rovedení opatření vzešlých z posuzování vlivů na životní prostředí (EIA) a z jednotného environmentálního stanoviska</w:t>
      </w:r>
      <w:r>
        <w:t xml:space="preserve"> (kap. </w:t>
      </w:r>
      <w:hyperlink w:anchor="_Provedení_opatření_vzešlých" w:history="1">
        <w:r w:rsidRPr="00D67C7E">
          <w:rPr>
            <w:rStyle w:val="Hypertextovodkaz"/>
          </w:rPr>
          <w:t>4.1.7</w:t>
        </w:r>
      </w:hyperlink>
      <w:r>
        <w:t>)</w:t>
      </w:r>
      <w:r>
        <w:rPr>
          <w:rFonts w:cs="Segoe UI"/>
        </w:rPr>
        <w:t xml:space="preserve">, v případě ostatních legislativních povinností se postupuje dle praxe administrátorů EU fondů (kap. </w:t>
      </w:r>
      <w:hyperlink w:anchor="_Splnění_legislativní_ochrany_1" w:history="1">
        <w:r w:rsidRPr="00D67C7E">
          <w:rPr>
            <w:rStyle w:val="Hypertextovodkaz"/>
            <w:rFonts w:cs="Segoe UI"/>
          </w:rPr>
          <w:t>4.1.8</w:t>
        </w:r>
      </w:hyperlink>
      <w:proofErr w:type="gramStart"/>
      <w:r>
        <w:rPr>
          <w:rFonts w:cs="Segoe UI"/>
        </w:rPr>
        <w:t>)</w:t>
      </w:r>
      <w:r w:rsidR="00E555BA" w:rsidRPr="00E555BA">
        <w:rPr>
          <w:rFonts w:cs="Segoe UI"/>
        </w:rPr>
        <w:t xml:space="preserve"> </w:t>
      </w:r>
      <w:r w:rsidR="00E555BA">
        <w:rPr>
          <w:rFonts w:cs="Segoe UI"/>
        </w:rPr>
        <w:t>;</w:t>
      </w:r>
      <w:proofErr w:type="gramEnd"/>
    </w:p>
    <w:p w14:paraId="5214FC91" w14:textId="22139940" w:rsidR="00E555BA" w:rsidRPr="00E555BA" w:rsidRDefault="00E555BA" w:rsidP="00AF460E">
      <w:pPr>
        <w:pStyle w:val="Odstavecseseznamem"/>
        <w:numPr>
          <w:ilvl w:val="0"/>
          <w:numId w:val="199"/>
        </w:numPr>
        <w:spacing w:line="276" w:lineRule="auto"/>
        <w:rPr>
          <w:rFonts w:cs="Segoe UI"/>
        </w:rPr>
      </w:pPr>
      <w:r w:rsidRPr="002D74BE">
        <w:rPr>
          <w:rFonts w:cs="Segoe UI"/>
        </w:rPr>
        <w:t>V případě, že je součástí předmětu podpor</w:t>
      </w:r>
      <w:r>
        <w:rPr>
          <w:rFonts w:cs="Segoe UI"/>
        </w:rPr>
        <w:t>y</w:t>
      </w:r>
      <w:r w:rsidRPr="002D74BE">
        <w:rPr>
          <w:rFonts w:cs="Segoe UI"/>
        </w:rPr>
        <w:t xml:space="preserve"> výstavba nových budov, či renovace budov, je nutné zajistit promítnutí podmínek </w:t>
      </w:r>
      <w:r>
        <w:rPr>
          <w:rFonts w:cs="Segoe UI"/>
        </w:rPr>
        <w:t xml:space="preserve">v oblasti </w:t>
      </w:r>
      <w:proofErr w:type="spellStart"/>
      <w:r>
        <w:rPr>
          <w:rFonts w:cs="Segoe UI"/>
        </w:rPr>
        <w:t>mitigace</w:t>
      </w:r>
      <w:proofErr w:type="spellEnd"/>
      <w:r w:rsidRPr="002D74BE">
        <w:rPr>
          <w:rFonts w:cs="Segoe UI"/>
        </w:rPr>
        <w:t xml:space="preserve"> obsažen</w:t>
      </w:r>
      <w:r>
        <w:rPr>
          <w:rFonts w:cs="Segoe UI"/>
        </w:rPr>
        <w:t>ých</w:t>
      </w:r>
      <w:r w:rsidRPr="002D74BE">
        <w:rPr>
          <w:rFonts w:cs="Segoe UI"/>
        </w:rPr>
        <w:t xml:space="preserve"> v</w:t>
      </w:r>
      <w:r>
        <w:rPr>
          <w:rFonts w:cs="Segoe UI"/>
        </w:rPr>
        <w:t> </w:t>
      </w:r>
      <w:hyperlink w:anchor="_Definice_infrastruktury_pro" w:history="1">
        <w:r w:rsidRPr="00D67C7E">
          <w:rPr>
            <w:rStyle w:val="Hypertextovodkaz"/>
            <w:rFonts w:cs="Segoe UI"/>
          </w:rPr>
          <w:t>kap</w:t>
        </w:r>
        <w:r>
          <w:rPr>
            <w:rStyle w:val="Hypertextovodkaz"/>
            <w:rFonts w:cs="Segoe UI"/>
          </w:rPr>
          <w:t>.</w:t>
        </w:r>
        <w:r w:rsidRPr="00D67C7E">
          <w:rPr>
            <w:rStyle w:val="Hypertextovodkaz"/>
            <w:rFonts w:cs="Segoe UI"/>
          </w:rPr>
          <w:t xml:space="preserve"> 5.2</w:t>
        </w:r>
      </w:hyperlink>
      <w:r w:rsidRPr="002D74BE">
        <w:rPr>
          <w:rFonts w:cs="Segoe UI"/>
        </w:rPr>
        <w:t xml:space="preserve"> tohoto materiálu</w:t>
      </w:r>
      <w:r>
        <w:rPr>
          <w:rFonts w:cs="Segoe UI"/>
        </w:rPr>
        <w:t>;</w:t>
      </w:r>
    </w:p>
    <w:p w14:paraId="1ABDDEC0" w14:textId="1758046A" w:rsidR="00D67C7E" w:rsidRDefault="00D67C7E" w:rsidP="0019244D">
      <w:pPr>
        <w:pStyle w:val="Odstavecseseznamem"/>
        <w:numPr>
          <w:ilvl w:val="0"/>
          <w:numId w:val="199"/>
        </w:numPr>
        <w:rPr>
          <w:rFonts w:cs="Segoe UI"/>
        </w:rPr>
      </w:pPr>
      <w:r w:rsidRPr="002D74BE">
        <w:rPr>
          <w:rFonts w:cs="Segoe UI"/>
        </w:rPr>
        <w:t>V případě, že je součástí předmětu podpor</w:t>
      </w:r>
      <w:r>
        <w:rPr>
          <w:rFonts w:cs="Segoe UI"/>
        </w:rPr>
        <w:t>a</w:t>
      </w:r>
      <w:r w:rsidRPr="002D74BE">
        <w:rPr>
          <w:rFonts w:cs="Segoe UI"/>
        </w:rPr>
        <w:t xml:space="preserve"> pořizování automobilů, či ostatních dopravních prostředků, je nutné zajistit promítnutí podmínek </w:t>
      </w:r>
      <w:proofErr w:type="spellStart"/>
      <w:r>
        <w:rPr>
          <w:rFonts w:cs="Segoe UI"/>
        </w:rPr>
        <w:t>mitigace</w:t>
      </w:r>
      <w:proofErr w:type="spellEnd"/>
      <w:r w:rsidRPr="002D74BE">
        <w:rPr>
          <w:rFonts w:cs="Segoe UI"/>
        </w:rPr>
        <w:t xml:space="preserve"> obsažen</w:t>
      </w:r>
      <w:r>
        <w:rPr>
          <w:rFonts w:cs="Segoe UI"/>
        </w:rPr>
        <w:t>ých</w:t>
      </w:r>
      <w:r w:rsidRPr="002D74BE">
        <w:rPr>
          <w:rFonts w:cs="Segoe UI"/>
        </w:rPr>
        <w:t xml:space="preserve"> v</w:t>
      </w:r>
      <w:r w:rsidR="00C424B5">
        <w:rPr>
          <w:rFonts w:cs="Segoe UI"/>
        </w:rPr>
        <w:t> </w:t>
      </w:r>
      <w:hyperlink w:anchor="_Pořizování_automobilů_(a" w:history="1">
        <w:r w:rsidRPr="0077290F">
          <w:rPr>
            <w:rStyle w:val="Hypertextovodkaz"/>
            <w:rFonts w:cs="Segoe UI"/>
          </w:rPr>
          <w:t>kap</w:t>
        </w:r>
        <w:r w:rsidR="00C424B5">
          <w:rPr>
            <w:rStyle w:val="Hypertextovodkaz"/>
            <w:rFonts w:cs="Segoe UI"/>
          </w:rPr>
          <w:t>.</w:t>
        </w:r>
        <w:r w:rsidRPr="0077290F">
          <w:rPr>
            <w:rStyle w:val="Hypertextovodkaz"/>
            <w:rFonts w:cs="Segoe UI"/>
          </w:rPr>
          <w:t xml:space="preserve"> 5.</w:t>
        </w:r>
        <w:r>
          <w:rPr>
            <w:rStyle w:val="Hypertextovodkaz"/>
            <w:rFonts w:cs="Segoe UI"/>
          </w:rPr>
          <w:t>4</w:t>
        </w:r>
      </w:hyperlink>
      <w:r w:rsidRPr="002D74BE">
        <w:rPr>
          <w:rFonts w:cs="Segoe UI"/>
        </w:rPr>
        <w:t xml:space="preserve"> tohoto materiálu</w:t>
      </w:r>
      <w:r w:rsidR="00E555BA">
        <w:rPr>
          <w:rFonts w:cs="Segoe UI"/>
        </w:rPr>
        <w:t>;</w:t>
      </w:r>
    </w:p>
    <w:p w14:paraId="5484C6DB" w14:textId="26AE068A" w:rsidR="00A87F0A" w:rsidRDefault="00A87F0A" w:rsidP="0019244D">
      <w:pPr>
        <w:pStyle w:val="Odstavecseseznamem"/>
        <w:numPr>
          <w:ilvl w:val="0"/>
          <w:numId w:val="199"/>
        </w:numPr>
        <w:rPr>
          <w:rFonts w:cs="Segoe UI"/>
        </w:rPr>
      </w:pPr>
      <w:r>
        <w:rPr>
          <w:rFonts w:cs="Segoe UI"/>
        </w:rPr>
        <w:t xml:space="preserve">V případě energetické infrastruktury je nutné stanovit podmínky dle kap. </w:t>
      </w:r>
      <w:hyperlink w:anchor="_Energetická_infrastruktura" w:history="1">
        <w:r w:rsidRPr="00C424B5">
          <w:rPr>
            <w:rStyle w:val="Hypertextovodkaz"/>
            <w:rFonts w:cs="Segoe UI"/>
          </w:rPr>
          <w:t>4.1.5.3</w:t>
        </w:r>
      </w:hyperlink>
      <w:r>
        <w:rPr>
          <w:rFonts w:cs="Segoe UI"/>
        </w:rPr>
        <w:t xml:space="preserve"> a dále se postupuje dle provedení prověření infrastruktury z hlediska klimatického dopadu dle kap. </w:t>
      </w:r>
      <w:hyperlink w:anchor="_Prověření_projektů_z" w:history="1">
        <w:r w:rsidR="00C424B5" w:rsidRPr="00C424B5">
          <w:rPr>
            <w:rStyle w:val="Hypertextovodkaz"/>
            <w:rFonts w:cs="Segoe UI"/>
          </w:rPr>
          <w:t>4.1.6</w:t>
        </w:r>
      </w:hyperlink>
      <w:r>
        <w:rPr>
          <w:rFonts w:cs="Segoe UI"/>
        </w:rPr>
        <w:t>;</w:t>
      </w:r>
    </w:p>
    <w:p w14:paraId="268FFB96" w14:textId="6BF50541" w:rsidR="00A87F0A" w:rsidRDefault="00C424B5" w:rsidP="0019244D">
      <w:pPr>
        <w:pStyle w:val="Odstavecseseznamem"/>
        <w:numPr>
          <w:ilvl w:val="0"/>
          <w:numId w:val="199"/>
        </w:numPr>
        <w:rPr>
          <w:rFonts w:cs="Segoe UI"/>
        </w:rPr>
      </w:pPr>
      <w:r w:rsidRPr="00FD2C82">
        <w:t xml:space="preserve">V případě projektů dopravní infrastruktury se postupuje </w:t>
      </w:r>
      <w:r>
        <w:t>dle CPM</w:t>
      </w:r>
      <w:r w:rsidRPr="00FD2C82">
        <w:t xml:space="preserve"> </w:t>
      </w:r>
      <w:r>
        <w:rPr>
          <w:rFonts w:cs="Segoe UI"/>
        </w:rPr>
        <w:t xml:space="preserve">kap. </w:t>
      </w:r>
      <w:hyperlink w:anchor="_Prověření_projektů_z" w:history="1">
        <w:r w:rsidRPr="00C424B5">
          <w:rPr>
            <w:rStyle w:val="Hypertextovodkaz"/>
            <w:rFonts w:cs="Segoe UI"/>
          </w:rPr>
          <w:t>4.1.6</w:t>
        </w:r>
      </w:hyperlink>
      <w:r>
        <w:rPr>
          <w:rFonts w:cs="Segoe UI"/>
        </w:rPr>
        <w:t xml:space="preserve"> </w:t>
      </w:r>
      <w:r w:rsidRPr="00FD2C82">
        <w:t>a u nadřazené dopravní infrastruktury je dále relevantní</w:t>
      </w:r>
      <w:r>
        <w:t xml:space="preserve"> „</w:t>
      </w:r>
      <w:hyperlink r:id="rId51" w:history="1">
        <w:proofErr w:type="gramStart"/>
        <w:r w:rsidRPr="00027E6D">
          <w:rPr>
            <w:rStyle w:val="Hypertextovodkaz"/>
          </w:rPr>
          <w:t>Rezortní</w:t>
        </w:r>
        <w:proofErr w:type="gramEnd"/>
        <w:r w:rsidRPr="00027E6D">
          <w:rPr>
            <w:rStyle w:val="Hypertextovodkaz"/>
          </w:rPr>
          <w:t xml:space="preserve"> metodika pro hodnocení ekonomické efektivnosti projektů dopravních staveb</w:t>
        </w:r>
      </w:hyperlink>
      <w:r>
        <w:t>“ (aktualizace 2023)</w:t>
      </w:r>
      <w:r w:rsidR="00A87F0A">
        <w:rPr>
          <w:rFonts w:cs="Segoe UI"/>
        </w:rPr>
        <w:t>;</w:t>
      </w:r>
    </w:p>
    <w:p w14:paraId="225ABC86" w14:textId="35273E54" w:rsidR="00FC2100" w:rsidRDefault="00A87F0A" w:rsidP="0019244D">
      <w:pPr>
        <w:pStyle w:val="Odstavecseseznamem"/>
        <w:numPr>
          <w:ilvl w:val="0"/>
          <w:numId w:val="199"/>
        </w:numPr>
        <w:rPr>
          <w:rFonts w:cs="Segoe UI"/>
        </w:rPr>
      </w:pPr>
      <w:r>
        <w:rPr>
          <w:rFonts w:cs="Segoe UI"/>
        </w:rPr>
        <w:lastRenderedPageBreak/>
        <w:t xml:space="preserve">V případě ostatních projektů se postupuje dle </w:t>
      </w:r>
      <w:r w:rsidR="00FC2100">
        <w:rPr>
          <w:rFonts w:cs="Segoe UI"/>
        </w:rPr>
        <w:t xml:space="preserve">obecného postupu pro CPM (kap. </w:t>
      </w:r>
      <w:hyperlink w:anchor="_Prověření_projektů_z" w:history="1">
        <w:r w:rsidR="00B8406B" w:rsidRPr="00C424B5">
          <w:rPr>
            <w:rStyle w:val="Hypertextovodkaz"/>
            <w:rFonts w:cs="Segoe UI"/>
          </w:rPr>
          <w:t>4.1.6</w:t>
        </w:r>
      </w:hyperlink>
      <w:r w:rsidR="00FC2100">
        <w:rPr>
          <w:rFonts w:cs="Segoe UI"/>
        </w:rPr>
        <w:t>), kdy:</w:t>
      </w:r>
    </w:p>
    <w:p w14:paraId="107B39DD" w14:textId="0AFED017" w:rsidR="0099345C" w:rsidRPr="00FC2100" w:rsidRDefault="00FC2100" w:rsidP="00FC2100">
      <w:pPr>
        <w:pStyle w:val="Odstavecseseznamem"/>
        <w:numPr>
          <w:ilvl w:val="1"/>
          <w:numId w:val="199"/>
        </w:numPr>
        <w:rPr>
          <w:rFonts w:cs="Segoe UI"/>
        </w:rPr>
      </w:pPr>
      <w:r>
        <w:t xml:space="preserve">Projekty splňující definici infrastruktury, které nedosahují limitu </w:t>
      </w:r>
      <w:r w:rsidRPr="00FC2100">
        <w:t>20</w:t>
      </w:r>
      <w:r w:rsidR="00100AF4">
        <w:t> </w:t>
      </w:r>
      <w:r w:rsidRPr="00FC2100">
        <w:t>000</w:t>
      </w:r>
      <w:r w:rsidR="00100AF4">
        <w:t> </w:t>
      </w:r>
      <w:r w:rsidRPr="00FC2100">
        <w:t>t</w:t>
      </w:r>
      <w:r w:rsidR="00100AF4">
        <w:t> </w:t>
      </w:r>
      <w:r w:rsidRPr="00FC2100">
        <w:t>CO</w:t>
      </w:r>
      <w:r w:rsidRPr="006C1B48">
        <w:rPr>
          <w:vertAlign w:val="subscript"/>
        </w:rPr>
        <w:t>2</w:t>
      </w:r>
      <w:r w:rsidRPr="00FC2100">
        <w:t xml:space="preserve">ekv./rok </w:t>
      </w:r>
      <w:r>
        <w:t xml:space="preserve">(pro tyto účely je taktéž vytvořen tzv. zelený seznam) (viz kap. </w:t>
      </w:r>
      <w:hyperlink w:anchor="_Zelený_seznam:_projekty" w:history="1">
        <w:r w:rsidRPr="00B8406B">
          <w:rPr>
            <w:rStyle w:val="Hypertextovodkaz"/>
          </w:rPr>
          <w:t>4.1.6.1</w:t>
        </w:r>
      </w:hyperlink>
      <w:r>
        <w:t>) a p</w:t>
      </w:r>
      <w:r w:rsidR="00A87F0A">
        <w:t xml:space="preserve">rojekty nesplňující definici infrastruktury postupují dle kap. </w:t>
      </w:r>
      <w:hyperlink w:anchor="_Další_podmínky_k" w:history="1">
        <w:r w:rsidR="00A87F0A" w:rsidRPr="00B8406B">
          <w:rPr>
            <w:rStyle w:val="Hypertextovodkaz"/>
          </w:rPr>
          <w:t>4.1.6.1.</w:t>
        </w:r>
        <w:r w:rsidRPr="00B8406B">
          <w:rPr>
            <w:rStyle w:val="Hypertextovodkaz"/>
          </w:rPr>
          <w:t>1</w:t>
        </w:r>
      </w:hyperlink>
      <w:r>
        <w:t>, tzn. měly by být přiměřeně zváženy podmínky DNSH nad rámec legislativní ochrany.</w:t>
      </w:r>
      <w:r w:rsidR="00CD1D3F">
        <w:t>;</w:t>
      </w:r>
    </w:p>
    <w:p w14:paraId="0D31EFFA" w14:textId="6C81A6FE" w:rsidR="0099345C" w:rsidRDefault="00FC2100" w:rsidP="00AF460E">
      <w:pPr>
        <w:pStyle w:val="Odstavecseseznamem"/>
        <w:numPr>
          <w:ilvl w:val="1"/>
          <w:numId w:val="199"/>
        </w:numPr>
        <w:rPr>
          <w:rFonts w:cs="Segoe UI"/>
        </w:rPr>
      </w:pPr>
      <w:r>
        <w:t xml:space="preserve">Projekty splňující definici infrastruktury a přesahující limit </w:t>
      </w:r>
      <w:r w:rsidRPr="00FC2100">
        <w:t>20 000 t</w:t>
      </w:r>
      <w:r w:rsidR="00A6047B">
        <w:t> </w:t>
      </w:r>
      <w:r w:rsidRPr="00FC2100">
        <w:t>CO</w:t>
      </w:r>
      <w:r w:rsidRPr="006C1B48">
        <w:rPr>
          <w:vertAlign w:val="subscript"/>
        </w:rPr>
        <w:t>2</w:t>
      </w:r>
      <w:r w:rsidRPr="00FC2100">
        <w:t>ekv./rok</w:t>
      </w:r>
      <w:r>
        <w:t xml:space="preserve"> (zejm. projekty zařazené na tzv. červeném seznamu) postupují dle kap. </w:t>
      </w:r>
      <w:hyperlink w:anchor="_Červený_seznam:_Projekty" w:history="1">
        <w:r w:rsidRPr="00B8406B">
          <w:rPr>
            <w:rStyle w:val="Hypertextovodkaz"/>
          </w:rPr>
          <w:t>4.1.6.2</w:t>
        </w:r>
      </w:hyperlink>
      <w:r>
        <w:t>.</w:t>
      </w:r>
      <w:r w:rsidR="00CD1D3F">
        <w:t>;</w:t>
      </w:r>
    </w:p>
    <w:p w14:paraId="690ECEF0" w14:textId="3FF77897" w:rsidR="003B0CAB" w:rsidRDefault="003B0CAB">
      <w:pPr>
        <w:pStyle w:val="Nadpis3"/>
      </w:pPr>
      <w:r>
        <w:t>Stanovení podmínek DNSH</w:t>
      </w:r>
    </w:p>
    <w:p w14:paraId="5D54EA32" w14:textId="63CBE1DB" w:rsidR="00A019F6" w:rsidRPr="00DB1A0B" w:rsidRDefault="00A019F6" w:rsidP="00DB1A0B">
      <w:pPr>
        <w:pStyle w:val="Nadpis4"/>
        <w:rPr>
          <w:b w:val="0"/>
        </w:rPr>
      </w:pPr>
      <w:bookmarkStart w:id="73" w:name="_Zásada_„energetická_účinnost"/>
      <w:bookmarkEnd w:id="73"/>
      <w:r w:rsidRPr="00DB1A0B">
        <w:t xml:space="preserve">Zásada „energetická účinnost v první řadě“ </w:t>
      </w:r>
    </w:p>
    <w:p w14:paraId="1DA96937" w14:textId="77777777" w:rsidR="00A019F6" w:rsidRPr="004147E3" w:rsidRDefault="00A019F6" w:rsidP="00A019F6">
      <w:pPr>
        <w:rPr>
          <w:rFonts w:cs="Segoe UI"/>
        </w:rPr>
      </w:pPr>
      <w:r w:rsidRPr="004147E3">
        <w:rPr>
          <w:rFonts w:cs="Segoe UI"/>
        </w:rPr>
        <w:t xml:space="preserve">Zásada „energetická účinnost v první řadě“ je nástrojem Evropské komise na podporu zvyšování energetické účinnosti napříč sektory. </w:t>
      </w:r>
      <w:r w:rsidRPr="000B1A7D">
        <w:rPr>
          <w:rFonts w:cs="Segoe UI"/>
        </w:rPr>
        <w:t>Zásada „energetická účinnost v první řadě“ byla zakotvena v nařízení o správě energetické unie a opatřeních v oblasti klimatu (EU/2018/1999) a ve směrnici o energetické účinnosti (EU/2018/2002), revidovaná směrnice (EU/2023/1791), zveřejněná v Úředním věstníku dne 20. září 2023, poskytuje silnější a širší právní základ pro uplatňování této zásady. Zároveň bylo Komisí dne 29. července 2024 vydáno aktualizované Doporučení na jeho aplikaci.</w:t>
      </w:r>
      <w:r w:rsidRPr="004147E3">
        <w:rPr>
          <w:rStyle w:val="Znakapoznpodarou"/>
          <w:rFonts w:cs="Segoe UI"/>
        </w:rPr>
        <w:footnoteReference w:id="25"/>
      </w:r>
      <w:r w:rsidRPr="004147E3">
        <w:rPr>
          <w:rFonts w:cs="Segoe UI"/>
        </w:rPr>
        <w:t xml:space="preserve"> – ve</w:t>
      </w:r>
      <w:r w:rsidRPr="004147E3">
        <w:rPr>
          <w:rFonts w:cs="Segoe UI"/>
          <w:b/>
        </w:rPr>
        <w:t xml:space="preserve"> všech relevantních aktivitách všech cílů politik v oblasti fondů EU má být tato zásada dodržována a je vhodným nástrojem pro implementaci DNSH vůči cíli zmírňování změny klimatu (</w:t>
      </w:r>
      <w:proofErr w:type="spellStart"/>
      <w:r w:rsidRPr="004147E3">
        <w:rPr>
          <w:rFonts w:cs="Segoe UI"/>
          <w:b/>
        </w:rPr>
        <w:t>mitigace</w:t>
      </w:r>
      <w:proofErr w:type="spellEnd"/>
      <w:r w:rsidRPr="004147E3">
        <w:rPr>
          <w:rFonts w:cs="Segoe UI"/>
          <w:b/>
        </w:rPr>
        <w:t>)</w:t>
      </w:r>
      <w:r w:rsidRPr="004147E3">
        <w:rPr>
          <w:rFonts w:cs="Segoe UI"/>
        </w:rPr>
        <w:t>.</w:t>
      </w:r>
    </w:p>
    <w:p w14:paraId="07362FC9" w14:textId="77777777" w:rsidR="00A019F6" w:rsidRPr="004147E3" w:rsidRDefault="00A019F6" w:rsidP="00A019F6">
      <w:pPr>
        <w:spacing w:line="240" w:lineRule="auto"/>
        <w:rPr>
          <w:rFonts w:cs="Segoe UI"/>
          <w:u w:val="single"/>
        </w:rPr>
      </w:pPr>
      <w:r w:rsidRPr="004147E3">
        <w:rPr>
          <w:rFonts w:cs="Segoe UI"/>
          <w:u w:val="single"/>
        </w:rPr>
        <w:t>Mezi základní způsoby, jak tuto zásadu v podmínkách fondů EU uplatnit, lze zařadit:</w:t>
      </w:r>
    </w:p>
    <w:p w14:paraId="44D3EC77" w14:textId="6C75F0AD" w:rsidR="00A019F6" w:rsidRPr="004147E3" w:rsidRDefault="00A019F6" w:rsidP="00A019F6">
      <w:pPr>
        <w:pStyle w:val="Odstavecseseznamem"/>
        <w:numPr>
          <w:ilvl w:val="0"/>
          <w:numId w:val="35"/>
        </w:numPr>
        <w:spacing w:line="240" w:lineRule="auto"/>
        <w:rPr>
          <w:rFonts w:cs="Segoe UI"/>
        </w:rPr>
      </w:pPr>
      <w:r w:rsidRPr="004147E3">
        <w:rPr>
          <w:rFonts w:cs="Segoe UI"/>
        </w:rPr>
        <w:t>požadovat komplexní renovaci budovy, vč. důkladné rekonstrukce obálky budovy</w:t>
      </w:r>
      <w:r w:rsidR="00004275">
        <w:rPr>
          <w:rFonts w:cs="Segoe UI"/>
        </w:rPr>
        <w:t>;</w:t>
      </w:r>
    </w:p>
    <w:p w14:paraId="11235EC9" w14:textId="398ABD56" w:rsidR="00A019F6" w:rsidRPr="004147E3" w:rsidRDefault="00A019F6" w:rsidP="00A019F6">
      <w:pPr>
        <w:pStyle w:val="Odstavecseseznamem"/>
        <w:numPr>
          <w:ilvl w:val="0"/>
          <w:numId w:val="35"/>
        </w:numPr>
        <w:spacing w:line="240" w:lineRule="auto"/>
        <w:rPr>
          <w:rFonts w:cs="Segoe UI"/>
        </w:rPr>
      </w:pPr>
      <w:r w:rsidRPr="004147E3">
        <w:rPr>
          <w:rFonts w:cs="Segoe UI"/>
        </w:rPr>
        <w:t>podporovat využití odpadního tepla</w:t>
      </w:r>
      <w:r w:rsidR="00004275">
        <w:rPr>
          <w:rFonts w:cs="Segoe UI"/>
        </w:rPr>
        <w:t>;</w:t>
      </w:r>
    </w:p>
    <w:p w14:paraId="0DC7E99D" w14:textId="1F9B3EA2" w:rsidR="00004275" w:rsidRPr="00447000" w:rsidRDefault="004247CA" w:rsidP="00447000">
      <w:pPr>
        <w:pStyle w:val="Odstavecseseznamem"/>
        <w:numPr>
          <w:ilvl w:val="0"/>
          <w:numId w:val="35"/>
        </w:numPr>
        <w:spacing w:line="240" w:lineRule="auto"/>
        <w:rPr>
          <w:rFonts w:cs="Segoe UI"/>
        </w:rPr>
      </w:pPr>
      <w:bookmarkStart w:id="74" w:name="_Hlk202507939"/>
      <w:r>
        <w:rPr>
          <w:rFonts w:cs="Segoe UI"/>
          <w:bCs/>
        </w:rPr>
        <w:t>v</w:t>
      </w:r>
      <w:r w:rsidR="00004275" w:rsidRPr="00004275">
        <w:rPr>
          <w:rFonts w:cs="Segoe UI"/>
          <w:bCs/>
        </w:rPr>
        <w:t>ýrobky označené energetickými štítky budou splňovat požadavky na ekodesign (tj. požadavky směrnice Evropského parlamentu a Rady 2024/1781) a budou zařazeny do jedné ze dvou nejvyšších významně zastoupených tříd energetické účinnosti ve smyslu čl. 7 odst. 2 nařízení Evropského parlamentu a Rady (EU) 2017/1369 (zastoupení na trhu)</w:t>
      </w:r>
      <w:r w:rsidR="00004275" w:rsidRPr="00004275">
        <w:rPr>
          <w:rFonts w:cs="Segoe UI"/>
          <w:bCs/>
          <w:vertAlign w:val="superscript"/>
        </w:rPr>
        <w:footnoteReference w:id="26"/>
      </w:r>
      <w:r w:rsidR="00004275" w:rsidRPr="00004275">
        <w:rPr>
          <w:rFonts w:cs="Segoe UI"/>
          <w:bCs/>
        </w:rPr>
        <w:t>. V případě produktů bez označování energetickými štítky lze zvýhodnit výrobky s jinou certifikací energetické účinnosti</w:t>
      </w:r>
      <w:bookmarkEnd w:id="74"/>
      <w:r w:rsidR="00004275">
        <w:rPr>
          <w:rFonts w:cs="Segoe UI"/>
          <w:bCs/>
        </w:rPr>
        <w:t>;</w:t>
      </w:r>
    </w:p>
    <w:p w14:paraId="080211F1" w14:textId="44F057A8" w:rsidR="00A019F6" w:rsidRPr="004147E3" w:rsidRDefault="00A019F6" w:rsidP="00A019F6">
      <w:pPr>
        <w:pStyle w:val="Odstavecseseznamem"/>
        <w:numPr>
          <w:ilvl w:val="0"/>
          <w:numId w:val="35"/>
        </w:numPr>
        <w:spacing w:line="240" w:lineRule="auto"/>
        <w:rPr>
          <w:rFonts w:cs="Segoe UI"/>
        </w:rPr>
      </w:pPr>
      <w:r w:rsidRPr="004147E3">
        <w:rPr>
          <w:rFonts w:cs="Segoe UI"/>
        </w:rPr>
        <w:t>důsledně podporovat jen budovy v nejvyšším energetickém standardu (tj. vyžadovat lepší standard, než požaduje současná legislativa)</w:t>
      </w:r>
      <w:r w:rsidR="00004275">
        <w:rPr>
          <w:rFonts w:cs="Segoe UI"/>
        </w:rPr>
        <w:t xml:space="preserve"> ve smyslu souladu a směřování k implementaci směrnice EPBD, podrobnosti viz </w:t>
      </w:r>
      <w:hyperlink w:anchor="_Definice_infrastruktury_pro" w:history="1">
        <w:r w:rsidR="00004275" w:rsidRPr="00AA1649">
          <w:rPr>
            <w:rStyle w:val="Hypertextovodkaz"/>
            <w:rFonts w:cs="Segoe UI"/>
          </w:rPr>
          <w:t>kapitola 5.2</w:t>
        </w:r>
      </w:hyperlink>
      <w:r w:rsidR="00004275">
        <w:rPr>
          <w:rFonts w:cs="Segoe UI"/>
        </w:rPr>
        <w:t xml:space="preserve"> Budovy;</w:t>
      </w:r>
    </w:p>
    <w:p w14:paraId="527701B2" w14:textId="21BE989B" w:rsidR="00A019F6" w:rsidRPr="004147E3" w:rsidRDefault="00A019F6" w:rsidP="00A019F6">
      <w:pPr>
        <w:pStyle w:val="Odstavecseseznamem"/>
        <w:numPr>
          <w:ilvl w:val="0"/>
          <w:numId w:val="35"/>
        </w:numPr>
        <w:spacing w:line="240" w:lineRule="auto"/>
        <w:rPr>
          <w:rFonts w:cs="Segoe UI"/>
        </w:rPr>
      </w:pPr>
      <w:r w:rsidRPr="004147E3">
        <w:rPr>
          <w:rFonts w:cs="Segoe UI"/>
        </w:rPr>
        <w:lastRenderedPageBreak/>
        <w:t>nepodporovat výměny topných systémů u budov, které neprošly energeticky úspornou rekonstrukcí</w:t>
      </w:r>
      <w:r w:rsidR="00004275">
        <w:rPr>
          <w:rFonts w:cs="Segoe UI"/>
        </w:rPr>
        <w:t>;</w:t>
      </w:r>
    </w:p>
    <w:p w14:paraId="3A88FDE1" w14:textId="2DFBB63C" w:rsidR="00A019F6" w:rsidRPr="004147E3" w:rsidRDefault="00A019F6" w:rsidP="00A019F6">
      <w:pPr>
        <w:pStyle w:val="Odstavecseseznamem"/>
        <w:numPr>
          <w:ilvl w:val="0"/>
          <w:numId w:val="35"/>
        </w:numPr>
        <w:spacing w:line="240" w:lineRule="auto"/>
        <w:rPr>
          <w:rFonts w:cs="Segoe UI"/>
        </w:rPr>
      </w:pPr>
      <w:r w:rsidRPr="004147E3">
        <w:rPr>
          <w:rFonts w:cs="Segoe UI"/>
        </w:rPr>
        <w:t>u relevantních projektů (zejména veřejné a kancelářské budovy, veřejná prostranství, dopravní terminály apod.) vyžadovat zajištění parkovacích míst pro elektromobily a kola</w:t>
      </w:r>
      <w:r w:rsidR="00004275">
        <w:rPr>
          <w:rFonts w:cs="Segoe UI"/>
        </w:rPr>
        <w:t>;</w:t>
      </w:r>
    </w:p>
    <w:p w14:paraId="34807003" w14:textId="7E319304" w:rsidR="00A019F6" w:rsidRPr="004147E3" w:rsidRDefault="00A019F6" w:rsidP="00A019F6">
      <w:pPr>
        <w:pStyle w:val="Odstavecseseznamem"/>
        <w:numPr>
          <w:ilvl w:val="0"/>
          <w:numId w:val="35"/>
        </w:numPr>
        <w:spacing w:line="240" w:lineRule="auto"/>
        <w:rPr>
          <w:rFonts w:cs="Segoe UI"/>
        </w:rPr>
      </w:pPr>
      <w:r w:rsidRPr="004147E3">
        <w:rPr>
          <w:rFonts w:cs="Segoe UI"/>
        </w:rPr>
        <w:t>aktivně podporovat prvky zelenomodré infrastruktury (zeleň, zelené střechy a fasády apod.)</w:t>
      </w:r>
      <w:r w:rsidR="00004275">
        <w:rPr>
          <w:rFonts w:cs="Segoe UI"/>
        </w:rPr>
        <w:t>;</w:t>
      </w:r>
    </w:p>
    <w:p w14:paraId="3E5603AC" w14:textId="27F13E4A" w:rsidR="00A019F6" w:rsidRPr="004147E3" w:rsidRDefault="00A019F6" w:rsidP="00A019F6">
      <w:pPr>
        <w:pStyle w:val="Odstavecseseznamem"/>
        <w:numPr>
          <w:ilvl w:val="0"/>
          <w:numId w:val="35"/>
        </w:numPr>
        <w:spacing w:line="240" w:lineRule="auto"/>
        <w:rPr>
          <w:rFonts w:cs="Segoe UI"/>
        </w:rPr>
      </w:pPr>
      <w:r w:rsidRPr="004147E3">
        <w:rPr>
          <w:rFonts w:cs="Segoe UI"/>
        </w:rPr>
        <w:t>aktivně podporovat či vyžadovat systémy inteligentní systémy hospodaření s</w:t>
      </w:r>
      <w:r w:rsidR="00004275">
        <w:rPr>
          <w:rFonts w:cs="Segoe UI"/>
        </w:rPr>
        <w:t> </w:t>
      </w:r>
      <w:r w:rsidRPr="004147E3">
        <w:rPr>
          <w:rFonts w:cs="Segoe UI"/>
        </w:rPr>
        <w:t>energií</w:t>
      </w:r>
      <w:r w:rsidR="00004275">
        <w:rPr>
          <w:rFonts w:cs="Segoe UI"/>
        </w:rPr>
        <w:t>;</w:t>
      </w:r>
    </w:p>
    <w:p w14:paraId="04D7BC7F" w14:textId="78FF663F" w:rsidR="00A019F6" w:rsidRPr="004147E3" w:rsidRDefault="00A019F6" w:rsidP="00A019F6">
      <w:pPr>
        <w:pStyle w:val="Odstavecseseznamem"/>
        <w:numPr>
          <w:ilvl w:val="0"/>
          <w:numId w:val="35"/>
        </w:numPr>
        <w:spacing w:line="240" w:lineRule="auto"/>
        <w:rPr>
          <w:rFonts w:cs="Segoe UI"/>
        </w:rPr>
      </w:pPr>
      <w:r w:rsidRPr="004147E3">
        <w:rPr>
          <w:rFonts w:cs="Segoe UI"/>
        </w:rPr>
        <w:t>podporovat vozidla s nulovými emisemi</w:t>
      </w:r>
      <w:r w:rsidR="00004275">
        <w:rPr>
          <w:rFonts w:cs="Segoe UI"/>
        </w:rPr>
        <w:t>;</w:t>
      </w:r>
    </w:p>
    <w:p w14:paraId="636713E6" w14:textId="21A2D74F" w:rsidR="00A019F6" w:rsidRPr="004147E3" w:rsidRDefault="00A019F6" w:rsidP="00A019F6">
      <w:pPr>
        <w:pStyle w:val="Odstavecseseznamem"/>
        <w:numPr>
          <w:ilvl w:val="0"/>
          <w:numId w:val="35"/>
        </w:numPr>
        <w:spacing w:line="240" w:lineRule="auto"/>
        <w:rPr>
          <w:rFonts w:cs="Segoe UI"/>
        </w:rPr>
      </w:pPr>
      <w:r w:rsidRPr="004147E3">
        <w:rPr>
          <w:rFonts w:cs="Segoe UI"/>
        </w:rPr>
        <w:t>u budované infrastruktury podporovat využívání veřejné dopravy, cyklistiky a chůze</w:t>
      </w:r>
      <w:r w:rsidR="00004275">
        <w:rPr>
          <w:rFonts w:cs="Segoe UI"/>
        </w:rPr>
        <w:t>;</w:t>
      </w:r>
    </w:p>
    <w:p w14:paraId="04734E80" w14:textId="41546F42" w:rsidR="00A019F6" w:rsidRPr="004147E3" w:rsidRDefault="00A019F6" w:rsidP="00A019F6">
      <w:pPr>
        <w:pStyle w:val="Odstavecseseznamem"/>
        <w:numPr>
          <w:ilvl w:val="0"/>
          <w:numId w:val="35"/>
        </w:numPr>
        <w:spacing w:line="240" w:lineRule="auto"/>
        <w:rPr>
          <w:rFonts w:cs="Segoe UI"/>
        </w:rPr>
      </w:pPr>
      <w:r w:rsidRPr="004147E3">
        <w:rPr>
          <w:rFonts w:cs="Segoe UI"/>
        </w:rPr>
        <w:t>vyžadovat energeticky úsporné technologie v dodavatelském řetězci pitné vody (distribuce, spotřeba, čištění)</w:t>
      </w:r>
      <w:r w:rsidR="00004275">
        <w:rPr>
          <w:rFonts w:cs="Segoe UI"/>
        </w:rPr>
        <w:t>;</w:t>
      </w:r>
    </w:p>
    <w:p w14:paraId="56974636" w14:textId="7CF6574C" w:rsidR="00A019F6" w:rsidRPr="004147E3" w:rsidRDefault="00A019F6" w:rsidP="00A019F6">
      <w:pPr>
        <w:pStyle w:val="Odstavecseseznamem"/>
        <w:numPr>
          <w:ilvl w:val="0"/>
          <w:numId w:val="35"/>
        </w:numPr>
        <w:spacing w:line="240" w:lineRule="auto"/>
        <w:rPr>
          <w:rFonts w:cs="Segoe UI"/>
        </w:rPr>
      </w:pPr>
      <w:r w:rsidRPr="004147E3">
        <w:rPr>
          <w:rFonts w:cs="Segoe UI"/>
        </w:rPr>
        <w:t>aktivně podporovat opatření na zadržování a využívání dešťové vody, užitkové a šedé (např. u budov)</w:t>
      </w:r>
      <w:r w:rsidR="00004275">
        <w:rPr>
          <w:rFonts w:cs="Segoe UI"/>
        </w:rPr>
        <w:t>;</w:t>
      </w:r>
    </w:p>
    <w:p w14:paraId="046D6AED" w14:textId="7F083E88" w:rsidR="00A019F6" w:rsidRPr="004147E3" w:rsidRDefault="00A019F6" w:rsidP="00A019F6">
      <w:pPr>
        <w:pStyle w:val="Odstavecseseznamem"/>
        <w:numPr>
          <w:ilvl w:val="0"/>
          <w:numId w:val="35"/>
        </w:numPr>
        <w:spacing w:line="240" w:lineRule="auto"/>
        <w:rPr>
          <w:rFonts w:cs="Segoe UI"/>
        </w:rPr>
      </w:pPr>
      <w:r w:rsidRPr="004147E3">
        <w:rPr>
          <w:rFonts w:cs="Segoe UI"/>
        </w:rPr>
        <w:t>vyžadovat energetické standardy u systémů informačních a komunikačních technologií</w:t>
      </w:r>
      <w:r w:rsidR="00004275">
        <w:rPr>
          <w:rFonts w:cs="Segoe UI"/>
        </w:rPr>
        <w:t>.</w:t>
      </w:r>
    </w:p>
    <w:p w14:paraId="74ABA963" w14:textId="77777777" w:rsidR="00A019F6" w:rsidRPr="004147E3" w:rsidRDefault="00A019F6" w:rsidP="00A019F6">
      <w:pPr>
        <w:spacing w:line="240" w:lineRule="auto"/>
        <w:rPr>
          <w:rFonts w:cs="Segoe UI"/>
        </w:rPr>
      </w:pPr>
      <w:r w:rsidRPr="004147E3">
        <w:rPr>
          <w:rFonts w:cs="Segoe UI"/>
        </w:rPr>
        <w:t>Detailnější informace o uplatnění zásady „energetická účinnost v první řadě“ lze nalézt v </w:t>
      </w:r>
      <w:hyperlink r:id="rId52" w:tooltip="http://data.europa.eu/eli/reco/2021/1749/oj" w:history="1">
        <w:r w:rsidRPr="004147E3">
          <w:rPr>
            <w:rStyle w:val="Hypertextovodkaz"/>
            <w:rFonts w:cs="Segoe UI"/>
          </w:rPr>
          <w:t>doporučení Evropské komise</w:t>
        </w:r>
      </w:hyperlink>
      <w:r w:rsidRPr="004147E3">
        <w:rPr>
          <w:rFonts w:cs="Segoe UI"/>
        </w:rPr>
        <w:t>.</w:t>
      </w:r>
      <w:r w:rsidRPr="004147E3">
        <w:rPr>
          <w:rStyle w:val="Znakapoznpodarou"/>
          <w:rFonts w:cs="Segoe UI"/>
        </w:rPr>
        <w:footnoteReference w:id="27"/>
      </w:r>
    </w:p>
    <w:p w14:paraId="6E299FFD" w14:textId="71D4495B" w:rsidR="00A019F6" w:rsidRPr="00A019F6" w:rsidRDefault="00B25537" w:rsidP="00DB1A0B">
      <w:r>
        <w:t xml:space="preserve">Dále se doporučuje </w:t>
      </w:r>
      <w:r w:rsidRPr="00B25537">
        <w:t>bonifikace projektů vycházejících z</w:t>
      </w:r>
      <w:r>
        <w:t xml:space="preserve"> místních </w:t>
      </w:r>
      <w:r w:rsidRPr="00B25537">
        <w:t>akčních plánů pro udržitelnou energii a klima (SECAP)</w:t>
      </w:r>
      <w:r>
        <w:t>.</w:t>
      </w:r>
    </w:p>
    <w:p w14:paraId="57785B26" w14:textId="77777777" w:rsidR="00337F25" w:rsidRDefault="00337F25" w:rsidP="00DB1A0B">
      <w:pPr>
        <w:pStyle w:val="Nadpis4"/>
        <w:rPr>
          <w:bCs/>
        </w:rPr>
      </w:pPr>
      <w:bookmarkStart w:id="75" w:name="_Postupy_typizovaných_částí"/>
      <w:bookmarkStart w:id="76" w:name="_Energetická_infrastruktura"/>
      <w:bookmarkEnd w:id="75"/>
      <w:bookmarkEnd w:id="76"/>
      <w:r>
        <w:t>Energetická infrastruktura</w:t>
      </w:r>
    </w:p>
    <w:p w14:paraId="3F4D9BFE" w14:textId="3FA7F7B9" w:rsidR="00337F25" w:rsidRDefault="00337F25" w:rsidP="00337F25">
      <w:r w:rsidRPr="006A45B6">
        <w:t>Pro stanovení podm</w:t>
      </w:r>
      <w:r>
        <w:t xml:space="preserve">ínek DNSH pro energetickou infrastrukturu se doporučuje vycházet primárně z technických screeningových kritérií zásadního přispění zmírňování změny klimatu dle taxonomie EU pro udržitelné investice nebo jejich přizpůsobení. V případě, že nejsou využita kritéria taxonomie, je </w:t>
      </w:r>
      <w:r w:rsidRPr="00F801CA">
        <w:t>soulad DNSH vůči zmírňování změny klimatu proveden skrze klimatické prověření dle postupu v </w:t>
      </w:r>
      <w:hyperlink w:anchor="_Prověření_projektů_z" w:history="1">
        <w:r w:rsidRPr="00F70E81">
          <w:rPr>
            <w:rStyle w:val="Hypertextovodkaz"/>
          </w:rPr>
          <w:t>kapitole 4.1.</w:t>
        </w:r>
        <w:r w:rsidR="008167AD" w:rsidRPr="00F70E81">
          <w:rPr>
            <w:rStyle w:val="Hypertextovodkaz"/>
          </w:rPr>
          <w:t>6</w:t>
        </w:r>
      </w:hyperlink>
      <w:r w:rsidRPr="00EA4CB0">
        <w:t>.</w:t>
      </w:r>
    </w:p>
    <w:p w14:paraId="1F663B4A" w14:textId="77777777" w:rsidR="00337F25" w:rsidRPr="006C71F9" w:rsidRDefault="00337F25" w:rsidP="00DB1A0B">
      <w:pPr>
        <w:pStyle w:val="Nadpis5"/>
      </w:pPr>
      <w:bookmarkStart w:id="77" w:name="_Podmínky_pro_zdroje"/>
      <w:bookmarkEnd w:id="77"/>
      <w:r w:rsidRPr="006C71F9">
        <w:t>Podmínky pro zdroje v teplárenství a distribuci tepla</w:t>
      </w:r>
      <w:r w:rsidRPr="006C71F9">
        <w:rPr>
          <w:rStyle w:val="Znakapoznpodarou"/>
        </w:rPr>
        <w:footnoteReference w:id="28"/>
      </w:r>
    </w:p>
    <w:p w14:paraId="2FFD3B75" w14:textId="77777777" w:rsidR="00337F25" w:rsidRDefault="00337F25" w:rsidP="00337F25">
      <w:pPr>
        <w:rPr>
          <w:b/>
          <w:bCs/>
        </w:rPr>
      </w:pPr>
      <w:r>
        <w:rPr>
          <w:b/>
          <w:bCs/>
        </w:rPr>
        <w:t>Hierarchie transformace teplárenství</w:t>
      </w:r>
      <w:r>
        <w:rPr>
          <w:rStyle w:val="Znakapoznpodarou"/>
          <w:b/>
          <w:bCs/>
        </w:rPr>
        <w:footnoteReference w:id="29"/>
      </w:r>
    </w:p>
    <w:p w14:paraId="20DECC7A" w14:textId="77777777" w:rsidR="00337F25" w:rsidRDefault="00337F25" w:rsidP="00337F25">
      <w:r>
        <w:t>Hierarchie transformace teplárenství</w:t>
      </w:r>
      <w:r>
        <w:rPr>
          <w:rStyle w:val="Znakapoznpodarou"/>
        </w:rPr>
        <w:footnoteReference w:id="30"/>
      </w:r>
      <w:r>
        <w:t xml:space="preserve"> předkládá optimální pořadí technických řešení k náhradě fosilních zdrojů tepla v soustavách zásobování tepelnou energií (dále jen „SZTE“).</w:t>
      </w:r>
    </w:p>
    <w:p w14:paraId="1E57170D" w14:textId="77777777" w:rsidR="00337F25" w:rsidRDefault="00337F25" w:rsidP="00337F25">
      <w:r>
        <w:t>Grafické znázornění hierarchie technologií pro transformaci teplárenství je dáno níže.</w:t>
      </w:r>
    </w:p>
    <w:p w14:paraId="0E1C0014" w14:textId="77777777" w:rsidR="00337F25" w:rsidRDefault="00337F25" w:rsidP="00337F25">
      <w:pPr>
        <w:jc w:val="center"/>
      </w:pPr>
    </w:p>
    <w:p w14:paraId="633BB523" w14:textId="2DACBF22" w:rsidR="00337F25" w:rsidRPr="0073219C" w:rsidRDefault="00337F25" w:rsidP="00337F25">
      <w:pPr>
        <w:pStyle w:val="Titulek"/>
        <w:rPr>
          <w:sz w:val="22"/>
          <w:szCs w:val="22"/>
        </w:rPr>
      </w:pPr>
      <w:r w:rsidRPr="0073219C">
        <w:rPr>
          <w:sz w:val="22"/>
          <w:szCs w:val="22"/>
        </w:rPr>
        <w:lastRenderedPageBreak/>
        <w:t>Hierarchie transformace teplárenství</w:t>
      </w:r>
    </w:p>
    <w:p w14:paraId="04A0F090" w14:textId="77777777" w:rsidR="00337F25" w:rsidRDefault="00337F25" w:rsidP="00337F25">
      <w:pPr>
        <w:jc w:val="center"/>
      </w:pPr>
      <w:r w:rsidRPr="00CF02BC">
        <w:rPr>
          <w:noProof/>
          <w:sz w:val="32"/>
          <w:szCs w:val="32"/>
        </w:rPr>
        <mc:AlternateContent>
          <mc:Choice Requires="wps">
            <w:drawing>
              <wp:anchor distT="0" distB="0" distL="114300" distR="114300" simplePos="0" relativeHeight="251691008" behindDoc="0" locked="0" layoutInCell="1" allowOverlap="1" wp14:anchorId="1E7FADA9" wp14:editId="2335F048">
                <wp:simplePos x="0" y="0"/>
                <wp:positionH relativeFrom="column">
                  <wp:posOffset>4088713</wp:posOffset>
                </wp:positionH>
                <wp:positionV relativeFrom="paragraph">
                  <wp:posOffset>711555</wp:posOffset>
                </wp:positionV>
                <wp:extent cx="776605" cy="2285528"/>
                <wp:effectExtent l="476250" t="0" r="461645" b="635"/>
                <wp:wrapNone/>
                <wp:docPr id="555927220" name="Textové pole 555927220"/>
                <wp:cNvGraphicFramePr/>
                <a:graphic xmlns:a="http://schemas.openxmlformats.org/drawingml/2006/main">
                  <a:graphicData uri="http://schemas.microsoft.com/office/word/2010/wordprocessingShape">
                    <wps:wsp>
                      <wps:cNvSpPr txBox="1"/>
                      <wps:spPr>
                        <a:xfrm rot="19712257">
                          <a:off x="0" y="0"/>
                          <a:ext cx="776605" cy="2285528"/>
                        </a:xfrm>
                        <a:prstGeom prst="rect">
                          <a:avLst/>
                        </a:prstGeom>
                        <a:noFill/>
                        <a:ln w="6350">
                          <a:noFill/>
                        </a:ln>
                      </wps:spPr>
                      <wps:txbx>
                        <w:txbxContent>
                          <w:p w14:paraId="08CBDB1A" w14:textId="77777777" w:rsidR="00337F25" w:rsidRPr="005E33BC" w:rsidRDefault="00337F25" w:rsidP="00337F25">
                            <w:pPr>
                              <w:rPr>
                                <w:sz w:val="36"/>
                                <w:szCs w:val="36"/>
                              </w:rPr>
                            </w:pPr>
                            <w:r w:rsidRPr="005E33BC">
                              <w:rPr>
                                <w:sz w:val="36"/>
                                <w:szCs w:val="36"/>
                              </w:rPr>
                              <w:t>Obchodní model</w:t>
                            </w:r>
                          </w:p>
                        </w:txbxContent>
                      </wps:txbx>
                      <wps:bodyPr rot="0" spcFirstLastPara="0" vertOverflow="overflow" horzOverflow="overflow" vert="eaVert"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1E7FADA9" id="Textové pole 555927220" o:spid="_x0000_s1027" type="#_x0000_t202" style="position:absolute;left:0;text-align:left;margin-left:321.95pt;margin-top:56.05pt;width:61.15pt;height:179.95pt;rotation:-2061919fd;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" filled="f" stroked="f" strokeweight=".5pt">
                <v:textbox style="layout-flow:vertical-ideographic">
                  <w:txbxContent>
                    <w:p w14:paraId="08CBDB1A" w14:textId="77777777" w:rsidR="00337F25" w:rsidRPr="005E33BC" w:rsidRDefault="00337F25" w:rsidP="00337F25">
                      <w:pPr>
                        <w:rPr>
                          <w:sz w:val="36"/>
                          <w:szCs w:val="36"/>
                        </w:rPr>
                      </w:pPr>
                      <w:r w:rsidRPr="005E33BC">
                        <w:rPr>
                          <w:sz w:val="36"/>
                          <w:szCs w:val="36"/>
                        </w:rPr>
                        <w:t>Obchodní model</w:t>
                      </w:r>
                    </w:p>
                  </w:txbxContent>
                </v:textbox>
              </v:shape>
            </w:pict>
          </mc:Fallback>
        </mc:AlternateContent>
      </w:r>
      <w:r>
        <w:rPr>
          <w:noProof/>
        </w:rPr>
        <mc:AlternateContent>
          <mc:Choice Requires="wps">
            <w:drawing>
              <wp:anchor distT="0" distB="0" distL="114300" distR="114300" simplePos="0" relativeHeight="251692032" behindDoc="0" locked="0" layoutInCell="1" allowOverlap="1" wp14:anchorId="674FC35C" wp14:editId="7A068C04">
                <wp:simplePos x="0" y="0"/>
                <wp:positionH relativeFrom="column">
                  <wp:posOffset>988519</wp:posOffset>
                </wp:positionH>
                <wp:positionV relativeFrom="paragraph">
                  <wp:posOffset>320421</wp:posOffset>
                </wp:positionV>
                <wp:extent cx="597196" cy="2554274"/>
                <wp:effectExtent l="552450" t="0" r="508000" b="0"/>
                <wp:wrapNone/>
                <wp:docPr id="412777498" name="Textové pole 412777498"/>
                <wp:cNvGraphicFramePr/>
                <a:graphic xmlns:a="http://schemas.openxmlformats.org/drawingml/2006/main">
                  <a:graphicData uri="http://schemas.microsoft.com/office/word/2010/wordprocessingShape">
                    <wps:wsp>
                      <wps:cNvSpPr txBox="1"/>
                      <wps:spPr>
                        <a:xfrm rot="12680300" flipH="1">
                          <a:off x="0" y="0"/>
                          <a:ext cx="597196" cy="2554274"/>
                        </a:xfrm>
                        <a:prstGeom prst="rect">
                          <a:avLst/>
                        </a:prstGeom>
                        <a:noFill/>
                        <a:ln w="6350">
                          <a:noFill/>
                        </a:ln>
                      </wps:spPr>
                      <wps:txbx>
                        <w:txbxContent>
                          <w:p w14:paraId="3320EA72" w14:textId="77777777" w:rsidR="00337F25" w:rsidRPr="005E33BC" w:rsidRDefault="00337F25" w:rsidP="00337F25">
                            <w:pPr>
                              <w:rPr>
                                <w:sz w:val="36"/>
                                <w:szCs w:val="36"/>
                              </w:rPr>
                            </w:pPr>
                            <w:r w:rsidRPr="005E33BC">
                              <w:rPr>
                                <w:sz w:val="36"/>
                                <w:szCs w:val="36"/>
                              </w:rPr>
                              <w:t>Regulatorní prostředí</w:t>
                            </w:r>
                          </w:p>
                        </w:txbxContent>
                      </wps:txbx>
                      <wps:bodyPr rot="0" spcFirstLastPara="0" vertOverflow="overflow" horzOverflow="overflow" vert="eaVert"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674FC35C" id="Textové pole 412777498" o:spid="_x0000_s1028" type="#_x0000_t202" style="position:absolute;left:0;text-align:left;margin-left:77.85pt;margin-top:25.25pt;width:47pt;height:201.1pt;rotation:9742691fd;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" filled="f" stroked="f" strokeweight=".5pt">
                <v:textbox style="layout-flow:vertical-ideographic">
                  <w:txbxContent>
                    <w:p w14:paraId="3320EA72" w14:textId="77777777" w:rsidR="00337F25" w:rsidRPr="005E33BC" w:rsidRDefault="00337F25" w:rsidP="00337F25">
                      <w:pPr>
                        <w:rPr>
                          <w:sz w:val="36"/>
                          <w:szCs w:val="36"/>
                        </w:rPr>
                      </w:pPr>
                      <w:r w:rsidRPr="005E33BC">
                        <w:rPr>
                          <w:sz w:val="36"/>
                          <w:szCs w:val="36"/>
                        </w:rPr>
                        <w:t>Regulatorní prostředí</w:t>
                      </w:r>
                    </w:p>
                  </w:txbxContent>
                </v:textbox>
              </v:shape>
            </w:pict>
          </mc:Fallback>
        </mc:AlternateContent>
      </w:r>
      <w:r>
        <w:rPr>
          <w:noProof/>
        </w:rPr>
        <mc:AlternateContent>
          <mc:Choice Requires="wps">
            <w:drawing>
              <wp:anchor distT="45720" distB="45720" distL="114300" distR="114300" simplePos="0" relativeHeight="251689984" behindDoc="0" locked="0" layoutInCell="1" allowOverlap="1" wp14:anchorId="68366F5C" wp14:editId="0B5B0AA5">
                <wp:simplePos x="0" y="0"/>
                <wp:positionH relativeFrom="column">
                  <wp:posOffset>1729105</wp:posOffset>
                </wp:positionH>
                <wp:positionV relativeFrom="paragraph">
                  <wp:posOffset>3241675</wp:posOffset>
                </wp:positionV>
                <wp:extent cx="2362200" cy="1792732"/>
                <wp:effectExtent l="0" t="0" r="0" b="0"/>
                <wp:wrapNone/>
                <wp:docPr id="91057942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1792732"/>
                        </a:xfrm>
                        <a:prstGeom prst="rect">
                          <a:avLst/>
                        </a:prstGeom>
                        <a:noFill/>
                        <a:ln w="9525">
                          <a:noFill/>
                          <a:miter lim="800000"/>
                          <a:headEnd/>
                          <a:tailEnd/>
                        </a:ln>
                      </wps:spPr>
                      <wps:txbx>
                        <w:txbxContent>
                          <w:p w14:paraId="6A108A10" w14:textId="77777777" w:rsidR="00337F25" w:rsidRPr="003C5060" w:rsidRDefault="00337F25" w:rsidP="00337F25">
                            <w:pPr>
                              <w:rPr>
                                <w:color w:val="000000" w:themeColor="text1"/>
                                <w:sz w:val="36"/>
                                <w:szCs w:val="36"/>
                              </w:rPr>
                            </w:pPr>
                            <w:r w:rsidRPr="003C5060">
                              <w:rPr>
                                <w:color w:val="000000" w:themeColor="text1"/>
                                <w:sz w:val="36"/>
                                <w:szCs w:val="36"/>
                              </w:rPr>
                              <w:t>Strategické plánování</w:t>
                            </w: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8366F5C" id="_x0000_s1029" type="#_x0000_t202" style="position:absolute;left:0;text-align:left;margin-left:136.15pt;margin-top:255.25pt;width:186pt;height:141.15pt;z-index:2516899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" filled="f" stroked="f">
                <v:textbox style="mso-fit-shape-to-text:t">
                  <w:txbxContent>
                    <w:p w14:paraId="6A108A10" w14:textId="77777777" w:rsidR="00337F25" w:rsidRPr="003C5060" w:rsidRDefault="00337F25" w:rsidP="00337F25">
                      <w:pPr>
                        <w:rPr>
                          <w:color w:val="000000" w:themeColor="text1"/>
                          <w:sz w:val="36"/>
                          <w:szCs w:val="36"/>
                        </w:rPr>
                      </w:pPr>
                      <w:r w:rsidRPr="003C5060">
                        <w:rPr>
                          <w:color w:val="000000" w:themeColor="text1"/>
                          <w:sz w:val="36"/>
                          <w:szCs w:val="36"/>
                        </w:rPr>
                        <w:t>Strategické plánování</w:t>
                      </w:r>
                    </w:p>
                  </w:txbxContent>
                </v:textbox>
              </v:shape>
            </w:pict>
          </mc:Fallback>
        </mc:AlternateContent>
      </w:r>
      <w:r>
        <w:rPr>
          <w:noProof/>
        </w:rPr>
        <w:drawing>
          <wp:inline distT="0" distB="0" distL="0" distR="0" wp14:anchorId="3EB416D6" wp14:editId="1DDCE0BE">
            <wp:extent cx="4014470" cy="3276600"/>
            <wp:effectExtent l="19050" t="0" r="43180" b="19050"/>
            <wp:docPr id="74317441" name="Diagram 7431744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3" r:lo="rId54" r:qs="rId55" r:cs="rId56"/>
              </a:graphicData>
            </a:graphic>
          </wp:inline>
        </w:drawing>
      </w:r>
    </w:p>
    <w:p w14:paraId="2D39668E" w14:textId="77777777" w:rsidR="00337F25" w:rsidRDefault="00337F25" w:rsidP="00337F25">
      <w:pPr>
        <w:rPr>
          <w:b/>
          <w:bCs/>
          <w:color w:val="4472C4" w:themeColor="accent1"/>
          <w:sz w:val="26"/>
          <w:szCs w:val="26"/>
        </w:rPr>
      </w:pPr>
    </w:p>
    <w:p w14:paraId="0E202FCE" w14:textId="77777777" w:rsidR="00337F25" w:rsidRDefault="00337F25" w:rsidP="00337F25"/>
    <w:p w14:paraId="03D699A0" w14:textId="77777777" w:rsidR="00337F25" w:rsidRDefault="00337F25" w:rsidP="00337F25">
      <w:r>
        <w:t>V první řadě klade důraz na úspory energie dle principu „energetická účinnost na prvním místě“. Tedy transformaci SZTE je třeba vnímat komplexně (nesoustředit se pouze na zdrojovou část) a respektovat dlouhodobý trend snižování spotřeby tepla nejen v důsledku vývoje klimatu, ale zejména cílený v důsledku snižování energetické náročnosti budov i (průmyslových) procesů. Je přitom nezbytné zdůraznit, že snižování energetické náročnosti budov prostřednictvím zlepšování tepelně-izolačních vlastností jejich obálek zároveň přispívá k možnosti snížit teplotu teplonosného média v SZTE a tím i k integraci nízkoteplotních zdrojů.</w:t>
      </w:r>
    </w:p>
    <w:p w14:paraId="5AD053E8" w14:textId="4111141B" w:rsidR="00337F25" w:rsidRDefault="00337F25" w:rsidP="00337F25">
      <w:r>
        <w:t xml:space="preserve">Odpadní teplo se doporučuje využívat všude tam, kde je k dispozici. </w:t>
      </w:r>
      <w:proofErr w:type="spellStart"/>
      <w:r>
        <w:t>Vysokopotenciální</w:t>
      </w:r>
      <w:proofErr w:type="spellEnd"/>
      <w:r>
        <w:t xml:space="preserve"> teplo z určitých průmyslových procesů (hutní, sklářské, keramické) lze využívat napřímo, </w:t>
      </w:r>
      <w:proofErr w:type="spellStart"/>
      <w:r>
        <w:t>nízkopotenciální</w:t>
      </w:r>
      <w:proofErr w:type="spellEnd"/>
      <w:r>
        <w:t xml:space="preserve"> odpadního tepla pak za využití </w:t>
      </w:r>
      <w:r w:rsidR="00A75EF4">
        <w:t>tepelného čerpadla</w:t>
      </w:r>
      <w:r>
        <w:t xml:space="preserve">. Odpadní teplo pak vzniká samozřejmě i v sektoru služeb, z moderních prvků tohoto sektoru lze uvést např. datová centra či obchodní centra která produkují velké množství odpadního tepla. Využitelnost odpadního tepla v objemu 262 </w:t>
      </w:r>
      <w:proofErr w:type="spellStart"/>
      <w:r>
        <w:t>GWh</w:t>
      </w:r>
      <w:proofErr w:type="spellEnd"/>
      <w:r>
        <w:t xml:space="preserve"> ročně již byla identifikována studií Ministerstva životního prostředí. </w:t>
      </w:r>
      <w:r>
        <w:rPr>
          <w:rStyle w:val="Znakapoznpodarou"/>
        </w:rPr>
        <w:footnoteReference w:id="31"/>
      </w:r>
    </w:p>
    <w:p w14:paraId="052FE1BF" w14:textId="77777777" w:rsidR="00337F25" w:rsidRDefault="00337F25" w:rsidP="00337F25">
      <w:r>
        <w:t xml:space="preserve">Za lokální zdroje lze v ČR považovat zejména geotermální energii. Teplo z mělké geotermální energie je nízkoteplotní, vhodné k využití prostřednictvím TČ, v případě hlubokých vrtů pak můžeme dosáhnout až </w:t>
      </w:r>
      <w:proofErr w:type="spellStart"/>
      <w:r>
        <w:t>vysokopotenciálního</w:t>
      </w:r>
      <w:proofErr w:type="spellEnd"/>
      <w:r>
        <w:t xml:space="preserve"> tepla. Rovněž sem spadá teplo okolního prostředí, tedy typicky vody a vzduchu (v těchto dvou oblastech existuje nejasný překryv mezi mělkou geotermií a teplem okolního prostředí z půdy).</w:t>
      </w:r>
    </w:p>
    <w:p w14:paraId="18F41689" w14:textId="77777777" w:rsidR="00337F25" w:rsidRDefault="00337F25" w:rsidP="00337F25">
      <w:r>
        <w:t>Spotřebu nekrytou výše uvedenými zdroji lze pokrýt dalšími OZE, včetně dodávaných paliv z OZE (zejména „zelený vodík“ či biometan).</w:t>
      </w:r>
    </w:p>
    <w:p w14:paraId="67113772" w14:textId="77777777" w:rsidR="00337F25" w:rsidRPr="0093547E" w:rsidRDefault="00337F25" w:rsidP="00337F25">
      <w:r>
        <w:lastRenderedPageBreak/>
        <w:t>Pro stanovení konkrétních podmínek DNSH se doporučuje využít odborné studie, studie proveditelnosti a dále technická screeningová kritéria zásadního přispění změně klimatu dle taxonomie EU pro udržitelné investice.</w:t>
      </w:r>
    </w:p>
    <w:p w14:paraId="1A88FAAA" w14:textId="77777777" w:rsidR="00337F25" w:rsidRPr="003F1933" w:rsidRDefault="00337F25" w:rsidP="00337F25">
      <w:r w:rsidRPr="003F1933">
        <w:rPr>
          <w:b/>
          <w:bCs/>
        </w:rPr>
        <w:t xml:space="preserve">Obecný rámec </w:t>
      </w:r>
      <w:r>
        <w:rPr>
          <w:b/>
          <w:bCs/>
        </w:rPr>
        <w:t>DNSH pro teplárenství</w:t>
      </w:r>
    </w:p>
    <w:p w14:paraId="140514F7" w14:textId="77777777" w:rsidR="00337F25" w:rsidRDefault="00337F25" w:rsidP="00337F25">
      <w:r w:rsidRPr="003F1933">
        <w:t>Pro investice v oblasti teplárenství z veřejných prostředků je mimo jiné relevantní Nařízení Evropského parlamentu a Rady (EU) č. 2020/852 ze dne 18. června 2020 o zřízení rámce pro usnadnění udržitelných investic a o změně nařízení (EU) 2019/2088 (tzv. „Nařízení o Taxonomii“) a Nařízení Komise v přenesené pravomoci (EU), kterým se mění nařízení v přenesené pravomoci (EU) 2021/2139, pokud jde o hospodářské činnosti v některých odvětvích energetiky, a nařízení v přenesené pravomoci (EU) 2021/2178, pokud jde o specifické zveřejňování informací v souvislosti s těmito hospodářskými činnostmi</w:t>
      </w:r>
      <w:r>
        <w:rPr>
          <w:rStyle w:val="Znakapoznpodarou"/>
        </w:rPr>
        <w:footnoteReference w:id="32"/>
      </w:r>
      <w:r w:rsidRPr="003F1933">
        <w:t>. V tomto ohledu je důležitý také Delegovaný akt EU č. 2021/2139 z 4. června 2021 vymezující technická screeningová kritéria a podmínky, za kterých investice splňují podmínku udržitelnosti s ohledem na ochranu klimatu a adaptaci na změnu klimatu.</w:t>
      </w:r>
      <w:r>
        <w:rPr>
          <w:rStyle w:val="Znakapoznpodarou"/>
        </w:rPr>
        <w:footnoteReference w:id="33"/>
      </w:r>
      <w:r w:rsidRPr="003F1933">
        <w:t xml:space="preserve"> Relevantní jsou technická screeningová kritéria a zásada významně nepoškozovat zejména v oblasti výroby tepla/chladu z fosilních plynných paliv v systému účinného dálkového vytápění a chlazení.</w:t>
      </w:r>
    </w:p>
    <w:p w14:paraId="22020CF7" w14:textId="77777777" w:rsidR="00337F25" w:rsidRDefault="00337F25" w:rsidP="00337F25">
      <w:r w:rsidRPr="003F1933">
        <w:t>S ohledem na investice financované, respektive spolufinancované z Nástroje pro oživení a odolnost (v kontextu ČR je toto relevantní s ohledem na financování modernizace rozvodů tepelné energie v rámci komponenty 2.3) je také relevantní plnění zásady „významně nepoškozovat“ dle čl. 17 a dle Prováděcího rozhodnutí Rady o schválení posouzení plánu pro oživení a odolnost Česka</w:t>
      </w:r>
      <w:r>
        <w:rPr>
          <w:rStyle w:val="Znakapoznpodarou"/>
        </w:rPr>
        <w:footnoteReference w:id="34"/>
      </w:r>
      <w:r w:rsidRPr="003F1933">
        <w:t>, respektive Technických pokynů k uplatňování zásady „významně nepoškozovat“ podle nařízení o Nástroji pro oživení a odolnost</w:t>
      </w:r>
      <w:r>
        <w:rPr>
          <w:rStyle w:val="Znakapoznpodarou"/>
        </w:rPr>
        <w:footnoteReference w:id="35"/>
      </w:r>
      <w:r w:rsidRPr="003F1933">
        <w:t>. V tomto ohledu je však nutné zdůraznit, že podmínky dle Prováděcího rozhodnutí a Technických pokynů mimo jiné s ohledem na zásadu „významně nepoškozovat“ sice vycházejí z rámce „Nařízení o Taxonomii“, ale v řadě případů jdou nad rámec prováděcí legislativy tohoto Nařízení, která nebyla v dané době účinná a také nad rámec revidovaného Obecného nařízení o blokových výjimkách (tzv. GBER) – Nařízení Komise (EU) 2023/1315 o změně nařízení (EU) č. 651/2014, kterým se v souladu s články 107 a 108 Smlouvy prohlašují určité kategorie podpory za slučitelné s vnitřním trhem, a nařízení (EU) 2022/2473, kterým se určité kategorie podpory pro podniky působící v oblasti produkce, zpracování a uvádění produktů rybolovu a akvakultury na trh prohlašují za slučitelné s vnitřním trhem podle článků 107 a 108 Smlouvy.</w:t>
      </w:r>
      <w:r>
        <w:rPr>
          <w:rStyle w:val="Znakapoznpodarou"/>
        </w:rPr>
        <w:footnoteReference w:id="36"/>
      </w:r>
    </w:p>
    <w:p w14:paraId="43B83347" w14:textId="77777777" w:rsidR="00337F25" w:rsidRPr="00B27640" w:rsidRDefault="00337F25" w:rsidP="00337F25">
      <w:pPr>
        <w:keepNext/>
        <w:rPr>
          <w:b/>
          <w:bCs/>
        </w:rPr>
      </w:pPr>
      <w:r w:rsidRPr="00B27640">
        <w:rPr>
          <w:b/>
          <w:bCs/>
        </w:rPr>
        <w:t xml:space="preserve">Konkrétní podmínky </w:t>
      </w:r>
      <w:r>
        <w:rPr>
          <w:b/>
          <w:bCs/>
        </w:rPr>
        <w:t>DNSH pro teplárenství</w:t>
      </w:r>
    </w:p>
    <w:p w14:paraId="0C93F294" w14:textId="77777777" w:rsidR="00337F25" w:rsidRPr="004A1932" w:rsidRDefault="00337F25" w:rsidP="00337F25">
      <w:pPr>
        <w:keepNext/>
      </w:pPr>
      <w:r w:rsidRPr="004A1932">
        <w:t xml:space="preserve">1) Podporu pro opatření souvisejících s výrobou elektřiny a/nebo tepla ze zemního plynu lze výjimečně poskytnout po posouzení jednotlivých případů v členských státech, které čelí významným výzvám při přechodu od zdrojů energie s vysokými emisemi uhlíku, za </w:t>
      </w:r>
      <w:r w:rsidRPr="004A1932">
        <w:lastRenderedPageBreak/>
        <w:t xml:space="preserve">předpokladu, že tato podpora přispěje k cílům EU v oblasti dekarbonizace pro roky 2030 a 2050, pokud se: </w:t>
      </w:r>
    </w:p>
    <w:p w14:paraId="22CDCBB1" w14:textId="77777777" w:rsidR="00337F25" w:rsidRPr="004A1932" w:rsidRDefault="00337F25" w:rsidP="00337F25">
      <w:pPr>
        <w:pStyle w:val="Odstavecseseznamem"/>
        <w:numPr>
          <w:ilvl w:val="0"/>
          <w:numId w:val="103"/>
        </w:numPr>
        <w:spacing w:after="160" w:line="259" w:lineRule="auto"/>
        <w:contextualSpacing/>
      </w:pPr>
      <w:r w:rsidRPr="004A1932">
        <w:t>opatření týkají flexibilní a účinné výroby elektřiny z plynu nebo kombinované výroby tepla a elektřiny z plynu s emisemi skleníkových plynů nižšími než 250 g CO</w:t>
      </w:r>
      <w:r w:rsidRPr="003265B6">
        <w:rPr>
          <w:vertAlign w:val="subscript"/>
        </w:rPr>
        <w:t>2</w:t>
      </w:r>
      <w:r w:rsidRPr="004A1932">
        <w:t xml:space="preserve">/kWh za dobu ekonomické životnosti zařízení, která obstojí i v budoucnu, nebo </w:t>
      </w:r>
    </w:p>
    <w:p w14:paraId="4C0C1A6B" w14:textId="77777777" w:rsidR="00337F25" w:rsidRPr="004A1932" w:rsidRDefault="00337F25" w:rsidP="00337F25">
      <w:pPr>
        <w:pStyle w:val="Odstavecseseznamem"/>
        <w:numPr>
          <w:ilvl w:val="0"/>
          <w:numId w:val="103"/>
        </w:numPr>
        <w:spacing w:after="160" w:line="259" w:lineRule="auto"/>
        <w:contextualSpacing/>
      </w:pPr>
      <w:r w:rsidRPr="004A1932">
        <w:t xml:space="preserve">opatření týkají flexibilní a účinné výroby elektřiny z plynu nebo kombinované výroby tepla a elektřiny z plynu, jež je uzpůsobená pro využívání plynu z obnovitelných zdrojů a plynu s nízkým obsahem uhlíku, která obstojí i v budoucnu, a: </w:t>
      </w:r>
    </w:p>
    <w:p w14:paraId="075E61E7" w14:textId="77777777" w:rsidR="00337F25" w:rsidRPr="004A1932" w:rsidRDefault="00337F25" w:rsidP="00337F25">
      <w:pPr>
        <w:pStyle w:val="Odstavecseseznamem"/>
        <w:numPr>
          <w:ilvl w:val="0"/>
          <w:numId w:val="103"/>
        </w:numPr>
        <w:spacing w:after="160" w:line="259" w:lineRule="auto"/>
        <w:contextualSpacing/>
      </w:pPr>
      <w:r w:rsidRPr="004A1932">
        <w:t xml:space="preserve">součástí plánu pro oživení a odolnost jsou důvěryhodné plány nebo závazky týkající se zvýšení využívání obnovitelných a nízkouhlíkových plynů a — vedou k souběžnému uzavření zařízení na výrobu elektřiny a/nebo tepla (např. z černého uhlí, hnědého uhlí nebo ropy) s alespoň stejnou kapacitou, jehož spotřeba uhlíku je však výrazně vyšší, což povede k významnému snížení emisí skleníkových plynů, a </w:t>
      </w:r>
    </w:p>
    <w:p w14:paraId="4ADE8507" w14:textId="77777777" w:rsidR="00337F25" w:rsidRPr="004A1932" w:rsidRDefault="00337F25" w:rsidP="00337F25">
      <w:pPr>
        <w:pStyle w:val="Odstavecseseznamem"/>
        <w:numPr>
          <w:ilvl w:val="0"/>
          <w:numId w:val="103"/>
        </w:numPr>
        <w:spacing w:after="160" w:line="259" w:lineRule="auto"/>
        <w:contextualSpacing/>
      </w:pPr>
      <w:r w:rsidRPr="004A1932">
        <w:t xml:space="preserve">dotčený členský stát může prokázat, že věrohodným způsobem usiluje o zvýšení podílu obnovitelných zdrojů energie směrem ke splnění svého cíle v oblasti obnovitelných zdrojů pro rok 2030, a </w:t>
      </w:r>
    </w:p>
    <w:p w14:paraId="55A23A87" w14:textId="77777777" w:rsidR="00337F25" w:rsidRDefault="00337F25" w:rsidP="00337F25">
      <w:pPr>
        <w:pStyle w:val="Odstavecseseznamem"/>
        <w:numPr>
          <w:ilvl w:val="0"/>
          <w:numId w:val="103"/>
        </w:numPr>
        <w:spacing w:after="160" w:line="259" w:lineRule="auto"/>
        <w:contextualSpacing/>
      </w:pPr>
      <w:r w:rsidRPr="004A1932">
        <w:t xml:space="preserve">plán pro oživení a odolnost zahrnuje konkrétní reformy a investice ke zvýšení podílu obnovitelných zdrojů energie. </w:t>
      </w:r>
    </w:p>
    <w:p w14:paraId="4BAC36D7" w14:textId="653136FB" w:rsidR="00337F25" w:rsidRPr="004A1932" w:rsidRDefault="00337F25" w:rsidP="00337F25">
      <w:r w:rsidRPr="004A1932">
        <w:t>Investice spojené s čerpáním prostředků z N</w:t>
      </w:r>
      <w:r w:rsidR="00F74E66">
        <w:t>PO</w:t>
      </w:r>
      <w:r w:rsidRPr="004A1932">
        <w:t xml:space="preserve"> jsou podmíněny zajištěním plnění podmínky, aby výroby elektřiny z plynu nebo kombinované výroby tepla a elektřiny z plynu s emisemi skleníkových plynů nižšími než 250 g CO</w:t>
      </w:r>
      <w:r w:rsidRPr="003265B6">
        <w:rPr>
          <w:vertAlign w:val="subscript"/>
        </w:rPr>
        <w:t>2</w:t>
      </w:r>
      <w:r w:rsidRPr="004A1932">
        <w:t xml:space="preserve">/kWh (viz níže). Bez splnění této podmínky není možné čerpat veřejné prostředky. </w:t>
      </w:r>
    </w:p>
    <w:p w14:paraId="28C0C23B" w14:textId="77777777" w:rsidR="00337F25" w:rsidRPr="004A1932" w:rsidRDefault="00337F25" w:rsidP="00337F25">
      <w:r w:rsidRPr="004A1932">
        <w:t>V rámci ostatních programů veřejné podpory jsou také stanoveny požadavky na snížení emisí skleníkových plynů. Kupříkladu v rámci programu HEAT (Modernizační fond) je snížení emisí CO</w:t>
      </w:r>
      <w:r w:rsidRPr="006C1B48">
        <w:t>2</w:t>
      </w:r>
      <w:r w:rsidRPr="004A1932">
        <w:t xml:space="preserve"> min. o 20 %, v případě využití odpadního tepla minimálně o 15 %. Co se týče investic bez zapojení veřejných zdrojů, tak vnímáme, že výše uvedené kritérium může být aplikováno skrze podmínky dluhového financování (tedy aplikování požadavků taxonomie bankovním sektorem). </w:t>
      </w:r>
    </w:p>
    <w:p w14:paraId="05E80909" w14:textId="647A5C1C" w:rsidR="00337F25" w:rsidRPr="004A1932" w:rsidRDefault="00337F25" w:rsidP="00337F25">
      <w:r w:rsidRPr="004A1932">
        <w:t xml:space="preserve">Průměrný emisní faktor tepla v rámci soustav zásobování teplem by měl </w:t>
      </w:r>
      <w:r>
        <w:t xml:space="preserve">klesnout </w:t>
      </w:r>
      <w:r w:rsidRPr="004A1932">
        <w:t>do roku 2030 na cca 160 g</w:t>
      </w:r>
      <w:r w:rsidR="00A7250D">
        <w:t xml:space="preserve"> </w:t>
      </w:r>
      <w:r w:rsidRPr="004A1932">
        <w:t>CO</w:t>
      </w:r>
      <w:r w:rsidRPr="00A7250D">
        <w:rPr>
          <w:vertAlign w:val="subscript"/>
        </w:rPr>
        <w:t>2</w:t>
      </w:r>
      <w:r w:rsidR="00A7250D">
        <w:rPr>
          <w:vertAlign w:val="subscript"/>
        </w:rPr>
        <w:t xml:space="preserve"> </w:t>
      </w:r>
      <w:proofErr w:type="spellStart"/>
      <w:r w:rsidRPr="006C1B48">
        <w:t>ekv</w:t>
      </w:r>
      <w:proofErr w:type="spellEnd"/>
      <w:r w:rsidRPr="004A1932">
        <w:t>/kWh, což tedy prokazatelně nedokládá, že zdroje na zemní plyn splní emise skleníkových plynů nižší než 250 g</w:t>
      </w:r>
      <w:r w:rsidR="00A7250D">
        <w:t xml:space="preserve"> </w:t>
      </w:r>
      <w:r w:rsidRPr="004A1932">
        <w:t>CO</w:t>
      </w:r>
      <w:r w:rsidRPr="003265B6">
        <w:rPr>
          <w:vertAlign w:val="subscript"/>
        </w:rPr>
        <w:t>2</w:t>
      </w:r>
      <w:r w:rsidRPr="004A1932">
        <w:t>/kWh, ale fakt, že na základě přijatých předpokladů</w:t>
      </w:r>
      <w:r>
        <w:t xml:space="preserve"> </w:t>
      </w:r>
      <w:r w:rsidRPr="004A1932">
        <w:t xml:space="preserve">by měl být průměrný emisní koeficient nižší, dílčím způsobem indikuje, že by tato podmínka měla být splněna. </w:t>
      </w:r>
    </w:p>
    <w:p w14:paraId="31AF4934" w14:textId="566C581B" w:rsidR="00337F25" w:rsidRPr="004A1932" w:rsidRDefault="00337F25" w:rsidP="00337F25">
      <w:r w:rsidRPr="004A1932">
        <w:t xml:space="preserve">V rámci </w:t>
      </w:r>
      <w:r w:rsidR="00F74E66">
        <w:t>P</w:t>
      </w:r>
      <w:r w:rsidRPr="004A1932">
        <w:t xml:space="preserve">rogramového prohlášení vlády si dala ČR závazek ukončení využití výroby elektřiny a tepla z uhlí do roku 2033. ČR má zároveň jasně danou strategii zvyšování podílu obnovitelných zdrojů energie (viz aktualizace Vnitrostátního plánu ČR v oblasti energetiky a klimatu). </w:t>
      </w:r>
    </w:p>
    <w:p w14:paraId="2C982CCE" w14:textId="77777777" w:rsidR="00337F25" w:rsidRDefault="00337F25" w:rsidP="00337F25">
      <w:r w:rsidRPr="004A1932">
        <w:t xml:space="preserve">2) Podporu na opatření týkající se zařízení na výrobu energie na bázi zemního plynu v systémech dálkového vytápění a chlazení lze výjimečně poskytnout, pokud zařízení splňuje požadavky na systémy „účinného dálkového vytápění a chlazení“ (definované v čl. 2 bodě 41 směrnice 2012/27/EU) a splňuje podmínky pro výrobu tepla a elektřiny ze zemního plynu, jak je popsáno v první odrážce této přílohy. </w:t>
      </w:r>
    </w:p>
    <w:p w14:paraId="64FB974D" w14:textId="77777777" w:rsidR="00337F25" w:rsidRPr="004A1932" w:rsidRDefault="00337F25" w:rsidP="00337F25">
      <w:r w:rsidRPr="004A1932">
        <w:lastRenderedPageBreak/>
        <w:t>Přehled účinných soustav zásobování tepelnou energií je monitorován ze strany Energetického regulačního úřadu, který periodicky zveřejňuje seznam těchto soustav.</w:t>
      </w:r>
      <w:r>
        <w:rPr>
          <w:rStyle w:val="Znakapoznpodarou"/>
        </w:rPr>
        <w:footnoteReference w:id="37"/>
      </w:r>
      <w:r w:rsidRPr="004A1932">
        <w:t xml:space="preserve"> </w:t>
      </w:r>
    </w:p>
    <w:p w14:paraId="22E85538" w14:textId="1314AC7E" w:rsidR="00337F25" w:rsidRPr="004A1932" w:rsidRDefault="00337F25" w:rsidP="00337F25">
      <w:r w:rsidRPr="004A1932">
        <w:t>Čerpání veřejné podpory je podmíněno splněním požadavků na systémy „účinného dálkového vytápění a chlazení“, což odpovídá i požadavkům Obecného nařízení o blokových výjimkách (GBER). Čerpání veřejných prostředků z N</w:t>
      </w:r>
      <w:r w:rsidR="00F74E66">
        <w:t>PO</w:t>
      </w:r>
      <w:r w:rsidRPr="004A1932">
        <w:t xml:space="preserve"> je podmíněno splněním podmínky „účinného dálkového vytápění a chlazení“ (pokud tato podmínk</w:t>
      </w:r>
      <w:r w:rsidR="009D350D">
        <w:t>a</w:t>
      </w:r>
      <w:r w:rsidRPr="004A1932">
        <w:t xml:space="preserve"> není splněna, musí proběhnout modernizace potřebná k dosažení systému „účinného dálkového vytápění a chlazení“ musí být zahájena do tří let od zahájení prací) (viz níže). Splnění této podmínky je také nutné pro financování z programu HEAT (Modernizační fond). </w:t>
      </w:r>
    </w:p>
    <w:p w14:paraId="4619FC91" w14:textId="77777777" w:rsidR="00337F25" w:rsidRPr="004A1932" w:rsidRDefault="00337F25" w:rsidP="00337F25">
      <w:r w:rsidRPr="004A1932">
        <w:t xml:space="preserve">3) Podporu na opatření týkající se sítí dálkového vytápění a chlazení, které získávají teplo/chlazení ze zařízení využívajících zemní plyn, lze výjimečně poskytnout, pokud: </w:t>
      </w:r>
    </w:p>
    <w:p w14:paraId="6DFB1B7E" w14:textId="77777777" w:rsidR="00337F25" w:rsidRPr="004A1932" w:rsidRDefault="00337F25" w:rsidP="00337F25">
      <w:pPr>
        <w:pStyle w:val="Odstavecseseznamem"/>
        <w:numPr>
          <w:ilvl w:val="0"/>
          <w:numId w:val="104"/>
        </w:numPr>
        <w:spacing w:after="160" w:line="259" w:lineRule="auto"/>
        <w:contextualSpacing/>
      </w:pPr>
      <w:r w:rsidRPr="004A1932">
        <w:t xml:space="preserve">jsou součástí systémů „účinného dálkového vytápění a chlazení“ (ve smyslu čl. 2 bodu 41 směrnice 2012/27/EU), které získávají teplo/chlazení ze stávajících zařízení, jež splňují podmínky pro výrobu tepla a elektřiny ze zemního plynu, jak je popsáno v první odrážce, nebo </w:t>
      </w:r>
    </w:p>
    <w:p w14:paraId="555AA24A" w14:textId="77777777" w:rsidR="00337F25" w:rsidRPr="004A1932" w:rsidRDefault="00337F25" w:rsidP="00337F25">
      <w:pPr>
        <w:pStyle w:val="Odstavecseseznamem"/>
        <w:numPr>
          <w:ilvl w:val="0"/>
          <w:numId w:val="104"/>
        </w:numPr>
        <w:spacing w:after="160" w:line="259" w:lineRule="auto"/>
        <w:contextualSpacing/>
      </w:pPr>
      <w:r w:rsidRPr="004A1932">
        <w:t xml:space="preserve">investice do zařízení na výrobu tepla a elektřiny jsou zahájeny do tří let od modernizace sítě, mají za cíl učinit celý systém účinným (podle definice v čl. 2 bodě 41 směrnice 2012/27/EU) a splňují podmínky pro výrobu tepla a elektřiny ze zemního plynu, jak je popsáno v první odrážce. </w:t>
      </w:r>
    </w:p>
    <w:p w14:paraId="1110D1EB" w14:textId="77777777" w:rsidR="00337F25" w:rsidRDefault="00337F25" w:rsidP="00337F25">
      <w:r w:rsidRPr="004A1932">
        <w:t xml:space="preserve">4) Podpora opatření týkajících se přenosové a distribuční infrastruktury plynných paliv je možná, pokud v době výstavby umožní přepravu (a/nebo skladování) obnovitelných a nízkouhlíkových plynů. </w:t>
      </w:r>
    </w:p>
    <w:p w14:paraId="4D51E077" w14:textId="77777777" w:rsidR="00337F25" w:rsidRPr="004A1932" w:rsidRDefault="00337F25" w:rsidP="00337F25">
      <w:r w:rsidRPr="004A1932">
        <w:t xml:space="preserve">ČR věnuje tématu umožnění přepravy a distribuce obnovitelných a nízkouhlíkových plynů velký důraz, a to mimo jiné v rámci strategických dokumentů (aktuálně kupříkladu aktualizace </w:t>
      </w:r>
      <w:r>
        <w:t>V</w:t>
      </w:r>
      <w:r w:rsidRPr="004A1932">
        <w:t xml:space="preserve">odíkové strategie, která tuto oblast mimo jiné také řeší). </w:t>
      </w:r>
    </w:p>
    <w:p w14:paraId="591D02A1" w14:textId="77777777" w:rsidR="00337F25" w:rsidRPr="004A1932" w:rsidRDefault="00337F25" w:rsidP="00D77C59">
      <w:pPr>
        <w:keepNext/>
      </w:pPr>
      <w:r w:rsidRPr="004A1932">
        <w:t xml:space="preserve">5) Podporu opatření týkajících se kotlů a otopných soustav využívajících zemní plyn (a související distribuční infrastruktury) lze výjimečně v jednotlivých případech poskytnout, pokud: </w:t>
      </w:r>
    </w:p>
    <w:p w14:paraId="48FACCAE" w14:textId="094A43B8" w:rsidR="00337F25" w:rsidRPr="004A1932" w:rsidRDefault="00337F25" w:rsidP="00337F25">
      <w:pPr>
        <w:pStyle w:val="Odstavecseseznamem"/>
        <w:numPr>
          <w:ilvl w:val="0"/>
          <w:numId w:val="105"/>
        </w:numPr>
        <w:spacing w:after="160" w:line="259" w:lineRule="auto"/>
        <w:contextualSpacing/>
      </w:pPr>
      <w:r w:rsidRPr="004A1932">
        <w:t>jsou buď v souladu s čl. 7 odst. 2 rámcového nařízení (EU) 2017/1369 o označování energetickými štítky</w:t>
      </w:r>
      <w:r w:rsidR="00004275">
        <w:rPr>
          <w:rStyle w:val="Znakapoznpodarou"/>
        </w:rPr>
        <w:footnoteReference w:id="38"/>
      </w:r>
      <w:r w:rsidRPr="004A1932">
        <w:t xml:space="preserve">, nebo jsou instalovány v budovách, které jsou součástí širšího programu energetické účinnosti nebo programu renovace budov v souladu s dlouhodobými strategiemi renovací podle směrnice o energetické náročnosti budov, což vede k podstatnému snížení energetické náročnosti, a </w:t>
      </w:r>
    </w:p>
    <w:p w14:paraId="588B0228" w14:textId="77777777" w:rsidR="00337F25" w:rsidRPr="004A1932" w:rsidRDefault="00337F25" w:rsidP="00337F25">
      <w:pPr>
        <w:pStyle w:val="Odstavecseseznamem"/>
        <w:numPr>
          <w:ilvl w:val="0"/>
          <w:numId w:val="105"/>
        </w:numPr>
        <w:spacing w:after="160" w:line="259" w:lineRule="auto"/>
        <w:contextualSpacing/>
      </w:pPr>
      <w:r w:rsidRPr="004A1932">
        <w:t xml:space="preserve">vedou k významnému snížení emisí skleníkových plynů a </w:t>
      </w:r>
    </w:p>
    <w:p w14:paraId="67DE954A" w14:textId="572D53B1" w:rsidR="00337F25" w:rsidRDefault="00337F25" w:rsidP="00337F25">
      <w:pPr>
        <w:pStyle w:val="Odstavecseseznamem"/>
        <w:numPr>
          <w:ilvl w:val="0"/>
          <w:numId w:val="105"/>
        </w:numPr>
        <w:spacing w:after="160" w:line="259" w:lineRule="auto"/>
        <w:contextualSpacing/>
      </w:pPr>
      <w:r w:rsidRPr="004A1932">
        <w:t xml:space="preserve">vedou k významnému zlepšení životního prostředí (zejména v důsledku snížení znečištění) a veřejného zdraví, zejména v oblastech, kde jsou normy kvality ovzduší EU </w:t>
      </w:r>
      <w:r w:rsidRPr="004A1932">
        <w:lastRenderedPageBreak/>
        <w:t xml:space="preserve">stanovené směrnicí </w:t>
      </w:r>
      <w:r w:rsidR="00574904" w:rsidRPr="00C82582">
        <w:rPr>
          <w:szCs w:val="20"/>
        </w:rPr>
        <w:t>2024/2881</w:t>
      </w:r>
      <w:r w:rsidRPr="004A1932">
        <w:t xml:space="preserve">/EU překročeny nebo kde hrozí jejich překročení, například při výměně otopných soustav a kotlů na bázi uhlí nebo ropy. </w:t>
      </w:r>
    </w:p>
    <w:p w14:paraId="61123323" w14:textId="77777777" w:rsidR="00337F25" w:rsidRPr="004A1932" w:rsidRDefault="00337F25" w:rsidP="00337F25">
      <w:r w:rsidRPr="004A1932">
        <w:t xml:space="preserve">Instalace plynových kotlů v rámci bytových domů již není z veřejných prostředků podporována. V rámci programu Nová zelená úsporám byla instalace nového plynového kondenzačního kotle nebo tepelného čerpadla s plynovým pohonem (u bytových domů navíc kombinovaná výroba elektřiny a tepla využívající jako palivo zemní plyn a hybridní tepelné čerpadlo) podporována pouze u žádostí podaných do 30. dubna 2022. </w:t>
      </w:r>
    </w:p>
    <w:p w14:paraId="1240BE34" w14:textId="77777777" w:rsidR="00337F25" w:rsidRPr="004A1932" w:rsidRDefault="00337F25" w:rsidP="00337F25">
      <w:r w:rsidRPr="004A1932">
        <w:rPr>
          <w:b/>
          <w:bCs/>
        </w:rPr>
        <w:t xml:space="preserve">Specifické podmínky zajišťující plnění DNSH zaměřené na modernizace rozvodů tepla </w:t>
      </w:r>
    </w:p>
    <w:p w14:paraId="58CD875D" w14:textId="77777777" w:rsidR="00337F25" w:rsidRPr="004A1932" w:rsidRDefault="00337F25" w:rsidP="00337F25">
      <w:pPr>
        <w:pStyle w:val="Odstavecseseznamem"/>
        <w:numPr>
          <w:ilvl w:val="0"/>
          <w:numId w:val="105"/>
        </w:numPr>
        <w:spacing w:after="160" w:line="259" w:lineRule="auto"/>
        <w:contextualSpacing/>
      </w:pPr>
      <w:r w:rsidRPr="004A1932">
        <w:t>V případě výstavby anebo modernizace distribuce tepla v systémech dálkového vytápění a chlazení musí dojít oproti výchozímu stavu ke snížení emisí CO</w:t>
      </w:r>
      <w:r w:rsidRPr="006C1B48">
        <w:t>2</w:t>
      </w:r>
      <w:r w:rsidRPr="004A1932">
        <w:t xml:space="preserve"> min. o 15 % a potřeby primární energie min. o 15 %. V rámci příslušného snížení dochází k ohodnocení celkových přínosů úsporných opatření před a po realizaci projektu s tím, že musí být tyto hodnoty za oba sledované ukazatele jednoznačně uvedeny. Pro stav před realizací projektu je uvažovaná pouze spotřeba energie z upravené energetické bilance v energetickém posudku týkající se příslušných úsporných opatření projektu. </w:t>
      </w:r>
    </w:p>
    <w:p w14:paraId="5FCED6A5" w14:textId="77777777" w:rsidR="00337F25" w:rsidRPr="004A1932" w:rsidRDefault="00337F25" w:rsidP="00337F25">
      <w:pPr>
        <w:pStyle w:val="Odstavecseseznamem"/>
        <w:numPr>
          <w:ilvl w:val="0"/>
          <w:numId w:val="105"/>
        </w:numPr>
        <w:spacing w:after="160" w:line="259" w:lineRule="auto"/>
        <w:contextualSpacing/>
      </w:pPr>
      <w:r w:rsidRPr="004A1932">
        <w:t xml:space="preserve">Podpora na opatření týkající se výstavby anebo modernizace distribuce tepla v systémech dálkového vytápění a chlazení se poskytuje pouze v případě, pokud jsou součástí systémů „účinného dálkového vytápění a chlazení“ (ve smyslu čl. </w:t>
      </w:r>
      <w:r w:rsidRPr="000F0F5A">
        <w:t>2 bod 46 směrnice 2023/1791/EU</w:t>
      </w:r>
      <w:r w:rsidRPr="004A1932">
        <w:t xml:space="preserve">), tj. soustava dálkového vytápění nebo chlazení, která používá alespoň 50 % energie z obnovitelných zdrojů, 50 % odpadního tepla, 75 % tepla z kombinované výroby tepla a elektřiny nebo 50 % z kombinace této energie a tepla. Není-li systém v důsledku podpořených opatření dosud součástí systému „účinného dálkového vytápění a chlazení“, další modernizace potřebná k dosažení systému „účinného dálkového vytápění a chlazení“ musí být zahájena do tří let od zahájení prací, na které byla poskytnuta podpora a musí být nejpozději dokončena do tří let od ukončení prací, na které byla poskytnuta podpora. </w:t>
      </w:r>
    </w:p>
    <w:p w14:paraId="1D0D6C4F" w14:textId="77777777" w:rsidR="00337F25" w:rsidRPr="004A1932" w:rsidRDefault="00337F25" w:rsidP="00337F25">
      <w:pPr>
        <w:pStyle w:val="Odstavecseseznamem"/>
        <w:numPr>
          <w:ilvl w:val="0"/>
          <w:numId w:val="105"/>
        </w:numPr>
        <w:spacing w:after="160" w:line="259" w:lineRule="auto"/>
        <w:contextualSpacing/>
      </w:pPr>
      <w:r w:rsidRPr="004A1932">
        <w:t>Do tří let od ukončení prací, na které byla poskytnuta podpora, se musí zahájit práce rekonstrukce zdrojů souvisejících s výrobou elektřiny anebo tepla, a dokončena nejpozději v roce 2030 tak, aby splňovaly požadavky technických pokynů k uplatňování zásady „významně nepoškozovat“ (2021/C58/01) a nepoužívaly jako zdroj tepla tuhá fosilní paliva, vyjma paliv splňujících kritéria pro výrobu tepla na bázi zemního plynu podle přílohy III technických pokynů k uplatňování zásady „významně nepoškozovat“, tj.: opatření se týkají flexibilní a účinné výroby elektřiny z plynu nebo kombinované výroby tepla a elektřiny z plynu s emisemi skleníkových plynů nižšími než 250 g CO</w:t>
      </w:r>
      <w:r w:rsidRPr="006C1B48">
        <w:t>2</w:t>
      </w:r>
      <w:r w:rsidRPr="004A1932">
        <w:t xml:space="preserve">e/kWh za dobu ekonomické životnosti zařízení, která obstojí i v budoucnu nebo - opatření se týkají flexibilní a účinné výroby elektřiny z plynu nebo kombinované výroby tepla a elektřiny z plynu, jež je uzpůsobená pro využívání plynu z obnovitelných zdrojů a plynu s nízkým obsahem uhlíku, která obstojí i v budoucnu. </w:t>
      </w:r>
    </w:p>
    <w:p w14:paraId="2700C98C" w14:textId="77777777" w:rsidR="00337F25" w:rsidRPr="004A1932" w:rsidRDefault="00337F25" w:rsidP="00337F25">
      <w:pPr>
        <w:pStyle w:val="Odstavecseseznamem"/>
        <w:numPr>
          <w:ilvl w:val="0"/>
          <w:numId w:val="105"/>
        </w:numPr>
        <w:spacing w:after="160" w:line="259" w:lineRule="auto"/>
        <w:contextualSpacing/>
      </w:pPr>
      <w:r w:rsidRPr="004A1932">
        <w:t xml:space="preserve">Bude-li jako zdroj paliva využita biomasa, musí být investice v souladu s kritérii udržitelnosti a úspor emisí skleníkových plynů stanovenými v čl. 29 směrnice (EU) 2018/2001 o podpoře využívání energie z obnovitelných zdrojů („směrnice o obnovitelných zdrojích energie“, „RED II“). Budou využívány pouze odpady a zbytky biomasy, které lze získat udržitelným způsobem, a investice bude doprovázena opatřeními pro snížení emisí. Bude zajištěn soulad s příslušnými právními předpisy EU </w:t>
      </w:r>
      <w:r w:rsidRPr="004A1932">
        <w:lastRenderedPageBreak/>
        <w:t>a vnitrostátními právními předpisy v oblasti životního prostředí, aby emise byly v mezích úrovní emisí nebo nižší než úrovně emisí spojené s limity závěrů o nejlepších dostupných technikách (podle směrnice o průmyslových emisích). V rámci energetického posudku, který je povinnou přílohou žádosti o podporu, se po realizaci projektu musí vždy jednat pouze o jednu soustavu účinného dálkového vytápění a chlazení a musí být identifikováno její jednoznačné vymezení (v případě rozvoje a propojování stávajících soustav zásobování tepelnou energií popis soustav před i po realizaci opatření). V rámci jedné žádosti o podporu je umožněno předložit více jak jeden energetický posudek, a to pouze pokud by předmětná žádost o podporu po realizaci projektu obsahovala více než jednu soustavu účinného dálkového vytápění a chlazení. Každý energetický posudek musí obsahovat samostatnou přílohu č. 1 včetně povinnosti splnění specifických podmínek komponenty pro</w:t>
      </w:r>
      <w:r>
        <w:t xml:space="preserve"> </w:t>
      </w:r>
      <w:r w:rsidRPr="004A1932">
        <w:t xml:space="preserve">každou samostatnou soustavu dálkového vytápění a chlazení po realizaci projektu. Kromě toho je minimálně nutné uvést i tyto údaje: </w:t>
      </w:r>
    </w:p>
    <w:p w14:paraId="6440D833" w14:textId="77777777" w:rsidR="00337F25" w:rsidRPr="004A1932" w:rsidRDefault="00337F25" w:rsidP="00337F25">
      <w:pPr>
        <w:pStyle w:val="Odstavecseseznamem"/>
        <w:numPr>
          <w:ilvl w:val="1"/>
          <w:numId w:val="105"/>
        </w:numPr>
        <w:spacing w:after="160" w:line="259" w:lineRule="auto"/>
        <w:contextualSpacing/>
      </w:pPr>
      <w:r w:rsidRPr="004A1932">
        <w:t xml:space="preserve">údaj o modernizované/rekonstruované délce rozvodů tepelné energie (v km) </w:t>
      </w:r>
    </w:p>
    <w:p w14:paraId="26B2FC4A" w14:textId="77777777" w:rsidR="00337F25" w:rsidRPr="004A1932" w:rsidRDefault="00337F25" w:rsidP="00337F25">
      <w:pPr>
        <w:pStyle w:val="Odstavecseseznamem"/>
        <w:numPr>
          <w:ilvl w:val="1"/>
          <w:numId w:val="105"/>
        </w:numPr>
        <w:spacing w:after="160" w:line="259" w:lineRule="auto"/>
        <w:contextualSpacing/>
      </w:pPr>
      <w:r w:rsidRPr="004A1932">
        <w:t xml:space="preserve">údaj o rozšířené délce rozvodů tepelné energie v rámci stávajících soustav zásobování tepelnou energií (v km) </w:t>
      </w:r>
    </w:p>
    <w:p w14:paraId="3B855B9B" w14:textId="77777777" w:rsidR="00337F25" w:rsidRPr="004A1932" w:rsidRDefault="00337F25" w:rsidP="00337F25">
      <w:pPr>
        <w:pStyle w:val="Odstavecseseznamem"/>
        <w:numPr>
          <w:ilvl w:val="1"/>
          <w:numId w:val="105"/>
        </w:numPr>
        <w:spacing w:after="160" w:line="259" w:lineRule="auto"/>
        <w:contextualSpacing/>
      </w:pPr>
      <w:r w:rsidRPr="004A1932">
        <w:t xml:space="preserve">údaj o propojené délce rozvodů tepelné energie v rámci stávajících soustav zásobování tepelnou energií (v km) </w:t>
      </w:r>
    </w:p>
    <w:p w14:paraId="0618100B" w14:textId="77777777" w:rsidR="00337F25" w:rsidRPr="004A1932" w:rsidRDefault="00337F25" w:rsidP="00337F25">
      <w:pPr>
        <w:pStyle w:val="Odstavecseseznamem"/>
        <w:numPr>
          <w:ilvl w:val="1"/>
          <w:numId w:val="105"/>
        </w:numPr>
        <w:spacing w:after="160" w:line="259" w:lineRule="auto"/>
        <w:contextualSpacing/>
      </w:pPr>
      <w:r w:rsidRPr="004A1932">
        <w:t xml:space="preserve">údaj o počtu modernizovaných/rekonstruovaných anebo nových předávacích stanicích tepelné energie (počet) </w:t>
      </w:r>
    </w:p>
    <w:p w14:paraId="642C3B74" w14:textId="77777777" w:rsidR="00337F25" w:rsidRPr="004A1932" w:rsidRDefault="00337F25" w:rsidP="00337F25">
      <w:pPr>
        <w:pStyle w:val="Odstavecseseznamem"/>
        <w:numPr>
          <w:ilvl w:val="0"/>
          <w:numId w:val="105"/>
        </w:numPr>
        <w:spacing w:after="160" w:line="259" w:lineRule="auto"/>
        <w:contextualSpacing/>
      </w:pPr>
      <w:r w:rsidRPr="004A1932">
        <w:t xml:space="preserve">v případě výstavby nové nebo podstatné rekonstrukce stávající soustavy zásobování tepelnou energií se zdroji o celkovém tepelném příkonu nad 20 MW je nutné posouzení nákladů a přínosů využití odběru odpadního tepla minimálně z průmyslových provozů, které se nachází do vzdálenosti 500 metrů od rozvodného tepelného zařízení. Tato analýza nákladů a přínosů bude prokázána energetickým posudkem podle dle § 9a, odst. 1, písmeno c) zákona č. 406/2000 Sb. v platném znění o hospodaření s energií. </w:t>
      </w:r>
    </w:p>
    <w:p w14:paraId="0FF1B998" w14:textId="77777777" w:rsidR="00337F25" w:rsidRDefault="00337F25" w:rsidP="00337F25"/>
    <w:p w14:paraId="4769B7A3" w14:textId="77777777" w:rsidR="00337F25" w:rsidRPr="00E65389" w:rsidRDefault="00337F25" w:rsidP="00DB1A0B">
      <w:pPr>
        <w:pStyle w:val="Nadpis5"/>
      </w:pPr>
      <w:bookmarkStart w:id="78" w:name="_Podmínky_udržitelnosti_biomasy"/>
      <w:bookmarkEnd w:id="78"/>
      <w:r w:rsidRPr="00E65389">
        <w:t xml:space="preserve">Podmínky </w:t>
      </w:r>
      <w:r>
        <w:t>udržitelnosti biomasy</w:t>
      </w:r>
      <w:r>
        <w:rPr>
          <w:rStyle w:val="Znakapoznpodarou"/>
        </w:rPr>
        <w:footnoteReference w:id="39"/>
      </w:r>
    </w:p>
    <w:p w14:paraId="3DB6C3A1" w14:textId="77777777" w:rsidR="00337F25" w:rsidRPr="007B7203" w:rsidRDefault="00337F25" w:rsidP="00337F25">
      <w:pPr>
        <w:pStyle w:val="Odstavecseseznamem"/>
        <w:numPr>
          <w:ilvl w:val="0"/>
          <w:numId w:val="102"/>
        </w:numPr>
        <w:spacing w:after="160" w:line="259" w:lineRule="auto"/>
        <w:contextualSpacing/>
        <w:rPr>
          <w:b/>
          <w:bCs/>
        </w:rPr>
      </w:pPr>
      <w:r w:rsidRPr="007B7203">
        <w:rPr>
          <w:b/>
          <w:bCs/>
        </w:rPr>
        <w:t>Velké zdroje nad 20 MW</w:t>
      </w:r>
    </w:p>
    <w:p w14:paraId="277BC20B" w14:textId="77777777" w:rsidR="00337F25" w:rsidRDefault="00337F25" w:rsidP="00337F25">
      <w:pPr>
        <w:pStyle w:val="Odstavecseseznamem"/>
        <w:numPr>
          <w:ilvl w:val="1"/>
          <w:numId w:val="102"/>
        </w:numPr>
        <w:spacing w:after="160" w:line="259" w:lineRule="auto"/>
        <w:contextualSpacing/>
      </w:pPr>
      <w:r>
        <w:t xml:space="preserve">Legislativa: </w:t>
      </w:r>
      <w:r w:rsidRPr="00853CF3">
        <w:t>Legislativa klade na příjemce nové požadavky, které se týkají udržitelné produkce biomasy, dokumentace o dodávkách biomasy v celém dodavatelském řetězci a úsporách skleníkových plynů. Provozovatelé bioplynové stanice nebo elektrárny a teplárny spalující dřevní štěpku nebo slámu musí splňovat obdobné požadavky, které výrobci biopaliv (a biometanu) používaných v dopravě dosud splňují.</w:t>
      </w:r>
    </w:p>
    <w:p w14:paraId="51CFEF92" w14:textId="77777777" w:rsidR="00337F25" w:rsidRPr="00853CF3" w:rsidRDefault="00337F25" w:rsidP="00337F25">
      <w:pPr>
        <w:pStyle w:val="Odstavecseseznamem"/>
        <w:numPr>
          <w:ilvl w:val="1"/>
          <w:numId w:val="102"/>
        </w:numPr>
        <w:spacing w:after="160" w:line="259" w:lineRule="auto"/>
        <w:contextualSpacing/>
      </w:pPr>
      <w:r>
        <w:t xml:space="preserve">DNSH: </w:t>
      </w:r>
      <w:r w:rsidRPr="00853CF3">
        <w:t>Splnění kritérií udržitelnosti dle vyhlášky 110/2022 Sb. bude také podmínkou pro čerpání investičních dotací.</w:t>
      </w:r>
      <w:r>
        <w:t xml:space="preserve"> I</w:t>
      </w:r>
      <w:r w:rsidRPr="00853CF3">
        <w:t>nvestice musí splňovat požadavek, aby se ušetřilo nejméně 80 % emisí skleníkových plynů z využívání biomasy ve vztahu k metodice úspor skleníkových plynů a srovnávacímu systému fosilních paliv stanovenému v příloze VI směrnice 2018/2001 (RED II).</w:t>
      </w:r>
    </w:p>
    <w:p w14:paraId="31268A22" w14:textId="00F08D10" w:rsidR="00337F25" w:rsidRDefault="00337F25" w:rsidP="001F5849">
      <w:pPr>
        <w:pStyle w:val="Odstavecseseznamem"/>
        <w:numPr>
          <w:ilvl w:val="0"/>
          <w:numId w:val="102"/>
        </w:numPr>
        <w:spacing w:after="160" w:line="259" w:lineRule="auto"/>
        <w:contextualSpacing/>
      </w:pPr>
      <w:r w:rsidRPr="007B7203">
        <w:rPr>
          <w:b/>
          <w:bCs/>
        </w:rPr>
        <w:lastRenderedPageBreak/>
        <w:t xml:space="preserve">DNSH pro zdroje nad </w:t>
      </w:r>
      <w:r w:rsidRPr="000E15D4">
        <w:rPr>
          <w:b/>
          <w:bCs/>
        </w:rPr>
        <w:t xml:space="preserve">7,5 MW v případě pevné biomasy a </w:t>
      </w:r>
      <w:r>
        <w:rPr>
          <w:b/>
          <w:bCs/>
        </w:rPr>
        <w:t>nad</w:t>
      </w:r>
      <w:r w:rsidRPr="000E15D4">
        <w:rPr>
          <w:b/>
          <w:bCs/>
        </w:rPr>
        <w:t xml:space="preserve"> 2 MW v případě plynných paliv z biomasy</w:t>
      </w:r>
      <w:r w:rsidRPr="00853CF3">
        <w:t xml:space="preserve"> – stanovení stejn</w:t>
      </w:r>
      <w:r>
        <w:t xml:space="preserve">ých podmínek </w:t>
      </w:r>
      <w:r w:rsidRPr="00853CF3">
        <w:t xml:space="preserve">jako </w:t>
      </w:r>
      <w:r>
        <w:t>pro zdroje nad 20 MW</w:t>
      </w:r>
      <w:r>
        <w:rPr>
          <w:rStyle w:val="Znakapoznpodarou"/>
        </w:rPr>
        <w:footnoteReference w:id="40"/>
      </w:r>
      <w:r w:rsidR="001F5849">
        <w:t xml:space="preserve"> Tato podmínka je implementována v zákoně o POZE 165/2012 Sb. a po nabytí účinnosti (od 1.</w:t>
      </w:r>
      <w:r w:rsidR="009D350D">
        <w:t> </w:t>
      </w:r>
      <w:r w:rsidR="001F5849">
        <w:t>1.</w:t>
      </w:r>
      <w:r w:rsidR="009D350D">
        <w:t> </w:t>
      </w:r>
      <w:r w:rsidR="001F5849">
        <w:t>2026) bude podmínka pro zdroje nad 7,5 MW plněna souladem s legislativou.</w:t>
      </w:r>
    </w:p>
    <w:p w14:paraId="2E8E08E1" w14:textId="1B2A15F9" w:rsidR="00337F25" w:rsidRDefault="00337F25" w:rsidP="00337F25">
      <w:pPr>
        <w:pStyle w:val="Odstavecseseznamem"/>
        <w:numPr>
          <w:ilvl w:val="0"/>
          <w:numId w:val="102"/>
        </w:numPr>
        <w:spacing w:after="160" w:line="259" w:lineRule="auto"/>
        <w:contextualSpacing/>
      </w:pPr>
      <w:r w:rsidRPr="000E15D4">
        <w:rPr>
          <w:b/>
          <w:bCs/>
        </w:rPr>
        <w:t xml:space="preserve">Zdroje od </w:t>
      </w:r>
      <w:r>
        <w:rPr>
          <w:b/>
          <w:bCs/>
        </w:rPr>
        <w:t xml:space="preserve">200 </w:t>
      </w:r>
      <w:r w:rsidRPr="000E15D4">
        <w:rPr>
          <w:b/>
          <w:bCs/>
        </w:rPr>
        <w:t xml:space="preserve">kW do 7,5 MW v případě pevné biomasy a do 2 MW v případě plynných paliv z biomasy </w:t>
      </w:r>
      <w:r w:rsidRPr="00853CF3">
        <w:t xml:space="preserve">– </w:t>
      </w:r>
      <w:r w:rsidRPr="007B7203">
        <w:t xml:space="preserve">Aby se předešlo nadměrné administrativní zátěži u menších zařízení, nebudou u projektu s tepelným příkonem </w:t>
      </w:r>
      <w:r w:rsidR="00784B48">
        <w:t>7,</w:t>
      </w:r>
      <w:r w:rsidRPr="007B7203">
        <w:t xml:space="preserve">5 MW a nižším vyžadována úplná kritéria udržitelnosti (audit třetí osobou). Provozovatel projektu s tepelným příkonem </w:t>
      </w:r>
      <w:r w:rsidRPr="00122054">
        <w:t>od 50</w:t>
      </w:r>
      <w:r w:rsidR="009D350D">
        <w:t> </w:t>
      </w:r>
      <w:r w:rsidRPr="00122054">
        <w:t xml:space="preserve">kW do 7,5 MW v případě pevné biomasy a do 2 MW v případě plynných paliv z biomasy </w:t>
      </w:r>
      <w:r w:rsidRPr="007B7203">
        <w:t>doloží, že veškerá biomasa použitá v projektu splňuje kritéria udržitelnosti prohlášením dodavatele biomasy. Znamená to, že dodavatel biomasy musí poskytnout dokumentaci, že biomasa dodávaná do závodu je udržitelná, včetně certifikace třetí stranou. Certifikace provozovatele zařízení není vyžadována. Provozovatel dále uvede výpočet úspory skleníkových plynů (bez auditu třetí strany), který prokáže splnění úspor skleníkových plynů ve výši 80 % na zařízení, která jsou předmětem podpory.</w:t>
      </w:r>
    </w:p>
    <w:p w14:paraId="19F76101" w14:textId="77777777" w:rsidR="00337F25" w:rsidRPr="00853CF3" w:rsidRDefault="00337F25" w:rsidP="00337F25">
      <w:pPr>
        <w:pStyle w:val="Odstavecseseznamem"/>
        <w:numPr>
          <w:ilvl w:val="0"/>
          <w:numId w:val="102"/>
        </w:numPr>
        <w:spacing w:after="160" w:line="259" w:lineRule="auto"/>
        <w:contextualSpacing/>
      </w:pPr>
      <w:r w:rsidRPr="007B7203">
        <w:rPr>
          <w:b/>
          <w:bCs/>
        </w:rPr>
        <w:t xml:space="preserve">Zdroje </w:t>
      </w:r>
      <w:r>
        <w:rPr>
          <w:b/>
          <w:bCs/>
        </w:rPr>
        <w:t xml:space="preserve">(včetně domácností a bytových domů) do 200 kW </w:t>
      </w:r>
    </w:p>
    <w:p w14:paraId="42511EDB" w14:textId="77777777" w:rsidR="00337F25" w:rsidRPr="00853CF3" w:rsidRDefault="00337F25" w:rsidP="00337F25">
      <w:pPr>
        <w:pStyle w:val="Odstavecseseznamem"/>
        <w:numPr>
          <w:ilvl w:val="1"/>
          <w:numId w:val="102"/>
        </w:numPr>
        <w:spacing w:after="160" w:line="259" w:lineRule="auto"/>
        <w:contextualSpacing/>
      </w:pPr>
      <w:r w:rsidRPr="00853CF3">
        <w:t>V rámci přípravy aktualizace Národního programu snižování emisí ČR, která proběhla v roce 2023 byly prozkoumány další možnosti vývoje emisí znečišťujících látek v závislosti na kombinaci legislativních a finančních nástrojů a posouzen vliv sektoru vytápění domácností na kvalitu ovzduší, a to s využitím nových poznatků o struktuře zdrojů na pevná paliva a výhledu využití jednotlivých zdrojů energie následkem ekonomických faktorů. Zásadní roli zde hraje předpoklad splnění zákazu provozu kotlů na tuhá paliva 1. a 2. třídy v domácnostech po 1. září 2024.</w:t>
      </w:r>
    </w:p>
    <w:p w14:paraId="3D1999F1" w14:textId="77777777" w:rsidR="00337F25" w:rsidRDefault="00337F25" w:rsidP="00337F25">
      <w:pPr>
        <w:pStyle w:val="Odstavecseseznamem"/>
        <w:numPr>
          <w:ilvl w:val="1"/>
          <w:numId w:val="102"/>
        </w:numPr>
        <w:spacing w:after="160" w:line="259" w:lineRule="auto"/>
        <w:contextualSpacing/>
      </w:pPr>
      <w:r w:rsidRPr="00853CF3">
        <w:t>Na úrovni domácností však není při čerpání veřejné podpory možné vyžadovat detailní doložení plnění kritérií udržitelnosti biomasy (v tomto směru je nutné zdůraznit, že toto nepožaduje ani legislativa na úrovni EU), a to zejména v důsledku souvisejících administrativních nákladů. Udržitelné hospodaření v lesích je zajištěno zejména primární legislativou ochrany a způsoby hospodaření v lese, tzn. lesním zákonem (289/1995 Sb.), který vymezuje stupně ochrany různých lesů a dle toho stanovuje či omezuje hospodářskou činnost. Z titulu zákona je vždy vyžadováno obnovení lesního porostu po případné těžbě.</w:t>
      </w:r>
    </w:p>
    <w:p w14:paraId="1A3378FC" w14:textId="77777777" w:rsidR="00337F25" w:rsidRPr="00853CF3" w:rsidRDefault="00337F25" w:rsidP="00337F25">
      <w:pPr>
        <w:pStyle w:val="Odstavecseseznamem"/>
        <w:numPr>
          <w:ilvl w:val="1"/>
          <w:numId w:val="102"/>
        </w:numPr>
        <w:spacing w:after="160" w:line="259" w:lineRule="auto"/>
        <w:contextualSpacing/>
      </w:pPr>
      <w:r>
        <w:t>V případě zdrojů na biomasu do 200 kW tak není nutné vyžadovat v rámci DNSH podmínky týkající se udržitelnosti biomasy.</w:t>
      </w:r>
    </w:p>
    <w:p w14:paraId="43B52B7F" w14:textId="77777777" w:rsidR="00337F25" w:rsidRPr="00986999" w:rsidRDefault="00337F25" w:rsidP="00337F25"/>
    <w:p w14:paraId="7CAAFCAC" w14:textId="2831F677" w:rsidR="009B1634" w:rsidRDefault="009B1634" w:rsidP="00D77C59">
      <w:pPr>
        <w:pStyle w:val="Nadpis4"/>
      </w:pPr>
      <w:r>
        <w:t xml:space="preserve">Ostatní </w:t>
      </w:r>
      <w:r w:rsidR="00A87F0A">
        <w:t>typy projektů = postup dle CPM</w:t>
      </w:r>
    </w:p>
    <w:p w14:paraId="5B3306A2" w14:textId="3899ADC6" w:rsidR="009B1634" w:rsidRPr="009B1634" w:rsidRDefault="009B1634" w:rsidP="00DB1A0B">
      <w:r>
        <w:t>V případě ostatní</w:t>
      </w:r>
      <w:r w:rsidR="00A87F0A">
        <w:t>ch typů projektů se</w:t>
      </w:r>
      <w:r>
        <w:t xml:space="preserve"> postupuje obecným postupem dle CPM (</w:t>
      </w:r>
      <w:hyperlink w:anchor="_Prověření_projektů_z" w:history="1">
        <w:r w:rsidRPr="00265E49">
          <w:rPr>
            <w:rStyle w:val="Hypertextovodkaz"/>
          </w:rPr>
          <w:t>kapitola 4.1.6</w:t>
        </w:r>
      </w:hyperlink>
      <w:r>
        <w:t>), zásadou energetická účinnost v prvé řadě a fakultativním stanovením kritérií dle taxonomie pro cíl zmírňování změny klimatu.</w:t>
      </w:r>
    </w:p>
    <w:p w14:paraId="0E6118C1" w14:textId="5ADDF5A1" w:rsidR="009B1634" w:rsidRDefault="009B1634" w:rsidP="00DB1A0B">
      <w:pPr>
        <w:pStyle w:val="Nadpis3"/>
      </w:pPr>
      <w:bookmarkStart w:id="79" w:name="_Prověření_projektů_z"/>
      <w:bookmarkEnd w:id="79"/>
      <w:r>
        <w:lastRenderedPageBreak/>
        <w:t>Prověření projektů z hlediska klimatického dopadu – zmírňování změny klimatu</w:t>
      </w:r>
      <w:r w:rsidR="00FC2100">
        <w:t xml:space="preserve"> (CPM)</w:t>
      </w:r>
    </w:p>
    <w:p w14:paraId="3DFF6347" w14:textId="43014EA0" w:rsidR="009B1634" w:rsidRPr="00AF460E" w:rsidRDefault="009B1634" w:rsidP="009B1634">
      <w:pPr>
        <w:rPr>
          <w:b/>
          <w:bCs/>
        </w:rPr>
      </w:pPr>
      <w:r w:rsidRPr="00AF460E">
        <w:rPr>
          <w:b/>
          <w:bCs/>
        </w:rPr>
        <w:t xml:space="preserve">Pro zvolení postupů pro posouzení </w:t>
      </w:r>
      <w:r w:rsidR="00127B96" w:rsidRPr="00AF460E">
        <w:rPr>
          <w:b/>
          <w:bCs/>
        </w:rPr>
        <w:t xml:space="preserve">CPM </w:t>
      </w:r>
      <w:r w:rsidRPr="00AF460E">
        <w:rPr>
          <w:b/>
          <w:bCs/>
        </w:rPr>
        <w:t>je potřeba nejdříve ověřit, zda záměr naplňuje definici infrastruktury nad</w:t>
      </w:r>
      <w:r w:rsidR="003A2074" w:rsidRPr="00AF460E">
        <w:rPr>
          <w:b/>
          <w:bCs/>
        </w:rPr>
        <w:t xml:space="preserve"> pět</w:t>
      </w:r>
      <w:r w:rsidRPr="00AF460E">
        <w:rPr>
          <w:b/>
          <w:bCs/>
        </w:rPr>
        <w:t xml:space="preserve"> let. </w:t>
      </w:r>
      <w:r w:rsidR="00A87F0A" w:rsidRPr="00AF460E">
        <w:rPr>
          <w:b/>
          <w:bCs/>
        </w:rPr>
        <w:t xml:space="preserve">Projekty nesplňující definici infrastruktury postupují obdobně dle kap. </w:t>
      </w:r>
      <w:hyperlink w:anchor="_Přizpůsobování_se_změně" w:history="1">
        <w:r w:rsidR="002B3B40" w:rsidRPr="002B3B40">
          <w:rPr>
            <w:rStyle w:val="Hypertextovodkaz"/>
            <w:b/>
            <w:bCs/>
          </w:rPr>
          <w:t>4.1.6.1.1</w:t>
        </w:r>
      </w:hyperlink>
    </w:p>
    <w:p w14:paraId="0990795B" w14:textId="24322446" w:rsidR="009B1634" w:rsidRDefault="009B1634" w:rsidP="009B1634">
      <w:pPr>
        <w:rPr>
          <w:rFonts w:cs="Segoe UI"/>
        </w:rPr>
      </w:pPr>
      <w:r w:rsidRPr="00DC00E4">
        <w:rPr>
          <w:rFonts w:cs="Segoe UI"/>
          <w:b/>
          <w:bCs/>
        </w:rPr>
        <w:t xml:space="preserve">Infrastrukturou s životností nad pět let se zpravidla rozumí stavby a stavební konstrukce různého účelu a typu, a to včetně dočasných konstrukcí. </w:t>
      </w:r>
      <w:r w:rsidRPr="00757F21">
        <w:rPr>
          <w:rFonts w:cs="Segoe UI"/>
        </w:rPr>
        <w:t>Na většinu z uvedených typů infrastruktury lze uplatnit projektovanou dobu životnosti dle eurokódů, která je vždy delší než pět let.</w:t>
      </w:r>
      <w:r w:rsidR="00FB2A0F">
        <w:rPr>
          <w:rFonts w:cs="Segoe UI"/>
        </w:rPr>
        <w:t xml:space="preserve"> </w:t>
      </w:r>
    </w:p>
    <w:p w14:paraId="068C5461" w14:textId="77777777" w:rsidR="009B1634" w:rsidRPr="00DC00E4" w:rsidRDefault="009B1634" w:rsidP="00AF460E">
      <w:pPr>
        <w:keepNext/>
        <w:rPr>
          <w:rFonts w:cs="Segoe UI"/>
          <w:b/>
          <w:bCs/>
        </w:rPr>
      </w:pPr>
      <w:r w:rsidRPr="00DC00E4">
        <w:rPr>
          <w:rFonts w:cs="Segoe UI"/>
          <w:b/>
          <w:bCs/>
        </w:rPr>
        <w:t>Orientační seznam</w:t>
      </w:r>
      <w:r>
        <w:rPr>
          <w:rFonts w:cs="Segoe UI"/>
          <w:b/>
          <w:bCs/>
        </w:rPr>
        <w:t xml:space="preserve"> typů projektů splňující definici</w:t>
      </w:r>
      <w:r w:rsidRPr="00DC00E4">
        <w:rPr>
          <w:rFonts w:cs="Segoe UI"/>
          <w:b/>
          <w:bCs/>
        </w:rPr>
        <w:t xml:space="preserve"> infrastruktury</w:t>
      </w:r>
    </w:p>
    <w:p w14:paraId="508DC92E" w14:textId="77777777" w:rsidR="009B1634" w:rsidRDefault="009B1634" w:rsidP="009B1634">
      <w:r>
        <w:t>Níže je uveden orientační seznam infrastrukturních projektů. Jednotlivé kategorie se mohou v některých případech překrývat – např. třídírna odpadů je zároveň i budovou, nicméně pro přehlednost a vyjasnění jsou uvedeny některé kategorie infrastruktury samostatně.</w:t>
      </w:r>
    </w:p>
    <w:p w14:paraId="6A6BCF89" w14:textId="77777777" w:rsidR="009B1634" w:rsidRDefault="009B1634" w:rsidP="009B1634">
      <w:r>
        <w:t xml:space="preserve">Relevantní jsou projekty v oblasti </w:t>
      </w:r>
      <w:r>
        <w:rPr>
          <w:rStyle w:val="Zdraznn"/>
        </w:rPr>
        <w:t>budování nové</w:t>
      </w:r>
      <w:r>
        <w:t xml:space="preserve"> infrastruktury ale i její </w:t>
      </w:r>
      <w:r>
        <w:rPr>
          <w:rStyle w:val="Zdraznn"/>
        </w:rPr>
        <w:t>rozšiřování, modernizace a úpravy</w:t>
      </w:r>
      <w:r>
        <w:t>. Smyslem je, aby veřejná podpora nesměřovala ani do stávající infrastruktury bez zajištění, že nebude ohrožovat plnění cílů v oblasti snižování emisí skleníkových plynů.</w:t>
      </w:r>
    </w:p>
    <w:p w14:paraId="4505B534" w14:textId="77777777" w:rsidR="009B1634" w:rsidRDefault="009B1634" w:rsidP="009B1634">
      <w:pPr>
        <w:rPr>
          <w:u w:val="single"/>
        </w:rPr>
      </w:pPr>
      <w:r>
        <w:rPr>
          <w:u w:val="single"/>
        </w:rPr>
        <w:t>Orientační seznam infrastrukturních projektů:</w:t>
      </w:r>
    </w:p>
    <w:p w14:paraId="07055E17" w14:textId="77777777" w:rsidR="009B1634" w:rsidRDefault="009B1634" w:rsidP="009B1634">
      <w:pPr>
        <w:pStyle w:val="Odstavecseseznamem"/>
        <w:numPr>
          <w:ilvl w:val="0"/>
          <w:numId w:val="37"/>
        </w:numPr>
        <w:spacing w:before="120" w:after="0"/>
        <w:ind w:left="714" w:hanging="357"/>
      </w:pPr>
      <w:r>
        <w:rPr>
          <w:b/>
        </w:rPr>
        <w:t>Dopravní infrastruktura</w:t>
      </w:r>
    </w:p>
    <w:p w14:paraId="73F755CB" w14:textId="77777777" w:rsidR="009B1634" w:rsidRDefault="009B1634" w:rsidP="009B1634">
      <w:pPr>
        <w:pStyle w:val="Odstavecseseznamem"/>
        <w:numPr>
          <w:ilvl w:val="1"/>
          <w:numId w:val="37"/>
        </w:numPr>
        <w:spacing w:after="160" w:line="259" w:lineRule="auto"/>
        <w:contextualSpacing/>
      </w:pPr>
      <w:r>
        <w:t>silnice a dálnice</w:t>
      </w:r>
    </w:p>
    <w:p w14:paraId="72A34AD9" w14:textId="77777777" w:rsidR="009B1634" w:rsidRDefault="009B1634" w:rsidP="009B1634">
      <w:pPr>
        <w:pStyle w:val="Odstavecseseznamem"/>
        <w:numPr>
          <w:ilvl w:val="1"/>
          <w:numId w:val="37"/>
        </w:numPr>
        <w:spacing w:after="160" w:line="259" w:lineRule="auto"/>
        <w:contextualSpacing/>
      </w:pPr>
      <w:r>
        <w:t>železnice</w:t>
      </w:r>
    </w:p>
    <w:p w14:paraId="7D7B5BA4" w14:textId="77777777" w:rsidR="009B1634" w:rsidRDefault="009B1634" w:rsidP="009B1634">
      <w:pPr>
        <w:pStyle w:val="Odstavecseseznamem"/>
        <w:numPr>
          <w:ilvl w:val="1"/>
          <w:numId w:val="37"/>
        </w:numPr>
        <w:spacing w:after="160" w:line="259" w:lineRule="auto"/>
        <w:contextualSpacing/>
      </w:pPr>
      <w:r>
        <w:t>mosty a tunely</w:t>
      </w:r>
    </w:p>
    <w:p w14:paraId="0077A9AE" w14:textId="77777777" w:rsidR="009B1634" w:rsidRDefault="009B1634" w:rsidP="009B1634">
      <w:pPr>
        <w:pStyle w:val="Odstavecseseznamem"/>
        <w:numPr>
          <w:ilvl w:val="1"/>
          <w:numId w:val="37"/>
        </w:numPr>
        <w:spacing w:after="160" w:line="259" w:lineRule="auto"/>
        <w:contextualSpacing/>
      </w:pPr>
      <w:r>
        <w:t>přístavy, plavební komory, jezy a další související stavby</w:t>
      </w:r>
    </w:p>
    <w:p w14:paraId="09B51882" w14:textId="77777777" w:rsidR="009B1634" w:rsidRDefault="009B1634" w:rsidP="009B1634">
      <w:pPr>
        <w:pStyle w:val="Odstavecseseznamem"/>
        <w:numPr>
          <w:ilvl w:val="1"/>
          <w:numId w:val="37"/>
        </w:numPr>
        <w:spacing w:after="160" w:line="259" w:lineRule="auto"/>
        <w:contextualSpacing/>
      </w:pPr>
      <w:r>
        <w:t>letiště</w:t>
      </w:r>
    </w:p>
    <w:p w14:paraId="0379F1B9" w14:textId="77777777" w:rsidR="009B1634" w:rsidRDefault="009B1634" w:rsidP="009B1634">
      <w:pPr>
        <w:pStyle w:val="Odstavecseseznamem"/>
        <w:numPr>
          <w:ilvl w:val="1"/>
          <w:numId w:val="37"/>
        </w:numPr>
        <w:spacing w:after="160" w:line="259" w:lineRule="auto"/>
        <w:contextualSpacing/>
      </w:pPr>
      <w:r>
        <w:t>cyklostezky a stezky pro pěší</w:t>
      </w:r>
    </w:p>
    <w:p w14:paraId="783AF18D" w14:textId="77777777" w:rsidR="009B1634" w:rsidRDefault="009B1634" w:rsidP="009B1634">
      <w:pPr>
        <w:pStyle w:val="Odstavecseseznamem"/>
        <w:numPr>
          <w:ilvl w:val="1"/>
          <w:numId w:val="37"/>
        </w:numPr>
        <w:spacing w:after="160" w:line="259" w:lineRule="auto"/>
        <w:contextualSpacing/>
      </w:pPr>
      <w:r>
        <w:t>parkoviště a parkovací domy</w:t>
      </w:r>
    </w:p>
    <w:p w14:paraId="08519E48" w14:textId="77777777" w:rsidR="009B1634" w:rsidRDefault="009B1634" w:rsidP="009B1634">
      <w:pPr>
        <w:pStyle w:val="Odstavecseseznamem"/>
        <w:numPr>
          <w:ilvl w:val="1"/>
          <w:numId w:val="37"/>
        </w:numPr>
        <w:spacing w:after="160" w:line="259" w:lineRule="auto"/>
        <w:contextualSpacing/>
      </w:pPr>
      <w:r>
        <w:t>dobíjecí a plnící stanice</w:t>
      </w:r>
    </w:p>
    <w:p w14:paraId="3E31E92D" w14:textId="77777777" w:rsidR="009B1634" w:rsidRDefault="009B1634" w:rsidP="009B1634">
      <w:pPr>
        <w:pStyle w:val="Odstavecseseznamem"/>
        <w:numPr>
          <w:ilvl w:val="1"/>
          <w:numId w:val="37"/>
        </w:numPr>
        <w:spacing w:after="160" w:line="259" w:lineRule="auto"/>
        <w:contextualSpacing/>
      </w:pPr>
      <w:r>
        <w:t>vozidla veřejné dopravy (kolejová vozidla, autobusy)</w:t>
      </w:r>
    </w:p>
    <w:p w14:paraId="1BCB45F5" w14:textId="77777777" w:rsidR="009B1634" w:rsidRDefault="009B1634" w:rsidP="009B1634">
      <w:pPr>
        <w:pStyle w:val="Odstavecseseznamem"/>
        <w:numPr>
          <w:ilvl w:val="1"/>
          <w:numId w:val="37"/>
        </w:numPr>
        <w:spacing w:after="160" w:line="259" w:lineRule="auto"/>
        <w:contextualSpacing/>
      </w:pPr>
      <w:r>
        <w:t>pořizování lodí</w:t>
      </w:r>
    </w:p>
    <w:p w14:paraId="60477CFA" w14:textId="77777777" w:rsidR="009B1634" w:rsidRDefault="009B1634" w:rsidP="009B1634">
      <w:pPr>
        <w:pStyle w:val="Odstavecseseznamem"/>
        <w:keepNext/>
        <w:numPr>
          <w:ilvl w:val="0"/>
          <w:numId w:val="37"/>
        </w:numPr>
        <w:spacing w:before="120" w:after="0"/>
        <w:ind w:left="714" w:hanging="357"/>
        <w:rPr>
          <w:b/>
        </w:rPr>
      </w:pPr>
      <w:r>
        <w:rPr>
          <w:b/>
        </w:rPr>
        <w:t>Energetická infrastruktura</w:t>
      </w:r>
    </w:p>
    <w:p w14:paraId="31926CC5" w14:textId="77777777" w:rsidR="009B1634" w:rsidRDefault="009B1634" w:rsidP="009B1634">
      <w:pPr>
        <w:pStyle w:val="Odstavecseseznamem"/>
        <w:numPr>
          <w:ilvl w:val="1"/>
          <w:numId w:val="37"/>
        </w:numPr>
        <w:spacing w:after="160" w:line="259" w:lineRule="auto"/>
        <w:contextualSpacing/>
      </w:pPr>
      <w:r>
        <w:t>zdroje energie (FVE, vodní elektrárny, větrné elektrárny, tepelná čerpadla, bioplynové stanice apod.)</w:t>
      </w:r>
    </w:p>
    <w:p w14:paraId="59639543" w14:textId="77777777" w:rsidR="009B1634" w:rsidRDefault="009B1634" w:rsidP="009B1634">
      <w:pPr>
        <w:pStyle w:val="Odstavecseseznamem"/>
        <w:numPr>
          <w:ilvl w:val="1"/>
          <w:numId w:val="37"/>
        </w:numPr>
        <w:spacing w:after="160" w:line="259" w:lineRule="auto"/>
        <w:contextualSpacing/>
      </w:pPr>
      <w:r>
        <w:t>distribuční a přenosové sítě (elektřiny, plynu, tepla)</w:t>
      </w:r>
    </w:p>
    <w:p w14:paraId="5C62010E" w14:textId="77777777" w:rsidR="009B1634" w:rsidRDefault="009B1634" w:rsidP="009B1634">
      <w:pPr>
        <w:pStyle w:val="Odstavecseseznamem"/>
        <w:numPr>
          <w:ilvl w:val="1"/>
          <w:numId w:val="37"/>
        </w:numPr>
        <w:spacing w:after="160" w:line="259" w:lineRule="auto"/>
        <w:contextualSpacing/>
      </w:pPr>
      <w:r>
        <w:t>zařízení pro skladování energie (zásobníky, baterie apod.)</w:t>
      </w:r>
    </w:p>
    <w:p w14:paraId="36CF6E7F" w14:textId="77777777" w:rsidR="009B1634" w:rsidRDefault="009B1634" w:rsidP="009B1634">
      <w:pPr>
        <w:pStyle w:val="Odstavecseseznamem"/>
        <w:numPr>
          <w:ilvl w:val="0"/>
          <w:numId w:val="37"/>
        </w:numPr>
        <w:spacing w:before="120" w:after="0"/>
        <w:ind w:left="714" w:hanging="357"/>
        <w:rPr>
          <w:b/>
        </w:rPr>
      </w:pPr>
      <w:r>
        <w:rPr>
          <w:b/>
        </w:rPr>
        <w:t>Vodohospodářská infrastruktura</w:t>
      </w:r>
    </w:p>
    <w:p w14:paraId="4ECED401" w14:textId="77777777" w:rsidR="009B1634" w:rsidRDefault="009B1634" w:rsidP="009B1634">
      <w:pPr>
        <w:pStyle w:val="Odstavecseseznamem"/>
        <w:numPr>
          <w:ilvl w:val="1"/>
          <w:numId w:val="37"/>
        </w:numPr>
        <w:spacing w:after="160" w:line="259" w:lineRule="auto"/>
        <w:contextualSpacing/>
      </w:pPr>
      <w:r>
        <w:t>vodovody, zdroje pitné vody, úpravny vody</w:t>
      </w:r>
    </w:p>
    <w:p w14:paraId="6FA80A58" w14:textId="77777777" w:rsidR="009B1634" w:rsidRDefault="009B1634" w:rsidP="009B1634">
      <w:pPr>
        <w:pStyle w:val="Odstavecseseznamem"/>
        <w:numPr>
          <w:ilvl w:val="1"/>
          <w:numId w:val="37"/>
        </w:numPr>
        <w:spacing w:after="160" w:line="259" w:lineRule="auto"/>
        <w:contextualSpacing/>
      </w:pPr>
      <w:r>
        <w:t>vodojemy a nádrže na pitnou vodu</w:t>
      </w:r>
    </w:p>
    <w:p w14:paraId="1CA1C5F6" w14:textId="77777777" w:rsidR="009B1634" w:rsidRDefault="009B1634" w:rsidP="009B1634">
      <w:pPr>
        <w:pStyle w:val="Odstavecseseznamem"/>
        <w:numPr>
          <w:ilvl w:val="1"/>
          <w:numId w:val="37"/>
        </w:numPr>
        <w:spacing w:after="160" w:line="259" w:lineRule="auto"/>
        <w:contextualSpacing/>
      </w:pPr>
      <w:r>
        <w:t>kanalizace, čistírny odpadních vod a další obdobné stavby</w:t>
      </w:r>
    </w:p>
    <w:p w14:paraId="053428BE" w14:textId="77777777" w:rsidR="009B1634" w:rsidRDefault="009B1634" w:rsidP="009B1634">
      <w:pPr>
        <w:pStyle w:val="Odstavecseseznamem"/>
        <w:numPr>
          <w:ilvl w:val="1"/>
          <w:numId w:val="37"/>
        </w:numPr>
        <w:spacing w:after="160" w:line="259" w:lineRule="auto"/>
        <w:contextualSpacing/>
      </w:pPr>
      <w:r>
        <w:t>rybníky a vodní nádrže</w:t>
      </w:r>
    </w:p>
    <w:p w14:paraId="3D0BA13E" w14:textId="77777777" w:rsidR="009B1634" w:rsidRDefault="009B1634" w:rsidP="009B1634">
      <w:pPr>
        <w:pStyle w:val="Odstavecseseznamem"/>
        <w:numPr>
          <w:ilvl w:val="1"/>
          <w:numId w:val="37"/>
        </w:numPr>
        <w:spacing w:after="160" w:line="259" w:lineRule="auto"/>
        <w:contextualSpacing/>
      </w:pPr>
      <w:r>
        <w:t xml:space="preserve">protipovodňové stavby (hráze, poldry, </w:t>
      </w:r>
      <w:proofErr w:type="gramStart"/>
      <w:r>
        <w:t>nádrže,</w:t>
      </w:r>
      <w:proofErr w:type="gramEnd"/>
      <w:r>
        <w:t xml:space="preserve"> apod.)</w:t>
      </w:r>
    </w:p>
    <w:p w14:paraId="0235A56A" w14:textId="77777777" w:rsidR="009B1634" w:rsidRDefault="009B1634" w:rsidP="009B1634">
      <w:pPr>
        <w:pStyle w:val="Odstavecseseznamem"/>
        <w:keepNext/>
        <w:numPr>
          <w:ilvl w:val="0"/>
          <w:numId w:val="37"/>
        </w:numPr>
        <w:spacing w:before="120" w:after="0"/>
        <w:ind w:left="714" w:hanging="357"/>
      </w:pPr>
      <w:r>
        <w:rPr>
          <w:b/>
        </w:rPr>
        <w:lastRenderedPageBreak/>
        <w:t>Infrastruktura pro nakládání s odpady</w:t>
      </w:r>
    </w:p>
    <w:p w14:paraId="5F177779" w14:textId="77777777" w:rsidR="009B1634" w:rsidRDefault="009B1634" w:rsidP="009B1634">
      <w:pPr>
        <w:pStyle w:val="Odstavecseseznamem"/>
        <w:numPr>
          <w:ilvl w:val="1"/>
          <w:numId w:val="37"/>
        </w:numPr>
        <w:spacing w:after="160" w:line="259" w:lineRule="auto"/>
        <w:contextualSpacing/>
      </w:pPr>
      <w:r>
        <w:t>sběrné dvory</w:t>
      </w:r>
    </w:p>
    <w:p w14:paraId="224F3DFE" w14:textId="77777777" w:rsidR="009B1634" w:rsidRDefault="009B1634" w:rsidP="009B1634">
      <w:pPr>
        <w:pStyle w:val="Odstavecseseznamem"/>
        <w:numPr>
          <w:ilvl w:val="1"/>
          <w:numId w:val="37"/>
        </w:numPr>
        <w:spacing w:after="160" w:line="259" w:lineRule="auto"/>
        <w:contextualSpacing/>
      </w:pPr>
      <w:r>
        <w:t>třídící a recyklační zařízení</w:t>
      </w:r>
    </w:p>
    <w:p w14:paraId="550A0C5E" w14:textId="77777777" w:rsidR="009B1634" w:rsidRDefault="009B1634" w:rsidP="009B1634">
      <w:pPr>
        <w:pStyle w:val="Odstavecseseznamem"/>
        <w:numPr>
          <w:ilvl w:val="1"/>
          <w:numId w:val="37"/>
        </w:numPr>
        <w:spacing w:after="160" w:line="259" w:lineRule="auto"/>
        <w:contextualSpacing/>
      </w:pPr>
      <w:r>
        <w:t>zařízení pro energetické využití odpadů</w:t>
      </w:r>
    </w:p>
    <w:p w14:paraId="7D895CD8" w14:textId="77777777" w:rsidR="009B1634" w:rsidRDefault="009B1634" w:rsidP="009B1634">
      <w:pPr>
        <w:pStyle w:val="Odstavecseseznamem"/>
        <w:numPr>
          <w:ilvl w:val="0"/>
          <w:numId w:val="37"/>
        </w:numPr>
        <w:spacing w:before="120" w:after="0"/>
        <w:ind w:left="714" w:hanging="357"/>
        <w:rPr>
          <w:b/>
        </w:rPr>
      </w:pPr>
      <w:r>
        <w:rPr>
          <w:b/>
        </w:rPr>
        <w:t>Telekomunikační infrastruktura</w:t>
      </w:r>
    </w:p>
    <w:p w14:paraId="19BBBD7D" w14:textId="77777777" w:rsidR="009B1634" w:rsidRDefault="009B1634" w:rsidP="009B1634">
      <w:pPr>
        <w:pStyle w:val="Odstavecseseznamem"/>
        <w:numPr>
          <w:ilvl w:val="1"/>
          <w:numId w:val="37"/>
        </w:numPr>
        <w:spacing w:after="160" w:line="259" w:lineRule="auto"/>
        <w:contextualSpacing/>
      </w:pPr>
      <w:r>
        <w:t>sítě vysokorychlostního internetu</w:t>
      </w:r>
    </w:p>
    <w:p w14:paraId="526110FE" w14:textId="77777777" w:rsidR="009B1634" w:rsidRDefault="009B1634" w:rsidP="009B1634">
      <w:pPr>
        <w:pStyle w:val="Odstavecseseznamem"/>
        <w:numPr>
          <w:ilvl w:val="1"/>
          <w:numId w:val="37"/>
        </w:numPr>
        <w:spacing w:after="160" w:line="259" w:lineRule="auto"/>
        <w:contextualSpacing/>
      </w:pPr>
      <w:r>
        <w:t>mobilní telefonní sítě</w:t>
      </w:r>
    </w:p>
    <w:p w14:paraId="70D5BD08" w14:textId="77777777" w:rsidR="009B1634" w:rsidRDefault="009B1634" w:rsidP="009B1634">
      <w:pPr>
        <w:pStyle w:val="Odstavecseseznamem"/>
        <w:numPr>
          <w:ilvl w:val="1"/>
          <w:numId w:val="37"/>
        </w:numPr>
        <w:spacing w:after="160" w:line="259" w:lineRule="auto"/>
        <w:contextualSpacing/>
      </w:pPr>
      <w:r>
        <w:t>datová centra</w:t>
      </w:r>
    </w:p>
    <w:p w14:paraId="52C1D72A" w14:textId="77777777" w:rsidR="009B1634" w:rsidRDefault="009B1634" w:rsidP="009B1634">
      <w:pPr>
        <w:pStyle w:val="Odstavecseseznamem"/>
        <w:keepNext/>
        <w:numPr>
          <w:ilvl w:val="0"/>
          <w:numId w:val="37"/>
        </w:numPr>
        <w:spacing w:before="120" w:after="0"/>
        <w:ind w:left="714" w:hanging="357"/>
        <w:rPr>
          <w:b/>
        </w:rPr>
      </w:pPr>
      <w:r>
        <w:rPr>
          <w:b/>
        </w:rPr>
        <w:t>Zemědělská infrastruktura</w:t>
      </w:r>
    </w:p>
    <w:p w14:paraId="71683874" w14:textId="77777777" w:rsidR="009B1634" w:rsidRDefault="009B1634" w:rsidP="009B1634">
      <w:pPr>
        <w:pStyle w:val="Odstavecseseznamem"/>
        <w:numPr>
          <w:ilvl w:val="1"/>
          <w:numId w:val="37"/>
        </w:numPr>
        <w:spacing w:after="160" w:line="259" w:lineRule="auto"/>
        <w:contextualSpacing/>
      </w:pPr>
      <w:r>
        <w:t>zavlažovací nebo odvodňovací systémy</w:t>
      </w:r>
    </w:p>
    <w:p w14:paraId="464A9DF2" w14:textId="77777777" w:rsidR="009B1634" w:rsidRDefault="009B1634" w:rsidP="009B1634">
      <w:pPr>
        <w:pStyle w:val="Odstavecseseznamem"/>
        <w:numPr>
          <w:ilvl w:val="1"/>
          <w:numId w:val="37"/>
        </w:numPr>
        <w:spacing w:after="160" w:line="259" w:lineRule="auto"/>
        <w:contextualSpacing/>
      </w:pPr>
      <w:r>
        <w:t>skleníky a jiné obdobné konstrukce</w:t>
      </w:r>
    </w:p>
    <w:p w14:paraId="379A24A8" w14:textId="77777777" w:rsidR="009B1634" w:rsidRDefault="009B1634" w:rsidP="009B1634">
      <w:pPr>
        <w:pStyle w:val="Odstavecseseznamem"/>
        <w:numPr>
          <w:ilvl w:val="0"/>
          <w:numId w:val="37"/>
        </w:numPr>
        <w:spacing w:before="120" w:after="0"/>
        <w:ind w:left="714" w:hanging="357"/>
        <w:rPr>
          <w:b/>
        </w:rPr>
      </w:pPr>
      <w:r>
        <w:rPr>
          <w:b/>
        </w:rPr>
        <w:t>Veřejná prostranství a zelená infrastruktura</w:t>
      </w:r>
    </w:p>
    <w:p w14:paraId="2F7D0F68" w14:textId="77777777" w:rsidR="009B1634" w:rsidRDefault="009B1634" w:rsidP="009B1634">
      <w:pPr>
        <w:pStyle w:val="Odstavecseseznamem"/>
        <w:numPr>
          <w:ilvl w:val="1"/>
          <w:numId w:val="37"/>
        </w:numPr>
        <w:spacing w:after="160" w:line="259" w:lineRule="auto"/>
        <w:contextualSpacing/>
      </w:pPr>
      <w:r>
        <w:t>náměstí a obdobné prostory</w:t>
      </w:r>
    </w:p>
    <w:p w14:paraId="6BC4E278" w14:textId="77777777" w:rsidR="009B1634" w:rsidRDefault="009B1634" w:rsidP="009B1634">
      <w:pPr>
        <w:pStyle w:val="Odstavecseseznamem"/>
        <w:numPr>
          <w:ilvl w:val="1"/>
          <w:numId w:val="37"/>
        </w:numPr>
        <w:spacing w:after="160" w:line="259" w:lineRule="auto"/>
        <w:contextualSpacing/>
      </w:pPr>
      <w:r>
        <w:t>uliční prostory</w:t>
      </w:r>
    </w:p>
    <w:p w14:paraId="7B30FFB0" w14:textId="77777777" w:rsidR="009B1634" w:rsidRDefault="009B1634" w:rsidP="009B1634">
      <w:pPr>
        <w:pStyle w:val="Odstavecseseznamem"/>
        <w:numPr>
          <w:ilvl w:val="1"/>
          <w:numId w:val="37"/>
        </w:numPr>
        <w:spacing w:after="160" w:line="259" w:lineRule="auto"/>
        <w:contextualSpacing/>
      </w:pPr>
      <w:r>
        <w:t>modrozelená infrastruktura (parky, nábřeží, vodní a vegetační prvky, systémy pro hospodaření s dešťovou vodou apod.)</w:t>
      </w:r>
    </w:p>
    <w:p w14:paraId="21CE0AEF" w14:textId="77777777" w:rsidR="009B1634" w:rsidRDefault="009B1634" w:rsidP="009B1634">
      <w:pPr>
        <w:pStyle w:val="Odstavecseseznamem"/>
        <w:numPr>
          <w:ilvl w:val="1"/>
          <w:numId w:val="37"/>
        </w:numPr>
        <w:spacing w:after="160" w:line="259" w:lineRule="auto"/>
        <w:contextualSpacing/>
      </w:pPr>
      <w:r>
        <w:t>přírodě blízká opatření zaměřená na přizpůsobování se změně klimatu (adaptace) (revitalizace vodních toků, vodní nádrže apod.)</w:t>
      </w:r>
    </w:p>
    <w:p w14:paraId="7886405F" w14:textId="77777777" w:rsidR="009B1634" w:rsidRDefault="009B1634" w:rsidP="00AF460E">
      <w:pPr>
        <w:pStyle w:val="Odstavecseseznamem"/>
        <w:keepNext/>
        <w:numPr>
          <w:ilvl w:val="0"/>
          <w:numId w:val="37"/>
        </w:numPr>
        <w:spacing w:before="120" w:after="0"/>
        <w:ind w:left="714" w:hanging="357"/>
        <w:rPr>
          <w:b/>
        </w:rPr>
      </w:pPr>
      <w:r>
        <w:rPr>
          <w:b/>
        </w:rPr>
        <w:t>Budovy</w:t>
      </w:r>
    </w:p>
    <w:p w14:paraId="51607CA3" w14:textId="77777777" w:rsidR="009B1634" w:rsidRDefault="009B1634" w:rsidP="009B1634">
      <w:pPr>
        <w:pStyle w:val="Odstavecseseznamem"/>
        <w:numPr>
          <w:ilvl w:val="1"/>
          <w:numId w:val="37"/>
        </w:numPr>
        <w:spacing w:after="160" w:line="259" w:lineRule="auto"/>
        <w:contextualSpacing/>
      </w:pPr>
      <w:r>
        <w:t>obytné budovy</w:t>
      </w:r>
    </w:p>
    <w:p w14:paraId="7D9A6A6E" w14:textId="77777777" w:rsidR="009B1634" w:rsidRDefault="009B1634" w:rsidP="009B1634">
      <w:pPr>
        <w:pStyle w:val="Odstavecseseznamem"/>
        <w:numPr>
          <w:ilvl w:val="1"/>
          <w:numId w:val="37"/>
        </w:numPr>
        <w:spacing w:after="160" w:line="259" w:lineRule="auto"/>
        <w:contextualSpacing/>
      </w:pPr>
      <w:r>
        <w:t>budovy veřejného sektoru (např. školy, nemocnice, sociální služby, administrativní budovy)</w:t>
      </w:r>
    </w:p>
    <w:p w14:paraId="27F1E969" w14:textId="77777777" w:rsidR="009B1634" w:rsidRDefault="009B1634" w:rsidP="009B1634">
      <w:pPr>
        <w:pStyle w:val="Odstavecseseznamem"/>
        <w:numPr>
          <w:ilvl w:val="1"/>
          <w:numId w:val="37"/>
        </w:numPr>
        <w:spacing w:after="160" w:line="259" w:lineRule="auto"/>
        <w:contextualSpacing/>
      </w:pPr>
      <w:r>
        <w:t>komerční budovy (např. výrobní haly, sklady, administrativní budovy)</w:t>
      </w:r>
    </w:p>
    <w:p w14:paraId="069426E8" w14:textId="77777777" w:rsidR="009B1634" w:rsidRDefault="009B1634" w:rsidP="009B1634">
      <w:pPr>
        <w:pStyle w:val="Odstavecseseznamem"/>
        <w:numPr>
          <w:ilvl w:val="1"/>
          <w:numId w:val="37"/>
        </w:numPr>
        <w:spacing w:after="160" w:line="259" w:lineRule="auto"/>
        <w:contextualSpacing/>
      </w:pPr>
      <w:r>
        <w:t>systémy a konstrukce, které se stávají nedílnou součástí stavby (např. zelené střechy, rozvody, datové sítě uvnitř budov apod.)</w:t>
      </w:r>
    </w:p>
    <w:p w14:paraId="7CA549E0" w14:textId="77777777" w:rsidR="009B1634" w:rsidRPr="00DC00E4" w:rsidRDefault="009B1634" w:rsidP="009B1634">
      <w:pPr>
        <w:rPr>
          <w:rFonts w:cs="Segoe UI"/>
          <w:b/>
          <w:bCs/>
        </w:rPr>
      </w:pPr>
      <w:r w:rsidRPr="00DC00E4">
        <w:rPr>
          <w:rFonts w:cs="Segoe UI"/>
          <w:b/>
          <w:bCs/>
        </w:rPr>
        <w:t xml:space="preserve">Orientační seznam infrastruktury, </w:t>
      </w:r>
      <w:r w:rsidRPr="00DC00E4">
        <w:rPr>
          <w:b/>
          <w:bCs/>
        </w:rPr>
        <w:t>která se pro účely těchto vodítek obecně</w:t>
      </w:r>
      <w:r>
        <w:t xml:space="preserve"> </w:t>
      </w:r>
      <w:r>
        <w:rPr>
          <w:b/>
        </w:rPr>
        <w:t>samostatně nepovažují</w:t>
      </w:r>
      <w:r>
        <w:t xml:space="preserve"> </w:t>
      </w:r>
      <w:r>
        <w:rPr>
          <w:b/>
        </w:rPr>
        <w:t>za infrastrukturu</w:t>
      </w:r>
      <w:r>
        <w:t xml:space="preserve"> </w:t>
      </w:r>
      <w:r>
        <w:rPr>
          <w:rStyle w:val="Zdraznn"/>
        </w:rPr>
        <w:t>s životností alespoň pět let</w:t>
      </w:r>
    </w:p>
    <w:p w14:paraId="6C100E08" w14:textId="77777777" w:rsidR="009B1634" w:rsidRDefault="009B1634" w:rsidP="009B1634">
      <w:pPr>
        <w:keepNext/>
      </w:pPr>
      <w:r>
        <w:t xml:space="preserve">Nejedná se uzavřený výčet, z podstaty věci není možné postihnout všechny typy projektů, které se mohou v rámci podpory z fondů EU objevit. </w:t>
      </w:r>
    </w:p>
    <w:p w14:paraId="3EF74C42" w14:textId="77777777" w:rsidR="009B1634" w:rsidRDefault="009B1634" w:rsidP="009B1634">
      <w:pPr>
        <w:keepNext/>
        <w:rPr>
          <w:u w:val="single"/>
        </w:rPr>
      </w:pPr>
      <w:r>
        <w:rPr>
          <w:u w:val="single"/>
        </w:rPr>
        <w:t>Mezi projekty nesplňující definici infrastruktury s životnostní nad 5 let lze řadit:</w:t>
      </w:r>
    </w:p>
    <w:p w14:paraId="3035437D" w14:textId="77777777" w:rsidR="009B1634" w:rsidRDefault="009B1634" w:rsidP="009B1634">
      <w:pPr>
        <w:pStyle w:val="Odstavecseseznamem"/>
        <w:numPr>
          <w:ilvl w:val="0"/>
          <w:numId w:val="32"/>
        </w:numPr>
        <w:spacing w:after="160" w:line="276" w:lineRule="auto"/>
        <w:contextualSpacing/>
      </w:pPr>
      <w:r>
        <w:t>neinvestiční projekty v oblasti vzdělávání, výzkumu, sociálního začleňování apod.</w:t>
      </w:r>
    </w:p>
    <w:p w14:paraId="066ADF24" w14:textId="77777777" w:rsidR="009B1634" w:rsidRDefault="009B1634" w:rsidP="009B1634">
      <w:pPr>
        <w:pStyle w:val="Odstavecseseznamem"/>
        <w:numPr>
          <w:ilvl w:val="0"/>
          <w:numId w:val="32"/>
        </w:numPr>
        <w:spacing w:after="160" w:line="276" w:lineRule="auto"/>
        <w:contextualSpacing/>
      </w:pPr>
      <w:r>
        <w:t>plánovací aktivity (strategické dokumenty, projektové dokumentace)</w:t>
      </w:r>
    </w:p>
    <w:p w14:paraId="4CFF1B8E" w14:textId="77777777" w:rsidR="009B1634" w:rsidRDefault="009B1634" w:rsidP="009B1634">
      <w:pPr>
        <w:pStyle w:val="Odstavecseseznamem"/>
        <w:numPr>
          <w:ilvl w:val="0"/>
          <w:numId w:val="32"/>
        </w:numPr>
        <w:spacing w:after="160" w:line="276" w:lineRule="auto"/>
        <w:contextualSpacing/>
      </w:pPr>
      <w:r>
        <w:t>přírodu (lesy, přírodě blízká opatření zaměřená na ochranu biodiverzity)</w:t>
      </w:r>
    </w:p>
    <w:p w14:paraId="71D0E841" w14:textId="77777777" w:rsidR="009B1634" w:rsidRDefault="009B1634" w:rsidP="009B1634">
      <w:pPr>
        <w:pStyle w:val="Odstavecseseznamem"/>
        <w:numPr>
          <w:ilvl w:val="0"/>
          <w:numId w:val="32"/>
        </w:numPr>
        <w:spacing w:after="160" w:line="276" w:lineRule="auto"/>
        <w:contextualSpacing/>
        <w:rPr>
          <w:b/>
        </w:rPr>
      </w:pPr>
      <w:r>
        <w:t xml:space="preserve">pořízení vybavení do stávajících staveb, které není její nedílnou součástí, např. nákup výpočetní techniky, nákup nebo výměna strojů ve stávající výrobní hale. </w:t>
      </w:r>
      <w:r>
        <w:rPr>
          <w:b/>
          <w:u w:val="single"/>
        </w:rPr>
        <w:t xml:space="preserve">Za jako splňující definici infrastruktury je však nutné považovat zřízení nového provozu / celistvé rozšíření stávajícího provozu a renovace zejm. v sektorech zpracovatelského průmyslu, a dále obecně zdroje energie v sektorech zařazených na červeném seznamu. </w:t>
      </w:r>
    </w:p>
    <w:p w14:paraId="766B055D" w14:textId="77777777" w:rsidR="009B1634" w:rsidRDefault="009B1634" w:rsidP="009B1634">
      <w:pPr>
        <w:pStyle w:val="Odstavecseseznamem"/>
        <w:numPr>
          <w:ilvl w:val="0"/>
          <w:numId w:val="32"/>
        </w:numPr>
        <w:spacing w:after="160" w:line="276" w:lineRule="auto"/>
        <w:contextualSpacing/>
      </w:pPr>
      <w:r>
        <w:t>pořízení silničních vozidel (osobní a nákladní automobily)</w:t>
      </w:r>
    </w:p>
    <w:p w14:paraId="02B9B574" w14:textId="77777777" w:rsidR="009B1634" w:rsidRDefault="009B1634" w:rsidP="009B1634">
      <w:pPr>
        <w:pStyle w:val="Odstavecseseznamem"/>
        <w:numPr>
          <w:ilvl w:val="0"/>
          <w:numId w:val="32"/>
        </w:numPr>
        <w:spacing w:after="160" w:line="276" w:lineRule="auto"/>
        <w:contextualSpacing/>
      </w:pPr>
      <w:r>
        <w:t>sanaci kontaminovaných lokalit</w:t>
      </w:r>
    </w:p>
    <w:p w14:paraId="2972CF93" w14:textId="77777777" w:rsidR="009B1634" w:rsidRDefault="009B1634" w:rsidP="009B1634">
      <w:pPr>
        <w:pStyle w:val="Odstavecseseznamem"/>
        <w:numPr>
          <w:ilvl w:val="0"/>
          <w:numId w:val="32"/>
        </w:numPr>
        <w:spacing w:after="160" w:line="276" w:lineRule="auto"/>
        <w:contextualSpacing/>
      </w:pPr>
      <w:r>
        <w:lastRenderedPageBreak/>
        <w:t>výkupy pozemků bez konkrétního využití</w:t>
      </w:r>
    </w:p>
    <w:p w14:paraId="3492093B" w14:textId="77777777" w:rsidR="009B1634" w:rsidRDefault="009B1634" w:rsidP="009B1634">
      <w:pPr>
        <w:pStyle w:val="Odstavecseseznamem"/>
        <w:numPr>
          <w:ilvl w:val="0"/>
          <w:numId w:val="32"/>
        </w:numPr>
        <w:spacing w:after="160" w:line="276" w:lineRule="auto"/>
        <w:contextualSpacing/>
      </w:pPr>
      <w:r>
        <w:t>měřicí a hlásnou techniku (čidla, senzory apod.)</w:t>
      </w:r>
    </w:p>
    <w:p w14:paraId="6178EA35" w14:textId="77777777" w:rsidR="009B1634" w:rsidRDefault="009B1634" w:rsidP="009B1634">
      <w:pPr>
        <w:pStyle w:val="Odstavecseseznamem"/>
        <w:numPr>
          <w:ilvl w:val="0"/>
          <w:numId w:val="32"/>
        </w:numPr>
        <w:spacing w:after="160" w:line="276" w:lineRule="auto"/>
        <w:contextualSpacing/>
      </w:pPr>
      <w:r>
        <w:t>elektronické systémy a technologie (on-line aplikace, databáze, informační systémy apod.)</w:t>
      </w:r>
    </w:p>
    <w:p w14:paraId="76BDE1EC" w14:textId="77777777" w:rsidR="009B1634" w:rsidRDefault="009B1634" w:rsidP="009B1634">
      <w:pPr>
        <w:pStyle w:val="Odstavecseseznamem"/>
        <w:numPr>
          <w:ilvl w:val="0"/>
          <w:numId w:val="32"/>
        </w:numPr>
        <w:spacing w:after="160" w:line="276" w:lineRule="auto"/>
        <w:contextualSpacing/>
      </w:pPr>
      <w:r>
        <w:t>městský mobiliář (lavičky, odpadkové koše, kontejnery na odpad)</w:t>
      </w:r>
    </w:p>
    <w:p w14:paraId="6D90FF6F" w14:textId="77777777" w:rsidR="009B1634" w:rsidRDefault="009B1634" w:rsidP="009B1634">
      <w:pPr>
        <w:pStyle w:val="Odstavecseseznamem"/>
        <w:numPr>
          <w:ilvl w:val="0"/>
          <w:numId w:val="32"/>
        </w:numPr>
        <w:spacing w:after="160" w:line="276" w:lineRule="auto"/>
        <w:contextualSpacing/>
      </w:pPr>
      <w:r>
        <w:t>projekty technické pomoci programů</w:t>
      </w:r>
    </w:p>
    <w:p w14:paraId="6EA44A52" w14:textId="77777777" w:rsidR="009B1634" w:rsidRPr="00DC00E4" w:rsidRDefault="009B1634" w:rsidP="00AF460E">
      <w:pPr>
        <w:keepNext/>
        <w:spacing w:after="160"/>
        <w:contextualSpacing/>
        <w:rPr>
          <w:b/>
          <w:bCs/>
        </w:rPr>
      </w:pPr>
      <w:r w:rsidRPr="00DC00E4">
        <w:rPr>
          <w:b/>
          <w:bCs/>
        </w:rPr>
        <w:t xml:space="preserve">Obecná vodítka pro určení, zda se jedná o </w:t>
      </w:r>
      <w:r>
        <w:rPr>
          <w:b/>
          <w:bCs/>
        </w:rPr>
        <w:t xml:space="preserve">projekt splňující definici </w:t>
      </w:r>
      <w:r w:rsidRPr="00DC00E4">
        <w:rPr>
          <w:b/>
          <w:bCs/>
        </w:rPr>
        <w:t>infrastruktur</w:t>
      </w:r>
      <w:r>
        <w:rPr>
          <w:b/>
          <w:bCs/>
        </w:rPr>
        <w:t>y</w:t>
      </w:r>
    </w:p>
    <w:p w14:paraId="2FC41584" w14:textId="77777777" w:rsidR="009B1634" w:rsidRDefault="009B1634" w:rsidP="009B1634">
      <w:pPr>
        <w:keepNext/>
        <w:rPr>
          <w:u w:val="single"/>
        </w:rPr>
      </w:pPr>
      <w:r>
        <w:rPr>
          <w:u w:val="single"/>
        </w:rPr>
        <w:t>V případě projektů, které nezapadají do žádné z výše uvedených kategorií, se projekt z pohledu definice infrastruktury s životností nad 5 let posuzuje podle následujícího klíče:</w:t>
      </w:r>
    </w:p>
    <w:p w14:paraId="107A27D2" w14:textId="77777777" w:rsidR="009B1634" w:rsidRDefault="009B1634" w:rsidP="009B1634">
      <w:pPr>
        <w:pStyle w:val="Odstavecseseznamem"/>
        <w:numPr>
          <w:ilvl w:val="0"/>
          <w:numId w:val="33"/>
        </w:numPr>
        <w:spacing w:after="160" w:line="259" w:lineRule="auto"/>
        <w:contextualSpacing/>
      </w:pPr>
      <w:r>
        <w:t>jedná se fyzické aktivum / stavbu / konstrukci?</w:t>
      </w:r>
    </w:p>
    <w:p w14:paraId="395665FA" w14:textId="77777777" w:rsidR="009B1634" w:rsidRDefault="009B1634" w:rsidP="009B1634">
      <w:pPr>
        <w:pStyle w:val="Odstavecseseznamem"/>
        <w:numPr>
          <w:ilvl w:val="0"/>
          <w:numId w:val="33"/>
        </w:numPr>
        <w:spacing w:after="160" w:line="259" w:lineRule="auto"/>
        <w:contextualSpacing/>
      </w:pPr>
      <w:r>
        <w:t>odpovídá projektovaná životnost některé z kategorií uvedených v tabulce níže?</w:t>
      </w:r>
    </w:p>
    <w:tbl>
      <w:tblPr>
        <w:tblStyle w:val="Mkatabulky"/>
        <w:tblpPr w:leftFromText="141" w:rightFromText="141" w:vertAnchor="text" w:horzAnchor="margin" w:tblpY="202"/>
        <w:tblW w:w="924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13"/>
        <w:gridCol w:w="2630"/>
        <w:gridCol w:w="5201"/>
      </w:tblGrid>
      <w:tr w:rsidR="009B1634" w14:paraId="08C4C8A0" w14:textId="77777777" w:rsidTr="009B1BC4">
        <w:trPr>
          <w:trHeight w:val="454"/>
        </w:trPr>
        <w:tc>
          <w:tcPr>
            <w:tcW w:w="1413" w:type="dxa"/>
            <w:vAlign w:val="center"/>
          </w:tcPr>
          <w:p w14:paraId="4292F49F" w14:textId="77777777" w:rsidR="009B1634" w:rsidRDefault="009B1634" w:rsidP="009B1BC4">
            <w:pPr>
              <w:spacing w:after="0" w:line="240" w:lineRule="auto"/>
              <w:jc w:val="left"/>
              <w:rPr>
                <w:b/>
              </w:rPr>
            </w:pPr>
            <w:r>
              <w:rPr>
                <w:b/>
              </w:rPr>
              <w:t>Kategorie</w:t>
            </w:r>
          </w:p>
        </w:tc>
        <w:tc>
          <w:tcPr>
            <w:tcW w:w="2630" w:type="dxa"/>
            <w:vAlign w:val="center"/>
          </w:tcPr>
          <w:p w14:paraId="1ABF5892" w14:textId="77777777" w:rsidR="009B1634" w:rsidRDefault="009B1634" w:rsidP="009B1BC4">
            <w:pPr>
              <w:spacing w:after="0" w:line="240" w:lineRule="auto"/>
              <w:jc w:val="left"/>
              <w:rPr>
                <w:b/>
              </w:rPr>
            </w:pPr>
            <w:r>
              <w:rPr>
                <w:b/>
              </w:rPr>
              <w:t>Projektovaná životnost</w:t>
            </w:r>
          </w:p>
        </w:tc>
        <w:tc>
          <w:tcPr>
            <w:tcW w:w="5201" w:type="dxa"/>
            <w:vAlign w:val="center"/>
          </w:tcPr>
          <w:p w14:paraId="39B5A697" w14:textId="77777777" w:rsidR="009B1634" w:rsidRDefault="009B1634" w:rsidP="009B1BC4">
            <w:pPr>
              <w:spacing w:after="0" w:line="240" w:lineRule="auto"/>
              <w:jc w:val="left"/>
              <w:rPr>
                <w:b/>
              </w:rPr>
            </w:pPr>
            <w:r>
              <w:rPr>
                <w:b/>
              </w:rPr>
              <w:t>Příklady</w:t>
            </w:r>
          </w:p>
        </w:tc>
      </w:tr>
      <w:tr w:rsidR="009B1634" w14:paraId="0E5AFD0A" w14:textId="77777777" w:rsidTr="009B1BC4">
        <w:trPr>
          <w:trHeight w:val="454"/>
        </w:trPr>
        <w:tc>
          <w:tcPr>
            <w:tcW w:w="1413" w:type="dxa"/>
            <w:vAlign w:val="center"/>
          </w:tcPr>
          <w:p w14:paraId="00514678" w14:textId="77777777" w:rsidR="009B1634" w:rsidRDefault="009B1634" w:rsidP="009B1BC4">
            <w:pPr>
              <w:spacing w:after="0" w:line="240" w:lineRule="auto"/>
              <w:jc w:val="left"/>
            </w:pPr>
            <w:r>
              <w:t>1</w:t>
            </w:r>
          </w:p>
        </w:tc>
        <w:tc>
          <w:tcPr>
            <w:tcW w:w="2630" w:type="dxa"/>
            <w:vAlign w:val="center"/>
          </w:tcPr>
          <w:p w14:paraId="490920BE" w14:textId="77777777" w:rsidR="009B1634" w:rsidRDefault="009B1634" w:rsidP="009B1BC4">
            <w:pPr>
              <w:spacing w:after="0" w:line="240" w:lineRule="auto"/>
              <w:jc w:val="center"/>
            </w:pPr>
            <w:r>
              <w:t>10 let</w:t>
            </w:r>
          </w:p>
        </w:tc>
        <w:tc>
          <w:tcPr>
            <w:tcW w:w="5201" w:type="dxa"/>
            <w:vAlign w:val="center"/>
          </w:tcPr>
          <w:p w14:paraId="7E39E6DF" w14:textId="77777777" w:rsidR="009B1634" w:rsidRDefault="009B1634" w:rsidP="009B1BC4">
            <w:pPr>
              <w:spacing w:after="0" w:line="240" w:lineRule="auto"/>
              <w:jc w:val="left"/>
            </w:pPr>
            <w:r>
              <w:t>dočasné stavby a konstrukce</w:t>
            </w:r>
          </w:p>
        </w:tc>
      </w:tr>
      <w:tr w:rsidR="009B1634" w14:paraId="35E26DD3" w14:textId="77777777" w:rsidTr="009B1BC4">
        <w:trPr>
          <w:trHeight w:val="454"/>
        </w:trPr>
        <w:tc>
          <w:tcPr>
            <w:tcW w:w="1413" w:type="dxa"/>
            <w:vAlign w:val="center"/>
          </w:tcPr>
          <w:p w14:paraId="53AA1E35" w14:textId="77777777" w:rsidR="009B1634" w:rsidRDefault="009B1634" w:rsidP="009B1BC4">
            <w:pPr>
              <w:spacing w:after="0" w:line="240" w:lineRule="auto"/>
              <w:jc w:val="left"/>
            </w:pPr>
            <w:r>
              <w:t>2</w:t>
            </w:r>
          </w:p>
        </w:tc>
        <w:tc>
          <w:tcPr>
            <w:tcW w:w="2630" w:type="dxa"/>
            <w:vAlign w:val="center"/>
          </w:tcPr>
          <w:p w14:paraId="4055AC39" w14:textId="77777777" w:rsidR="009B1634" w:rsidRDefault="009B1634" w:rsidP="009B1BC4">
            <w:pPr>
              <w:spacing w:after="0" w:line="240" w:lineRule="auto"/>
              <w:jc w:val="center"/>
            </w:pPr>
            <w:r>
              <w:t>10 až 25 let</w:t>
            </w:r>
          </w:p>
        </w:tc>
        <w:tc>
          <w:tcPr>
            <w:tcW w:w="5201" w:type="dxa"/>
            <w:vAlign w:val="center"/>
          </w:tcPr>
          <w:p w14:paraId="31BCDFCC" w14:textId="77777777" w:rsidR="009B1634" w:rsidRDefault="009B1634" w:rsidP="009B1BC4">
            <w:pPr>
              <w:spacing w:after="0" w:line="240" w:lineRule="auto"/>
              <w:jc w:val="left"/>
            </w:pPr>
            <w:r>
              <w:t>vyměnitelné části stavby (nosné konstrukce apod.)</w:t>
            </w:r>
          </w:p>
        </w:tc>
      </w:tr>
      <w:tr w:rsidR="009B1634" w14:paraId="7548098C" w14:textId="77777777" w:rsidTr="009B1BC4">
        <w:trPr>
          <w:trHeight w:val="454"/>
        </w:trPr>
        <w:tc>
          <w:tcPr>
            <w:tcW w:w="1413" w:type="dxa"/>
            <w:vAlign w:val="center"/>
          </w:tcPr>
          <w:p w14:paraId="4A9C13E4" w14:textId="77777777" w:rsidR="009B1634" w:rsidRDefault="009B1634" w:rsidP="009B1BC4">
            <w:pPr>
              <w:spacing w:after="0" w:line="240" w:lineRule="auto"/>
              <w:jc w:val="left"/>
            </w:pPr>
            <w:r>
              <w:t>3</w:t>
            </w:r>
          </w:p>
        </w:tc>
        <w:tc>
          <w:tcPr>
            <w:tcW w:w="2630" w:type="dxa"/>
            <w:vAlign w:val="center"/>
          </w:tcPr>
          <w:p w14:paraId="60B3DC4E" w14:textId="77777777" w:rsidR="009B1634" w:rsidRDefault="009B1634" w:rsidP="009B1BC4">
            <w:pPr>
              <w:spacing w:after="0" w:line="240" w:lineRule="auto"/>
              <w:jc w:val="center"/>
            </w:pPr>
            <w:r>
              <w:t>15 až 30 let</w:t>
            </w:r>
          </w:p>
        </w:tc>
        <w:tc>
          <w:tcPr>
            <w:tcW w:w="5201" w:type="dxa"/>
            <w:vAlign w:val="center"/>
          </w:tcPr>
          <w:p w14:paraId="6F178B4D" w14:textId="77777777" w:rsidR="009B1634" w:rsidRDefault="009B1634" w:rsidP="009B1BC4">
            <w:pPr>
              <w:spacing w:after="0" w:line="240" w:lineRule="auto"/>
              <w:jc w:val="left"/>
            </w:pPr>
            <w:r>
              <w:t>zemědělské a obdobné stavby</w:t>
            </w:r>
          </w:p>
        </w:tc>
      </w:tr>
      <w:tr w:rsidR="009B1634" w14:paraId="5F5F8652" w14:textId="77777777" w:rsidTr="009B1BC4">
        <w:trPr>
          <w:trHeight w:val="454"/>
        </w:trPr>
        <w:tc>
          <w:tcPr>
            <w:tcW w:w="1413" w:type="dxa"/>
            <w:vAlign w:val="center"/>
          </w:tcPr>
          <w:p w14:paraId="67A3345F" w14:textId="77777777" w:rsidR="009B1634" w:rsidRDefault="009B1634" w:rsidP="009B1BC4">
            <w:pPr>
              <w:spacing w:after="0" w:line="240" w:lineRule="auto"/>
              <w:jc w:val="left"/>
            </w:pPr>
            <w:r>
              <w:t>4</w:t>
            </w:r>
          </w:p>
        </w:tc>
        <w:tc>
          <w:tcPr>
            <w:tcW w:w="2630" w:type="dxa"/>
            <w:vAlign w:val="center"/>
          </w:tcPr>
          <w:p w14:paraId="7B1D0BBB" w14:textId="77777777" w:rsidR="009B1634" w:rsidRDefault="009B1634" w:rsidP="009B1BC4">
            <w:pPr>
              <w:spacing w:after="0" w:line="240" w:lineRule="auto"/>
              <w:jc w:val="center"/>
            </w:pPr>
            <w:r>
              <w:t>50 let</w:t>
            </w:r>
          </w:p>
        </w:tc>
        <w:tc>
          <w:tcPr>
            <w:tcW w:w="5201" w:type="dxa"/>
            <w:vAlign w:val="center"/>
          </w:tcPr>
          <w:p w14:paraId="2458025E" w14:textId="77777777" w:rsidR="009B1634" w:rsidRDefault="009B1634" w:rsidP="009B1BC4">
            <w:pPr>
              <w:spacing w:after="0" w:line="240" w:lineRule="auto"/>
              <w:jc w:val="left"/>
            </w:pPr>
            <w:r>
              <w:t>budovy a další běžné stavby</w:t>
            </w:r>
          </w:p>
        </w:tc>
      </w:tr>
      <w:tr w:rsidR="009B1634" w14:paraId="1DE54D7B" w14:textId="77777777" w:rsidTr="009B1BC4">
        <w:trPr>
          <w:trHeight w:val="454"/>
        </w:trPr>
        <w:tc>
          <w:tcPr>
            <w:tcW w:w="1413" w:type="dxa"/>
            <w:vAlign w:val="center"/>
          </w:tcPr>
          <w:p w14:paraId="6EB0DE23" w14:textId="77777777" w:rsidR="009B1634" w:rsidRDefault="009B1634" w:rsidP="009B1BC4">
            <w:pPr>
              <w:spacing w:after="0" w:line="240" w:lineRule="auto"/>
              <w:jc w:val="left"/>
            </w:pPr>
            <w:r>
              <w:t>5</w:t>
            </w:r>
          </w:p>
        </w:tc>
        <w:tc>
          <w:tcPr>
            <w:tcW w:w="2630" w:type="dxa"/>
            <w:vAlign w:val="center"/>
          </w:tcPr>
          <w:p w14:paraId="1246E991" w14:textId="77777777" w:rsidR="009B1634" w:rsidRDefault="009B1634" w:rsidP="009B1BC4">
            <w:pPr>
              <w:spacing w:after="0" w:line="240" w:lineRule="auto"/>
              <w:jc w:val="center"/>
            </w:pPr>
            <w:r>
              <w:t>100 let</w:t>
            </w:r>
          </w:p>
        </w:tc>
        <w:tc>
          <w:tcPr>
            <w:tcW w:w="5201" w:type="dxa"/>
            <w:vAlign w:val="center"/>
          </w:tcPr>
          <w:p w14:paraId="457B151A" w14:textId="77777777" w:rsidR="009B1634" w:rsidRDefault="009B1634" w:rsidP="009B1BC4">
            <w:pPr>
              <w:spacing w:after="0" w:line="240" w:lineRule="auto"/>
              <w:jc w:val="left"/>
            </w:pPr>
            <w:r>
              <w:t>velké stavby, mosty a další stavební konstrukce</w:t>
            </w:r>
          </w:p>
        </w:tc>
      </w:tr>
    </w:tbl>
    <w:p w14:paraId="00DA22A8" w14:textId="77777777" w:rsidR="009B1634" w:rsidRDefault="009B1634" w:rsidP="009B1634">
      <w:pPr>
        <w:pStyle w:val="Odstavecseseznamem"/>
        <w:spacing w:line="240" w:lineRule="auto"/>
        <w:ind w:left="720"/>
      </w:pPr>
    </w:p>
    <w:p w14:paraId="4B7038A2" w14:textId="77777777" w:rsidR="009B1634" w:rsidRPr="004A76DE" w:rsidRDefault="009B1634" w:rsidP="009B1634">
      <w:r>
        <w:rPr>
          <w:b/>
        </w:rPr>
        <w:t xml:space="preserve">V případě splnění obou podmínek je nezbytné daný projekt považovat za splňující definici infrastruktury s životností nad 5 let. </w:t>
      </w:r>
      <w:r>
        <w:t>Případně analogií je možné přiřadit projekt k některé z přímo zmíněných kategorií infrastruktury.</w:t>
      </w:r>
    </w:p>
    <w:p w14:paraId="36E29602" w14:textId="23D2F2C6" w:rsidR="00337F25" w:rsidRPr="008C4504" w:rsidRDefault="00337F25" w:rsidP="00DB1A0B">
      <w:pPr>
        <w:pStyle w:val="Nadpis4"/>
      </w:pPr>
      <w:bookmarkStart w:id="80" w:name="_Zelený_seznam:_projekty"/>
      <w:bookmarkEnd w:id="80"/>
      <w:r w:rsidRPr="008C4504">
        <w:t xml:space="preserve">Zelený seznam: projekty nepodléhající </w:t>
      </w:r>
      <w:r w:rsidR="00503F9B">
        <w:t xml:space="preserve">podrobnému </w:t>
      </w:r>
      <w:r w:rsidRPr="008C4504">
        <w:t xml:space="preserve">posouzení dle metodiky </w:t>
      </w:r>
      <w:proofErr w:type="spellStart"/>
      <w:r w:rsidRPr="008C4504">
        <w:t>climate</w:t>
      </w:r>
      <w:proofErr w:type="spellEnd"/>
      <w:r w:rsidRPr="008C4504">
        <w:t xml:space="preserve"> </w:t>
      </w:r>
      <w:proofErr w:type="spellStart"/>
      <w:r w:rsidRPr="008C4504">
        <w:t>proofing</w:t>
      </w:r>
      <w:proofErr w:type="spellEnd"/>
      <w:r w:rsidRPr="008C4504">
        <w:t xml:space="preserve"> v oblasti </w:t>
      </w:r>
      <w:proofErr w:type="spellStart"/>
      <w:r w:rsidRPr="008C4504">
        <w:t>mitigace</w:t>
      </w:r>
      <w:proofErr w:type="spellEnd"/>
      <w:r w:rsidRPr="008C4504">
        <w:t xml:space="preserve"> (</w:t>
      </w:r>
      <w:r w:rsidR="00FC2100">
        <w:t>Fáze 1 – prověřování CPM</w:t>
      </w:r>
      <w:r w:rsidRPr="008C4504">
        <w:t>)</w:t>
      </w:r>
    </w:p>
    <w:p w14:paraId="6A052A0C" w14:textId="6BDE3603" w:rsidR="00C23F08" w:rsidRDefault="00337F25" w:rsidP="00337F25">
      <w:pPr>
        <w:contextualSpacing/>
        <w:rPr>
          <w:rFonts w:cs="Segoe UI"/>
          <w:b/>
          <w:bCs/>
        </w:rPr>
      </w:pPr>
      <w:r w:rsidRPr="006A45B6">
        <w:rPr>
          <w:rFonts w:cs="Segoe UI"/>
          <w:b/>
          <w:bCs/>
        </w:rPr>
        <w:t xml:space="preserve">Projekty, které nesplňují definici infrastruktury nad 5 let </w:t>
      </w:r>
      <w:r w:rsidR="00C23F08">
        <w:rPr>
          <w:rFonts w:cs="Segoe UI"/>
          <w:b/>
          <w:bCs/>
        </w:rPr>
        <w:t>nebo projekty splňující definici infrastruktury, ale</w:t>
      </w:r>
      <w:r w:rsidRPr="006A45B6">
        <w:rPr>
          <w:rFonts w:cs="Segoe UI"/>
          <w:b/>
          <w:bCs/>
        </w:rPr>
        <w:t xml:space="preserve"> nepřesahují 20 000 t</w:t>
      </w:r>
      <w:r w:rsidR="009D350D">
        <w:rPr>
          <w:rFonts w:cs="Segoe UI"/>
          <w:b/>
          <w:bCs/>
        </w:rPr>
        <w:t> </w:t>
      </w:r>
      <w:r w:rsidRPr="006A45B6">
        <w:rPr>
          <w:rFonts w:cs="Segoe UI"/>
          <w:b/>
          <w:bCs/>
        </w:rPr>
        <w:t>CO</w:t>
      </w:r>
      <w:r w:rsidRPr="006C1B48">
        <w:rPr>
          <w:rFonts w:cs="Segoe UI"/>
          <w:b/>
          <w:bCs/>
          <w:vertAlign w:val="subscript"/>
        </w:rPr>
        <w:t>2</w:t>
      </w:r>
      <w:r w:rsidR="009D350D">
        <w:rPr>
          <w:rFonts w:cs="Segoe UI"/>
          <w:b/>
          <w:bCs/>
          <w:vertAlign w:val="subscript"/>
        </w:rPr>
        <w:t xml:space="preserve"> </w:t>
      </w:r>
      <w:proofErr w:type="spellStart"/>
      <w:r w:rsidRPr="00267EA7">
        <w:rPr>
          <w:rFonts w:cs="Segoe UI"/>
          <w:b/>
          <w:bCs/>
        </w:rPr>
        <w:t>ekv</w:t>
      </w:r>
      <w:proofErr w:type="spellEnd"/>
      <w:r w:rsidRPr="006A45B6">
        <w:rPr>
          <w:rFonts w:cs="Segoe UI"/>
          <w:b/>
          <w:bCs/>
        </w:rPr>
        <w:t>./rok, stanoví podmínky DNSH v souladu se zásadou energetická účinnost v první řadě, a/nebo analogicky dle podmínek taxonomie</w:t>
      </w:r>
      <w:r w:rsidR="00C23F08">
        <w:rPr>
          <w:rFonts w:cs="Segoe UI"/>
          <w:b/>
          <w:bCs/>
        </w:rPr>
        <w:t xml:space="preserve"> (kap</w:t>
      </w:r>
      <w:hyperlink w:anchor="_Přizpůsobování_se_změně" w:history="1">
        <w:r w:rsidR="00C23F08" w:rsidRPr="002B3B40">
          <w:rPr>
            <w:rStyle w:val="Hypertextovodkaz"/>
            <w:rFonts w:cs="Segoe UI"/>
            <w:b/>
            <w:bCs/>
          </w:rPr>
          <w:t>. 4.1.6.1.1</w:t>
        </w:r>
      </w:hyperlink>
      <w:r w:rsidR="00C23F08">
        <w:rPr>
          <w:rFonts w:cs="Segoe UI"/>
          <w:b/>
          <w:bCs/>
        </w:rPr>
        <w:t>)</w:t>
      </w:r>
      <w:r w:rsidRPr="006A45B6">
        <w:rPr>
          <w:rFonts w:cs="Segoe UI"/>
          <w:b/>
          <w:bCs/>
        </w:rPr>
        <w:t>.</w:t>
      </w:r>
      <w:r>
        <w:rPr>
          <w:rFonts w:cs="Segoe UI"/>
          <w:b/>
          <w:bCs/>
        </w:rPr>
        <w:t xml:space="preserve"> </w:t>
      </w:r>
    </w:p>
    <w:p w14:paraId="078526F6" w14:textId="77777777" w:rsidR="00C23F08" w:rsidRDefault="00C23F08" w:rsidP="00337F25">
      <w:pPr>
        <w:contextualSpacing/>
        <w:rPr>
          <w:rFonts w:cs="Segoe UI"/>
          <w:b/>
          <w:bCs/>
        </w:rPr>
      </w:pPr>
    </w:p>
    <w:p w14:paraId="2DA19A87" w14:textId="3146510A" w:rsidR="00337F25" w:rsidRDefault="00C23F08" w:rsidP="00337F25">
      <w:pPr>
        <w:contextualSpacing/>
        <w:rPr>
          <w:rFonts w:cs="Segoe UI"/>
          <w:b/>
          <w:bCs/>
        </w:rPr>
      </w:pPr>
      <w:r>
        <w:rPr>
          <w:rFonts w:cs="Segoe UI"/>
          <w:b/>
          <w:bCs/>
        </w:rPr>
        <w:t xml:space="preserve">CPM v případě projektů naplňujících definici infrastruktury </w:t>
      </w:r>
      <w:r w:rsidR="00337F25">
        <w:rPr>
          <w:rFonts w:cs="Segoe UI"/>
          <w:b/>
          <w:bCs/>
        </w:rPr>
        <w:t>je možné implementovat:</w:t>
      </w:r>
    </w:p>
    <w:p w14:paraId="2BB1F1AE" w14:textId="640BE011" w:rsidR="00337F25" w:rsidRDefault="00337F25" w:rsidP="00337F25">
      <w:pPr>
        <w:pStyle w:val="Odstavecseseznamem"/>
        <w:numPr>
          <w:ilvl w:val="0"/>
          <w:numId w:val="40"/>
        </w:numPr>
      </w:pPr>
      <w:r>
        <w:rPr>
          <w:b/>
        </w:rPr>
        <w:t xml:space="preserve">na úrovni specifického cíle nebo výzvy </w:t>
      </w:r>
      <w:r>
        <w:t xml:space="preserve">– v případě, že specifický cíl nebo opatření cílená danou výzvou jsou dostatečně homogenní skupinou projektů a v zásadě je vyloučená podpora projektů přesahujících prahovou hranicí emisí/rok (např. výzva na podporu výstavby vodovodů). V tomto případě je však </w:t>
      </w:r>
      <w:r w:rsidR="007F68AD">
        <w:t>administrátor zdrojů EU</w:t>
      </w:r>
      <w:r>
        <w:t xml:space="preserve"> povinen zpracovat dokumentaci klimatického prověření fáze 1 (posouzení, zda se jedná o </w:t>
      </w:r>
      <w:r>
        <w:lastRenderedPageBreak/>
        <w:t xml:space="preserve">infrastrukturu nad 5 let přesahující prahové emise/rok) s argumentací, proč je zřejmé, že podpořené projekty nemohou spadat </w:t>
      </w:r>
      <w:r w:rsidR="00CE6243">
        <w:t xml:space="preserve">pod </w:t>
      </w:r>
      <w:r>
        <w:t>fázi 2 (detailní analýza).</w:t>
      </w:r>
    </w:p>
    <w:p w14:paraId="6491625F" w14:textId="4C9C6813" w:rsidR="00337F25" w:rsidRDefault="00337F25" w:rsidP="00337F25">
      <w:pPr>
        <w:pStyle w:val="Odstavecseseznamem"/>
        <w:keepNext/>
        <w:ind w:left="720"/>
      </w:pPr>
      <w:r>
        <w:t xml:space="preserve">V praxi to znamená, že výzva může obsahovat pouze projekty, které spadají výlučně do zeleného seznamu nebo </w:t>
      </w:r>
      <w:r w:rsidR="007F68AD">
        <w:t xml:space="preserve">administrátor zdrojů EU </w:t>
      </w:r>
      <w:r>
        <w:t>provede vyhodnocení CP na podporovaných projektech a prokáže, že projekty nemohou z podstaty své velikosti do fáze 2 postoupit (tzn., nepřesáhnou mez 20 000 t</w:t>
      </w:r>
      <w:r w:rsidR="009D350D">
        <w:t> </w:t>
      </w:r>
      <w:r>
        <w:t>CO</w:t>
      </w:r>
      <w:r w:rsidRPr="00267EA7">
        <w:rPr>
          <w:vertAlign w:val="subscript"/>
        </w:rPr>
        <w:t>2</w:t>
      </w:r>
      <w:r w:rsidR="009D350D" w:rsidRPr="006C1B48">
        <w:t xml:space="preserve"> </w:t>
      </w:r>
      <w:proofErr w:type="spellStart"/>
      <w:r w:rsidRPr="00267EA7">
        <w:t>ekv</w:t>
      </w:r>
      <w:proofErr w:type="spellEnd"/>
      <w:r>
        <w:t>./rok).</w:t>
      </w:r>
    </w:p>
    <w:p w14:paraId="3877BF43" w14:textId="3C12E79D" w:rsidR="00337F25" w:rsidRPr="00344C4F" w:rsidRDefault="00337F25" w:rsidP="00337F25">
      <w:pPr>
        <w:pStyle w:val="Odstavecseseznamem"/>
        <w:numPr>
          <w:ilvl w:val="0"/>
          <w:numId w:val="40"/>
        </w:numPr>
      </w:pPr>
      <w:r>
        <w:rPr>
          <w:b/>
        </w:rPr>
        <w:t>na úroveň jednotlivých projektů</w:t>
      </w:r>
      <w:r>
        <w:t xml:space="preserve"> </w:t>
      </w:r>
      <w:r>
        <w:rPr>
          <w:b/>
        </w:rPr>
        <w:t>/ žadatele</w:t>
      </w:r>
      <w:r>
        <w:t xml:space="preserve"> – je nezbytné fázi 1 CPM přenést v případě, kdy nelze žádným způsobem vyloučit případnou podporu projektů z červeného seznamu, nebo projektů nezařazených, či projektů, které mohou přesáhnout mez 20 000 t</w:t>
      </w:r>
      <w:r w:rsidR="00267EA7">
        <w:t xml:space="preserve"> </w:t>
      </w:r>
      <w:r>
        <w:t>CO</w:t>
      </w:r>
      <w:r>
        <w:rPr>
          <w:vertAlign w:val="subscript"/>
        </w:rPr>
        <w:t>2</w:t>
      </w:r>
      <w:r w:rsidR="00A7250D">
        <w:rPr>
          <w:vertAlign w:val="subscript"/>
        </w:rPr>
        <w:t xml:space="preserve"> </w:t>
      </w:r>
      <w:proofErr w:type="spellStart"/>
      <w:r>
        <w:t>ekv</w:t>
      </w:r>
      <w:proofErr w:type="spellEnd"/>
      <w:r>
        <w:t>./rok.</w:t>
      </w:r>
    </w:p>
    <w:p w14:paraId="64F144A1" w14:textId="77777777" w:rsidR="00337F25" w:rsidRPr="00CE58E6" w:rsidRDefault="00337F25" w:rsidP="00337F25">
      <w:pPr>
        <w:contextualSpacing/>
        <w:rPr>
          <w:rFonts w:cs="Segoe UI"/>
        </w:rPr>
      </w:pPr>
    </w:p>
    <w:p w14:paraId="16E2C5C8" w14:textId="531683EE" w:rsidR="00337F25" w:rsidRPr="00CE58E6" w:rsidRDefault="00337F25" w:rsidP="00337F25">
      <w:pPr>
        <w:keepNext/>
        <w:rPr>
          <w:rFonts w:cs="Segoe UI"/>
        </w:rPr>
      </w:pPr>
      <w:r w:rsidRPr="00CE58E6">
        <w:rPr>
          <w:rFonts w:cs="Segoe UI"/>
        </w:rPr>
        <w:t>Orientační výčet typů projektů, které se pro účely těchto vodítek obecně samostatně nepovažují za infrastrukturu s životností alespoň pět let a nepřekračují prahovou hodnotu 20</w:t>
      </w:r>
      <w:r w:rsidR="00267EA7">
        <w:rPr>
          <w:rFonts w:cs="Segoe UI"/>
        </w:rPr>
        <w:t> </w:t>
      </w:r>
      <w:r w:rsidRPr="00CE58E6">
        <w:rPr>
          <w:rFonts w:cs="Segoe UI"/>
        </w:rPr>
        <w:t>000 t</w:t>
      </w:r>
      <w:r w:rsidR="00267EA7">
        <w:rPr>
          <w:rFonts w:cs="Segoe UI"/>
        </w:rPr>
        <w:t xml:space="preserve"> </w:t>
      </w:r>
      <w:r w:rsidRPr="00CE58E6">
        <w:rPr>
          <w:rFonts w:cs="Segoe UI"/>
        </w:rPr>
        <w:t>CO</w:t>
      </w:r>
      <w:r w:rsidRPr="006C1B48">
        <w:rPr>
          <w:rFonts w:cs="Segoe UI"/>
          <w:vertAlign w:val="subscript"/>
        </w:rPr>
        <w:t>2</w:t>
      </w:r>
      <w:r w:rsidR="00267EA7">
        <w:rPr>
          <w:rFonts w:cs="Segoe UI"/>
        </w:rPr>
        <w:t xml:space="preserve"> </w:t>
      </w:r>
      <w:proofErr w:type="spellStart"/>
      <w:r w:rsidRPr="00CE58E6">
        <w:rPr>
          <w:rFonts w:cs="Segoe UI"/>
        </w:rPr>
        <w:t>ekv</w:t>
      </w:r>
      <w:proofErr w:type="spellEnd"/>
      <w:r w:rsidRPr="00CE58E6">
        <w:rPr>
          <w:rFonts w:cs="Segoe UI"/>
        </w:rPr>
        <w:t xml:space="preserve">./rok. Nejedná se uzavřený výčet, z podstaty věci není možné postihnout všechny typy projektů, které se mohou v rámci podpory z fondů EU objevit. </w:t>
      </w:r>
    </w:p>
    <w:tbl>
      <w:tblPr>
        <w:tblStyle w:val="Mkatabulky"/>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2"/>
        <w:gridCol w:w="5500"/>
        <w:gridCol w:w="1610"/>
        <w:gridCol w:w="1610"/>
      </w:tblGrid>
      <w:tr w:rsidR="00337F25" w14:paraId="3146E89B" w14:textId="77777777" w:rsidTr="009B1BC4">
        <w:trPr>
          <w:trHeight w:val="567"/>
        </w:trPr>
        <w:tc>
          <w:tcPr>
            <w:tcW w:w="9042" w:type="dxa"/>
            <w:gridSpan w:val="4"/>
            <w:shd w:val="clear" w:color="auto" w:fill="A8D08D" w:themeFill="accent6" w:themeFillTint="99"/>
            <w:vAlign w:val="center"/>
          </w:tcPr>
          <w:p w14:paraId="14CA55B6" w14:textId="77777777" w:rsidR="00337F25" w:rsidRDefault="00337F25" w:rsidP="009B1BC4">
            <w:pPr>
              <w:spacing w:after="0" w:line="240" w:lineRule="auto"/>
              <w:jc w:val="left"/>
              <w:rPr>
                <w:b/>
                <w:bCs/>
              </w:rPr>
            </w:pPr>
            <w:r>
              <w:rPr>
                <w:b/>
                <w:bCs/>
              </w:rPr>
              <w:t>Zelený seznam</w:t>
            </w:r>
          </w:p>
        </w:tc>
      </w:tr>
      <w:tr w:rsidR="00337F25" w14:paraId="5B5CD67C" w14:textId="77777777" w:rsidTr="009B1BC4">
        <w:tc>
          <w:tcPr>
            <w:tcW w:w="9042" w:type="dxa"/>
            <w:gridSpan w:val="4"/>
          </w:tcPr>
          <w:p w14:paraId="085652B6" w14:textId="77777777" w:rsidR="00337F25" w:rsidRDefault="00337F25" w:rsidP="009B1BC4">
            <w:pPr>
              <w:spacing w:line="240" w:lineRule="auto"/>
            </w:pPr>
            <w:r>
              <w:t xml:space="preserve">U těchto kategorií projektů se posouzení uhlíkové stopy v závislosti na velikosti projektu obecně NEVYŽADUJE. </w:t>
            </w:r>
          </w:p>
          <w:p w14:paraId="72AFBFC5" w14:textId="77777777" w:rsidR="00337F25" w:rsidRDefault="00337F25" w:rsidP="009B1BC4">
            <w:pPr>
              <w:spacing w:line="240" w:lineRule="auto"/>
            </w:pPr>
            <w:r>
              <w:t>Proces prověřování z hlediska klimatického dopadu týkající se zmírňování klimatické změny končí ve fází 1 (prověřování) a pro projekty se uplatní DNSH cíl zmírňování změny klimatu (</w:t>
            </w:r>
            <w:proofErr w:type="spellStart"/>
            <w:r>
              <w:t>mitigace</w:t>
            </w:r>
            <w:proofErr w:type="spellEnd"/>
            <w:r>
              <w:t>).</w:t>
            </w:r>
          </w:p>
        </w:tc>
      </w:tr>
      <w:tr w:rsidR="00337F25" w14:paraId="3DF4A4B3" w14:textId="77777777" w:rsidTr="009B1BC4">
        <w:trPr>
          <w:trHeight w:val="669"/>
        </w:trPr>
        <w:tc>
          <w:tcPr>
            <w:tcW w:w="5822" w:type="dxa"/>
            <w:gridSpan w:val="2"/>
          </w:tcPr>
          <w:p w14:paraId="139D3EDF" w14:textId="77777777" w:rsidR="00337F25" w:rsidRDefault="00337F25" w:rsidP="009B1BC4">
            <w:pPr>
              <w:spacing w:line="240" w:lineRule="auto"/>
            </w:pPr>
          </w:p>
        </w:tc>
        <w:tc>
          <w:tcPr>
            <w:tcW w:w="1610" w:type="dxa"/>
          </w:tcPr>
          <w:p w14:paraId="1281B31A" w14:textId="77777777" w:rsidR="00337F25" w:rsidRDefault="00337F25" w:rsidP="009B1BC4">
            <w:pPr>
              <w:spacing w:line="240" w:lineRule="auto"/>
            </w:pPr>
            <w:r>
              <w:t>Kódy souvisejících ekonomických aktivit dle delegovaného aktu taxonomie (</w:t>
            </w:r>
            <w:r w:rsidRPr="008B720E">
              <w:t>2021/2139</w:t>
            </w:r>
            <w:r>
              <w:t>)</w:t>
            </w:r>
          </w:p>
        </w:tc>
        <w:tc>
          <w:tcPr>
            <w:tcW w:w="1610" w:type="dxa"/>
          </w:tcPr>
          <w:p w14:paraId="14C0A7DE" w14:textId="77777777" w:rsidR="00337F25" w:rsidRDefault="00337F25" w:rsidP="009B1BC4">
            <w:pPr>
              <w:spacing w:line="240" w:lineRule="auto"/>
            </w:pPr>
            <w:r>
              <w:t>Kódy souvisejících ekonomických aktivit dle delegovaného aktu taxonomie (</w:t>
            </w:r>
            <w:r w:rsidRPr="008B720E">
              <w:t>2023/2486</w:t>
            </w:r>
            <w:r>
              <w:t>)</w:t>
            </w:r>
          </w:p>
        </w:tc>
      </w:tr>
      <w:tr w:rsidR="00337F25" w14:paraId="2D55AA51" w14:textId="77777777" w:rsidTr="009B1BC4">
        <w:tc>
          <w:tcPr>
            <w:tcW w:w="322" w:type="dxa"/>
            <w:vMerge w:val="restart"/>
            <w:shd w:val="clear" w:color="auto" w:fill="A8D08D" w:themeFill="accent6" w:themeFillTint="99"/>
          </w:tcPr>
          <w:p w14:paraId="6D5F3194" w14:textId="77777777" w:rsidR="00337F25" w:rsidRDefault="00337F25" w:rsidP="009B1BC4"/>
        </w:tc>
        <w:tc>
          <w:tcPr>
            <w:tcW w:w="5500" w:type="dxa"/>
          </w:tcPr>
          <w:p w14:paraId="77FDF0B3" w14:textId="77777777" w:rsidR="00337F25" w:rsidRDefault="00337F25" w:rsidP="009B1BC4">
            <w:pPr>
              <w:spacing w:line="240" w:lineRule="auto"/>
            </w:pPr>
            <w:r>
              <w:t>Telekomunikační služby, výstavba sítí vysokorychlostního internetu a ostatních telekomunikačních sítí</w:t>
            </w:r>
          </w:p>
        </w:tc>
        <w:tc>
          <w:tcPr>
            <w:tcW w:w="1610" w:type="dxa"/>
          </w:tcPr>
          <w:p w14:paraId="6407FFA2" w14:textId="77777777" w:rsidR="00337F25" w:rsidRDefault="00337F25" w:rsidP="009B1BC4">
            <w:pPr>
              <w:spacing w:line="240" w:lineRule="auto"/>
            </w:pPr>
            <w:r>
              <w:t>8.1</w:t>
            </w:r>
          </w:p>
        </w:tc>
        <w:tc>
          <w:tcPr>
            <w:tcW w:w="1610" w:type="dxa"/>
          </w:tcPr>
          <w:p w14:paraId="21E6C664" w14:textId="77777777" w:rsidR="00337F25" w:rsidRDefault="00337F25" w:rsidP="009B1BC4">
            <w:pPr>
              <w:spacing w:line="240" w:lineRule="auto"/>
            </w:pPr>
            <w:r>
              <w:t>4.1</w:t>
            </w:r>
          </w:p>
        </w:tc>
      </w:tr>
      <w:tr w:rsidR="00337F25" w14:paraId="003BFA3F" w14:textId="77777777" w:rsidTr="009B1BC4">
        <w:tc>
          <w:tcPr>
            <w:tcW w:w="322" w:type="dxa"/>
            <w:vMerge/>
            <w:shd w:val="clear" w:color="auto" w:fill="A8D08D" w:themeFill="accent6" w:themeFillTint="99"/>
          </w:tcPr>
          <w:p w14:paraId="4A73C3E9" w14:textId="77777777" w:rsidR="00337F25" w:rsidRDefault="00337F25" w:rsidP="009B1BC4"/>
        </w:tc>
        <w:tc>
          <w:tcPr>
            <w:tcW w:w="5500" w:type="dxa"/>
          </w:tcPr>
          <w:p w14:paraId="562F9D5B" w14:textId="77777777" w:rsidR="00337F25" w:rsidRDefault="00337F25" w:rsidP="009B1BC4">
            <w:r>
              <w:t>Datová centra</w:t>
            </w:r>
          </w:p>
        </w:tc>
        <w:tc>
          <w:tcPr>
            <w:tcW w:w="1610" w:type="dxa"/>
          </w:tcPr>
          <w:p w14:paraId="7BB4927B" w14:textId="77777777" w:rsidR="00337F25" w:rsidRDefault="00337F25" w:rsidP="009B1BC4">
            <w:r>
              <w:t>8.1</w:t>
            </w:r>
          </w:p>
        </w:tc>
        <w:tc>
          <w:tcPr>
            <w:tcW w:w="1610" w:type="dxa"/>
          </w:tcPr>
          <w:p w14:paraId="59648480" w14:textId="77777777" w:rsidR="00337F25" w:rsidRDefault="00337F25" w:rsidP="009B1BC4">
            <w:r>
              <w:t>4.1</w:t>
            </w:r>
          </w:p>
        </w:tc>
      </w:tr>
      <w:tr w:rsidR="00337F25" w14:paraId="6A65ACAB" w14:textId="77777777" w:rsidTr="009B1BC4">
        <w:tc>
          <w:tcPr>
            <w:tcW w:w="322" w:type="dxa"/>
            <w:vMerge/>
            <w:shd w:val="clear" w:color="auto" w:fill="A8D08D" w:themeFill="accent6" w:themeFillTint="99"/>
          </w:tcPr>
          <w:p w14:paraId="17FBEAE7" w14:textId="77777777" w:rsidR="00337F25" w:rsidRDefault="00337F25" w:rsidP="009B1BC4"/>
        </w:tc>
        <w:tc>
          <w:tcPr>
            <w:tcW w:w="5500" w:type="dxa"/>
          </w:tcPr>
          <w:p w14:paraId="366F533F" w14:textId="77777777" w:rsidR="00337F25" w:rsidRDefault="00337F25" w:rsidP="009B1BC4">
            <w:r>
              <w:t>Vodovodní sítě na pitnou vodu</w:t>
            </w:r>
          </w:p>
        </w:tc>
        <w:tc>
          <w:tcPr>
            <w:tcW w:w="1610" w:type="dxa"/>
          </w:tcPr>
          <w:p w14:paraId="67D969FD" w14:textId="77777777" w:rsidR="00337F25" w:rsidRDefault="00337F25" w:rsidP="009B1BC4">
            <w:r>
              <w:t>5.1, 5.2</w:t>
            </w:r>
          </w:p>
        </w:tc>
        <w:tc>
          <w:tcPr>
            <w:tcW w:w="1610" w:type="dxa"/>
          </w:tcPr>
          <w:p w14:paraId="1AC3F39E" w14:textId="77777777" w:rsidR="00337F25" w:rsidRDefault="00337F25" w:rsidP="009B1BC4">
            <w:r>
              <w:t>2.1</w:t>
            </w:r>
          </w:p>
        </w:tc>
      </w:tr>
      <w:tr w:rsidR="00337F25" w14:paraId="18919965" w14:textId="77777777" w:rsidTr="009B1BC4">
        <w:tc>
          <w:tcPr>
            <w:tcW w:w="322" w:type="dxa"/>
            <w:vMerge/>
            <w:shd w:val="clear" w:color="auto" w:fill="A8D08D" w:themeFill="accent6" w:themeFillTint="99"/>
          </w:tcPr>
          <w:p w14:paraId="599E05C5" w14:textId="77777777" w:rsidR="00337F25" w:rsidRDefault="00337F25" w:rsidP="009B1BC4"/>
        </w:tc>
        <w:tc>
          <w:tcPr>
            <w:tcW w:w="5500" w:type="dxa"/>
          </w:tcPr>
          <w:p w14:paraId="1E5034C1" w14:textId="77777777" w:rsidR="00337F25" w:rsidRDefault="00337F25" w:rsidP="009B1BC4">
            <w:r>
              <w:t>Sítě dešťové a splaškové kanalizace</w:t>
            </w:r>
          </w:p>
        </w:tc>
        <w:tc>
          <w:tcPr>
            <w:tcW w:w="1610" w:type="dxa"/>
          </w:tcPr>
          <w:p w14:paraId="06048FF5" w14:textId="77777777" w:rsidR="00337F25" w:rsidRDefault="00337F25" w:rsidP="009B1BC4">
            <w:r>
              <w:t>5.3, 5.4</w:t>
            </w:r>
          </w:p>
        </w:tc>
        <w:tc>
          <w:tcPr>
            <w:tcW w:w="1610" w:type="dxa"/>
          </w:tcPr>
          <w:p w14:paraId="7813542F" w14:textId="77777777" w:rsidR="00337F25" w:rsidRDefault="00337F25" w:rsidP="009B1BC4">
            <w:r>
              <w:t>2.3</w:t>
            </w:r>
          </w:p>
        </w:tc>
      </w:tr>
      <w:tr w:rsidR="00337F25" w14:paraId="25C6B4D8" w14:textId="77777777" w:rsidTr="009B1BC4">
        <w:tc>
          <w:tcPr>
            <w:tcW w:w="322" w:type="dxa"/>
            <w:vMerge/>
            <w:shd w:val="clear" w:color="auto" w:fill="A8D08D" w:themeFill="accent6" w:themeFillTint="99"/>
          </w:tcPr>
          <w:p w14:paraId="24B67728" w14:textId="77777777" w:rsidR="00337F25" w:rsidRDefault="00337F25" w:rsidP="009B1BC4"/>
        </w:tc>
        <w:tc>
          <w:tcPr>
            <w:tcW w:w="5500" w:type="dxa"/>
            <w:vAlign w:val="center"/>
          </w:tcPr>
          <w:p w14:paraId="07060D9B" w14:textId="77777777" w:rsidR="00337F25" w:rsidRDefault="00337F25" w:rsidP="009B1BC4">
            <w:pPr>
              <w:jc w:val="left"/>
            </w:pPr>
            <w:r>
              <w:t>Čistírny průmyslových odpadních vod malého rozsahu a čistírny komunálních odpadních vod</w:t>
            </w:r>
          </w:p>
        </w:tc>
        <w:tc>
          <w:tcPr>
            <w:tcW w:w="1610" w:type="dxa"/>
          </w:tcPr>
          <w:p w14:paraId="0E449F25" w14:textId="77777777" w:rsidR="00337F25" w:rsidRDefault="00337F25" w:rsidP="009B1BC4">
            <w:pPr>
              <w:jc w:val="left"/>
            </w:pPr>
            <w:r>
              <w:t>5.3, 5.4, 5.6</w:t>
            </w:r>
          </w:p>
        </w:tc>
        <w:tc>
          <w:tcPr>
            <w:tcW w:w="1610" w:type="dxa"/>
          </w:tcPr>
          <w:p w14:paraId="799A0BE1" w14:textId="77777777" w:rsidR="00337F25" w:rsidRDefault="00337F25" w:rsidP="009B1BC4">
            <w:pPr>
              <w:jc w:val="left"/>
            </w:pPr>
          </w:p>
        </w:tc>
      </w:tr>
      <w:tr w:rsidR="00337F25" w14:paraId="68EBD41B" w14:textId="77777777" w:rsidTr="009B1BC4">
        <w:tc>
          <w:tcPr>
            <w:tcW w:w="322" w:type="dxa"/>
            <w:vMerge/>
            <w:shd w:val="clear" w:color="auto" w:fill="A8D08D" w:themeFill="accent6" w:themeFillTint="99"/>
          </w:tcPr>
          <w:p w14:paraId="531490EB" w14:textId="77777777" w:rsidR="00337F25" w:rsidRDefault="00337F25" w:rsidP="009B1BC4"/>
        </w:tc>
        <w:tc>
          <w:tcPr>
            <w:tcW w:w="5500" w:type="dxa"/>
          </w:tcPr>
          <w:p w14:paraId="57086807" w14:textId="77777777" w:rsidR="00337F25" w:rsidRDefault="00337F25" w:rsidP="009B1BC4">
            <w:r>
              <w:t>Výstavba nemovitostí a renovace nemovitostí</w:t>
            </w:r>
            <w:r>
              <w:rPr>
                <w:rStyle w:val="Znakapoznpodarou"/>
              </w:rPr>
              <w:footnoteReference w:id="41"/>
            </w:r>
            <w:r>
              <w:t xml:space="preserve"> (i v případě opatření, jichž jsou takové činnosti součástí) – </w:t>
            </w:r>
            <w:r>
              <w:rPr>
                <w:u w:val="single"/>
              </w:rPr>
              <w:t>kromě nemovitostí spadajících do vymezených sektorů v červeném seznamu</w:t>
            </w:r>
          </w:p>
        </w:tc>
        <w:tc>
          <w:tcPr>
            <w:tcW w:w="1610" w:type="dxa"/>
          </w:tcPr>
          <w:p w14:paraId="788BBA84" w14:textId="77777777" w:rsidR="00337F25" w:rsidRDefault="00337F25" w:rsidP="009B1BC4">
            <w:r>
              <w:t>7.1, 7.2, 7.5, 7.7, 9.3</w:t>
            </w:r>
          </w:p>
        </w:tc>
        <w:tc>
          <w:tcPr>
            <w:tcW w:w="1610" w:type="dxa"/>
          </w:tcPr>
          <w:p w14:paraId="237F6253" w14:textId="77777777" w:rsidR="00337F25" w:rsidRDefault="00337F25" w:rsidP="009B1BC4"/>
        </w:tc>
      </w:tr>
      <w:tr w:rsidR="00337F25" w14:paraId="3B2126FD" w14:textId="77777777" w:rsidTr="009B1BC4">
        <w:tc>
          <w:tcPr>
            <w:tcW w:w="322" w:type="dxa"/>
            <w:vMerge/>
            <w:shd w:val="clear" w:color="auto" w:fill="A8D08D" w:themeFill="accent6" w:themeFillTint="99"/>
          </w:tcPr>
          <w:p w14:paraId="3A34F45D" w14:textId="77777777" w:rsidR="00337F25" w:rsidRDefault="00337F25" w:rsidP="009B1BC4"/>
        </w:tc>
        <w:tc>
          <w:tcPr>
            <w:tcW w:w="5500" w:type="dxa"/>
          </w:tcPr>
          <w:p w14:paraId="1C8F647C" w14:textId="77777777" w:rsidR="00337F25" w:rsidRDefault="00337F25" w:rsidP="009B1BC4">
            <w:r>
              <w:t>Zařízení pro mechanické nebo biologické zpracování odpadu</w:t>
            </w:r>
          </w:p>
        </w:tc>
        <w:tc>
          <w:tcPr>
            <w:tcW w:w="1610" w:type="dxa"/>
          </w:tcPr>
          <w:p w14:paraId="440EB493" w14:textId="77777777" w:rsidR="00337F25" w:rsidRDefault="00337F25" w:rsidP="009B1BC4">
            <w:r>
              <w:t>5.5, 5.8, 5.9</w:t>
            </w:r>
          </w:p>
        </w:tc>
        <w:tc>
          <w:tcPr>
            <w:tcW w:w="1610" w:type="dxa"/>
          </w:tcPr>
          <w:p w14:paraId="033248D8" w14:textId="77777777" w:rsidR="00337F25" w:rsidRDefault="00337F25" w:rsidP="009B1BC4"/>
        </w:tc>
      </w:tr>
      <w:tr w:rsidR="00337F25" w14:paraId="410ED943" w14:textId="77777777" w:rsidTr="009B1BC4">
        <w:tc>
          <w:tcPr>
            <w:tcW w:w="322" w:type="dxa"/>
            <w:vMerge/>
            <w:shd w:val="clear" w:color="auto" w:fill="A8D08D" w:themeFill="accent6" w:themeFillTint="99"/>
          </w:tcPr>
          <w:p w14:paraId="01E18B50" w14:textId="77777777" w:rsidR="00337F25" w:rsidRDefault="00337F25" w:rsidP="009B1BC4"/>
        </w:tc>
        <w:tc>
          <w:tcPr>
            <w:tcW w:w="5500" w:type="dxa"/>
          </w:tcPr>
          <w:p w14:paraId="44AA268C" w14:textId="77777777" w:rsidR="00337F25" w:rsidRDefault="00337F25" w:rsidP="009B1BC4">
            <w:r>
              <w:t>Činnosti v oblasti výzkumu a vývoje včetně hmotné infrastruktury</w:t>
            </w:r>
          </w:p>
        </w:tc>
        <w:tc>
          <w:tcPr>
            <w:tcW w:w="1610" w:type="dxa"/>
          </w:tcPr>
          <w:p w14:paraId="4E95A253" w14:textId="77777777" w:rsidR="00337F25" w:rsidRDefault="00337F25" w:rsidP="009B1BC4">
            <w:r>
              <w:t>9.1</w:t>
            </w:r>
          </w:p>
        </w:tc>
        <w:tc>
          <w:tcPr>
            <w:tcW w:w="1610" w:type="dxa"/>
          </w:tcPr>
          <w:p w14:paraId="5D813659" w14:textId="77777777" w:rsidR="00337F25" w:rsidRDefault="00337F25" w:rsidP="009B1BC4"/>
        </w:tc>
      </w:tr>
      <w:tr w:rsidR="00337F25" w14:paraId="0EC63BC9" w14:textId="77777777" w:rsidTr="009B1BC4">
        <w:tc>
          <w:tcPr>
            <w:tcW w:w="322" w:type="dxa"/>
            <w:vMerge/>
            <w:shd w:val="clear" w:color="auto" w:fill="A8D08D" w:themeFill="accent6" w:themeFillTint="99"/>
          </w:tcPr>
          <w:p w14:paraId="71B1AC83" w14:textId="77777777" w:rsidR="00337F25" w:rsidRDefault="00337F25" w:rsidP="009B1BC4"/>
        </w:tc>
        <w:tc>
          <w:tcPr>
            <w:tcW w:w="5500" w:type="dxa"/>
          </w:tcPr>
          <w:p w14:paraId="4834213D" w14:textId="77777777" w:rsidR="00337F25" w:rsidRDefault="00337F25" w:rsidP="009B1BC4">
            <w:r>
              <w:t>Farmaceutické výrobky a biotechnologie</w:t>
            </w:r>
          </w:p>
        </w:tc>
        <w:tc>
          <w:tcPr>
            <w:tcW w:w="1610" w:type="dxa"/>
          </w:tcPr>
          <w:p w14:paraId="12EC008C" w14:textId="77777777" w:rsidR="00337F25" w:rsidRDefault="00337F25" w:rsidP="009B1BC4"/>
        </w:tc>
        <w:tc>
          <w:tcPr>
            <w:tcW w:w="1610" w:type="dxa"/>
          </w:tcPr>
          <w:p w14:paraId="02DDB71B" w14:textId="77777777" w:rsidR="00337F25" w:rsidRDefault="00337F25" w:rsidP="009B1BC4">
            <w:r>
              <w:t>1.1, 1.2</w:t>
            </w:r>
          </w:p>
        </w:tc>
      </w:tr>
      <w:tr w:rsidR="00337F25" w14:paraId="39292361" w14:textId="77777777" w:rsidTr="009B1BC4">
        <w:tc>
          <w:tcPr>
            <w:tcW w:w="322" w:type="dxa"/>
            <w:vMerge/>
            <w:shd w:val="clear" w:color="auto" w:fill="A8D08D" w:themeFill="accent6" w:themeFillTint="99"/>
          </w:tcPr>
          <w:p w14:paraId="65F0519B" w14:textId="77777777" w:rsidR="00337F25" w:rsidRDefault="00337F25" w:rsidP="009B1BC4"/>
        </w:tc>
        <w:tc>
          <w:tcPr>
            <w:tcW w:w="8720" w:type="dxa"/>
            <w:gridSpan w:val="3"/>
          </w:tcPr>
          <w:p w14:paraId="4F779202" w14:textId="114E39E5" w:rsidR="00337F25" w:rsidRDefault="00337F25" w:rsidP="009B1BC4">
            <w:pPr>
              <w:rPr>
                <w:b/>
              </w:rPr>
            </w:pPr>
            <w:r>
              <w:rPr>
                <w:b/>
              </w:rPr>
              <w:t xml:space="preserve">Projekty, které nejsou ani na zeleném nebo červeném seznamu a </w:t>
            </w:r>
            <w:r w:rsidR="007F68AD">
              <w:rPr>
                <w:b/>
              </w:rPr>
              <w:t xml:space="preserve">administrátor zdrojů EU </w:t>
            </w:r>
            <w:r>
              <w:rPr>
                <w:b/>
              </w:rPr>
              <w:t xml:space="preserve">prokáže, že jejich emise typicky </w:t>
            </w:r>
            <w:r>
              <w:rPr>
                <w:b/>
                <w:u w:val="single"/>
              </w:rPr>
              <w:t>nepřekračují</w:t>
            </w:r>
            <w:r>
              <w:rPr>
                <w:b/>
              </w:rPr>
              <w:t xml:space="preserve"> </w:t>
            </w:r>
            <w:r>
              <w:rPr>
                <w:rStyle w:val="Zdraznn"/>
              </w:rPr>
              <w:t>20 000 t</w:t>
            </w:r>
            <w:r w:rsidR="00267EA7">
              <w:rPr>
                <w:rStyle w:val="Zdraznn"/>
              </w:rPr>
              <w:t xml:space="preserve"> </w:t>
            </w:r>
            <w:r>
              <w:rPr>
                <w:rStyle w:val="Zdraznn"/>
              </w:rPr>
              <w:t>CO</w:t>
            </w:r>
            <w:r>
              <w:rPr>
                <w:rStyle w:val="Zdraznn"/>
                <w:vertAlign w:val="subscript"/>
              </w:rPr>
              <w:t>2</w:t>
            </w:r>
            <w:r w:rsidR="00267EA7">
              <w:rPr>
                <w:rStyle w:val="Zdraznn"/>
                <w:vertAlign w:val="subscript"/>
              </w:rPr>
              <w:t xml:space="preserve"> </w:t>
            </w:r>
            <w:proofErr w:type="spellStart"/>
            <w:r>
              <w:rPr>
                <w:rStyle w:val="Zdraznn"/>
              </w:rPr>
              <w:t>ekv</w:t>
            </w:r>
            <w:proofErr w:type="spellEnd"/>
            <w:r>
              <w:rPr>
                <w:rStyle w:val="Zdraznn"/>
              </w:rPr>
              <w:t>./rok</w:t>
            </w:r>
            <w:r>
              <w:rPr>
                <w:b/>
              </w:rPr>
              <w:t>.</w:t>
            </w:r>
          </w:p>
        </w:tc>
      </w:tr>
    </w:tbl>
    <w:p w14:paraId="7A3F131B" w14:textId="77777777" w:rsidR="00337F25" w:rsidRPr="000D463D" w:rsidRDefault="00337F25" w:rsidP="00337F25">
      <w:pPr>
        <w:spacing w:after="160"/>
        <w:ind w:left="720" w:hanging="360"/>
        <w:contextualSpacing/>
        <w:rPr>
          <w:rFonts w:cs="Segoe UI"/>
        </w:rPr>
      </w:pPr>
    </w:p>
    <w:p w14:paraId="45D2DF78" w14:textId="1510155D" w:rsidR="0019244D" w:rsidRPr="002A22A5" w:rsidRDefault="00503F9B" w:rsidP="00AF460E">
      <w:pPr>
        <w:pStyle w:val="Nadpis5"/>
        <w:numPr>
          <w:ilvl w:val="4"/>
          <w:numId w:val="198"/>
        </w:numPr>
      </w:pPr>
      <w:bookmarkStart w:id="81" w:name="_Přizpůsobování_se_změně"/>
      <w:bookmarkStart w:id="82" w:name="_Další_podmínky_k"/>
      <w:bookmarkEnd w:id="81"/>
      <w:bookmarkEnd w:id="82"/>
      <w:r>
        <w:t>Další podmínky k možnému zapracování</w:t>
      </w:r>
    </w:p>
    <w:p w14:paraId="1F7A1A03" w14:textId="6DF90D0A" w:rsidR="00503F9B" w:rsidRDefault="00503F9B" w:rsidP="00503F9B">
      <w:pPr>
        <w:rPr>
          <w:rFonts w:cs="Segoe UI"/>
        </w:rPr>
      </w:pPr>
      <w:r w:rsidRPr="00BA38D6">
        <w:rPr>
          <w:rFonts w:cs="Segoe UI"/>
        </w:rPr>
        <w:t xml:space="preserve">V případě, že dojde ke shledání, že zamýšlený druh podpory i přes implementaci </w:t>
      </w:r>
      <w:r>
        <w:rPr>
          <w:rFonts w:cs="Segoe UI"/>
        </w:rPr>
        <w:t xml:space="preserve">zásady energetická účinnost v první řadě </w:t>
      </w:r>
      <w:r w:rsidRPr="00BA38D6">
        <w:rPr>
          <w:rFonts w:cs="Segoe UI"/>
        </w:rPr>
        <w:t xml:space="preserve">a splnění souladu s legislativními předpisy a souvisejícími povoleními může představovat riziko poškozování životního prostředí, je možné </w:t>
      </w:r>
      <w:r w:rsidRPr="00EB459F">
        <w:rPr>
          <w:rFonts w:cs="Segoe UI"/>
        </w:rPr>
        <w:t>zvýšit úroveň ochrany implementací vhodných podmínek a opatření:</w:t>
      </w:r>
    </w:p>
    <w:p w14:paraId="2A449EF0" w14:textId="77777777" w:rsidR="00503F9B" w:rsidRPr="002002BE" w:rsidRDefault="00503F9B" w:rsidP="00503F9B">
      <w:pPr>
        <w:rPr>
          <w:rFonts w:cs="Segoe UI"/>
          <w:b/>
          <w:bCs/>
        </w:rPr>
      </w:pPr>
      <w:r w:rsidRPr="00342DDB">
        <w:rPr>
          <w:rFonts w:cs="Segoe UI"/>
          <w:b/>
          <w:bCs/>
        </w:rPr>
        <w:t>Fakultativní stanovení podmínek dle taxonomie (ať již na základě významného přínosu, či na základě podmínek DNSH)</w:t>
      </w:r>
    </w:p>
    <w:p w14:paraId="2592195B" w14:textId="77777777" w:rsidR="00503F9B" w:rsidRPr="00751A92" w:rsidRDefault="00503F9B" w:rsidP="00503F9B">
      <w:pPr>
        <w:rPr>
          <w:rFonts w:cs="Segoe UI"/>
        </w:rPr>
      </w:pPr>
      <w:r w:rsidRPr="00751A92">
        <w:rPr>
          <w:rFonts w:cs="Segoe UI"/>
        </w:rPr>
        <w:t>Jelikož je zásada DNSH ukotvena v článku 17 Nařízení o taxonomii a je obdobně interpretována i v jednotlivých právních předpisech relevantních fondů, je možné stanovit konkrétní podmínky pro čerpání podpory analogicky dle technických kritérií pro významný příspěvek</w:t>
      </w:r>
      <w:r>
        <w:rPr>
          <w:rFonts w:cs="Segoe UI"/>
        </w:rPr>
        <w:t>, nebo využitím technických screeningových kritérií DNSH</w:t>
      </w:r>
      <w:r w:rsidRPr="00751A92">
        <w:rPr>
          <w:rFonts w:cs="Segoe UI"/>
        </w:rPr>
        <w:t>.</w:t>
      </w:r>
    </w:p>
    <w:p w14:paraId="70E38C6D" w14:textId="77777777" w:rsidR="00503F9B" w:rsidRPr="00751A92" w:rsidRDefault="00503F9B" w:rsidP="00503F9B">
      <w:pPr>
        <w:rPr>
          <w:rFonts w:cs="Segoe UI"/>
        </w:rPr>
      </w:pPr>
      <w:r>
        <w:rPr>
          <w:rFonts w:cs="Segoe UI"/>
        </w:rPr>
        <w:t>V případě postupu dle významného přínosu je d</w:t>
      </w:r>
      <w:r w:rsidRPr="00BA38D6">
        <w:rPr>
          <w:rFonts w:cs="Segoe UI"/>
        </w:rPr>
        <w:t xml:space="preserve">oporučeným postupem dohledat předmět </w:t>
      </w:r>
      <w:r w:rsidRPr="00751A92">
        <w:rPr>
          <w:rFonts w:cs="Segoe UI"/>
        </w:rPr>
        <w:t>podpory v </w:t>
      </w:r>
      <w:hyperlink r:id="rId58" w:history="1">
        <w:r w:rsidRPr="00751A92">
          <w:rPr>
            <w:rStyle w:val="Hypertextovodkaz"/>
            <w:rFonts w:cs="Segoe UI"/>
          </w:rPr>
          <w:t xml:space="preserve">EU Taxonomy </w:t>
        </w:r>
        <w:proofErr w:type="spellStart"/>
        <w:r w:rsidRPr="00751A92">
          <w:rPr>
            <w:rStyle w:val="Hypertextovodkaz"/>
            <w:rFonts w:cs="Segoe UI"/>
          </w:rPr>
          <w:t>compass</w:t>
        </w:r>
        <w:proofErr w:type="spellEnd"/>
      </w:hyperlink>
      <w:r w:rsidRPr="00751A92">
        <w:rPr>
          <w:rFonts w:cs="Segoe UI"/>
        </w:rPr>
        <w:t xml:space="preserve"> nebo </w:t>
      </w:r>
      <w:hyperlink w:anchor="_Kontext_taxonomie_EU" w:history="1">
        <w:r w:rsidRPr="0077290F">
          <w:rPr>
            <w:rStyle w:val="Hypertextovodkaz"/>
            <w:rFonts w:cs="Segoe UI"/>
          </w:rPr>
          <w:t>relevantním delegovaném aktu taxonomie</w:t>
        </w:r>
      </w:hyperlink>
      <w:r>
        <w:rPr>
          <w:rFonts w:cs="Segoe UI"/>
        </w:rPr>
        <w:t>.</w:t>
      </w:r>
      <w:r w:rsidRPr="00751A92">
        <w:rPr>
          <w:rFonts w:cs="Segoe UI"/>
        </w:rPr>
        <w:t xml:space="preserve"> </w:t>
      </w:r>
      <w:r w:rsidRPr="009126CE">
        <w:rPr>
          <w:rFonts w:cs="Segoe UI"/>
        </w:rPr>
        <w:t xml:space="preserve">Český překlad je zveřejněn na webových stránkách </w:t>
      </w:r>
      <w:hyperlink r:id="rId59" w:history="1">
        <w:r w:rsidRPr="0058633B">
          <w:rPr>
            <w:rStyle w:val="Hypertextovodkaz"/>
            <w:rFonts w:cs="Segoe UI"/>
          </w:rPr>
          <w:t>Ministerstva financí</w:t>
        </w:r>
      </w:hyperlink>
      <w:r w:rsidRPr="009126CE">
        <w:rPr>
          <w:rFonts w:cs="Segoe UI"/>
        </w:rPr>
        <w:t>, kde jsou k dispozici překlady jednotlivých činností a také screeningových kritérií.</w:t>
      </w:r>
    </w:p>
    <w:p w14:paraId="587536AC" w14:textId="77777777" w:rsidR="0019244D" w:rsidRPr="00527543" w:rsidRDefault="0019244D" w:rsidP="0019244D">
      <w:pPr>
        <w:spacing w:after="0"/>
        <w:rPr>
          <w:rFonts w:cs="Segoe UI"/>
        </w:rPr>
      </w:pPr>
    </w:p>
    <w:p w14:paraId="23BF3868" w14:textId="77777777" w:rsidR="0019244D" w:rsidRPr="00187404" w:rsidRDefault="0019244D" w:rsidP="0019244D">
      <w:pPr>
        <w:contextualSpacing/>
        <w:rPr>
          <w:rFonts w:cs="Segoe UI"/>
        </w:rPr>
      </w:pPr>
      <w:r>
        <w:rPr>
          <w:noProof/>
        </w:rPr>
        <w:lastRenderedPageBreak/>
        <mc:AlternateContent>
          <mc:Choice Requires="wps">
            <w:drawing>
              <wp:anchor distT="0" distB="0" distL="114300" distR="114300" simplePos="0" relativeHeight="251703296" behindDoc="0" locked="0" layoutInCell="1" allowOverlap="1" wp14:anchorId="79E3B20A" wp14:editId="2F3215AE">
                <wp:simplePos x="0" y="0"/>
                <wp:positionH relativeFrom="margin">
                  <wp:posOffset>28253</wp:posOffset>
                </wp:positionH>
                <wp:positionV relativeFrom="paragraph">
                  <wp:posOffset>5473709</wp:posOffset>
                </wp:positionV>
                <wp:extent cx="5663556" cy="764275"/>
                <wp:effectExtent l="0" t="0" r="13970" b="17145"/>
                <wp:wrapNone/>
                <wp:docPr id="730705337" name="Obdélník 10"/>
                <wp:cNvGraphicFramePr/>
                <a:graphic xmlns:a="http://schemas.openxmlformats.org/drawingml/2006/main">
                  <a:graphicData uri="http://schemas.microsoft.com/office/word/2010/wordprocessingShape">
                    <wps:wsp>
                      <wps:cNvSpPr/>
                      <wps:spPr>
                        <a:xfrm>
                          <a:off x="0" y="0"/>
                          <a:ext cx="5663556" cy="764275"/>
                        </a:xfrm>
                        <a:prstGeom prst="rect">
                          <a:avLst/>
                        </a:prstGeom>
                        <a:noFill/>
                        <a:ln w="190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356947" id="Obdélník 10" o:spid="_x0000_s1026" style="position:absolute;margin-left:2.2pt;margin-top:431pt;width:445.95pt;height:60.2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" filled="f" strokecolor="red" strokeweight="1.5pt">
                <w10:wrap anchorx="margin"/>
              </v:rect>
            </w:pict>
          </mc:Fallback>
        </mc:AlternateContent>
      </w:r>
      <w:r>
        <w:rPr>
          <w:noProof/>
        </w:rPr>
        <mc:AlternateContent>
          <mc:Choice Requires="wps">
            <w:drawing>
              <wp:anchor distT="0" distB="0" distL="114300" distR="114300" simplePos="0" relativeHeight="251702272" behindDoc="0" locked="0" layoutInCell="1" allowOverlap="1" wp14:anchorId="2F768B5B" wp14:editId="71CCDF0C">
                <wp:simplePos x="0" y="0"/>
                <wp:positionH relativeFrom="margin">
                  <wp:align>left</wp:align>
                </wp:positionH>
                <wp:positionV relativeFrom="paragraph">
                  <wp:posOffset>342151</wp:posOffset>
                </wp:positionV>
                <wp:extent cx="5663556" cy="3125337"/>
                <wp:effectExtent l="0" t="0" r="13970" b="18415"/>
                <wp:wrapNone/>
                <wp:docPr id="1050301254" name="Obdélník 10"/>
                <wp:cNvGraphicFramePr/>
                <a:graphic xmlns:a="http://schemas.openxmlformats.org/drawingml/2006/main">
                  <a:graphicData uri="http://schemas.microsoft.com/office/word/2010/wordprocessingShape">
                    <wps:wsp>
                      <wps:cNvSpPr/>
                      <wps:spPr>
                        <a:xfrm>
                          <a:off x="0" y="0"/>
                          <a:ext cx="5663556" cy="3125337"/>
                        </a:xfrm>
                        <a:prstGeom prst="rect">
                          <a:avLst/>
                        </a:prstGeom>
                        <a:noFill/>
                        <a:ln w="190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28DD2F2" id="Obdélník 10" o:spid="_x0000_s1026" style="position:absolute;margin-left:0;margin-top:26.95pt;width:445.95pt;height:246.1pt;z-index:25170227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" filled="f" strokecolor="red" strokeweight="1.5pt">
                <w10:wrap anchorx="margin"/>
              </v:rect>
            </w:pict>
          </mc:Fallback>
        </mc:AlternateContent>
      </w:r>
      <w:r>
        <w:rPr>
          <w:noProof/>
        </w:rPr>
        <w:drawing>
          <wp:inline distT="0" distB="0" distL="0" distR="0" wp14:anchorId="5B95CA04" wp14:editId="1C73E2A2">
            <wp:extent cx="5760720" cy="7289800"/>
            <wp:effectExtent l="0" t="0" r="0" b="6350"/>
            <wp:docPr id="1436741411" name="Obrázek 1" descr="Obsah obrázku text, snímek obrazovky, software, číslo&#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05410" name="Obrázek 1" descr="Obsah obrázku text, snímek obrazovky, software, číslo&#10;&#10;Obsah vygenerovaný umělou inteligencí může být nesprávný."/>
                    <pic:cNvPicPr/>
                  </pic:nvPicPr>
                  <pic:blipFill>
                    <a:blip r:embed="rId60"/>
                    <a:stretch>
                      <a:fillRect/>
                    </a:stretch>
                  </pic:blipFill>
                  <pic:spPr>
                    <a:xfrm>
                      <a:off x="0" y="0"/>
                      <a:ext cx="5760720" cy="7289800"/>
                    </a:xfrm>
                    <a:prstGeom prst="rect">
                      <a:avLst/>
                    </a:prstGeom>
                  </pic:spPr>
                </pic:pic>
              </a:graphicData>
            </a:graphic>
          </wp:inline>
        </w:drawing>
      </w:r>
    </w:p>
    <w:p w14:paraId="439A8520" w14:textId="3BBA5E7B" w:rsidR="00DA16B9" w:rsidRPr="008C4504" w:rsidRDefault="00DA16B9" w:rsidP="00DA16B9">
      <w:pPr>
        <w:pStyle w:val="Nadpis4"/>
      </w:pPr>
      <w:bookmarkStart w:id="83" w:name="_Červený_seznam:_Projekty"/>
      <w:bookmarkEnd w:id="83"/>
      <w:r w:rsidRPr="008C4504">
        <w:t xml:space="preserve">Červený seznam: Projekty podléhající </w:t>
      </w:r>
      <w:r w:rsidR="00503F9B">
        <w:t xml:space="preserve">podrobnému </w:t>
      </w:r>
      <w:r w:rsidRPr="008C4504">
        <w:t xml:space="preserve">posouzení dle metodiky </w:t>
      </w:r>
      <w:proofErr w:type="spellStart"/>
      <w:r w:rsidRPr="008C4504">
        <w:t>climate</w:t>
      </w:r>
      <w:proofErr w:type="spellEnd"/>
      <w:r w:rsidRPr="008C4504">
        <w:t xml:space="preserve"> </w:t>
      </w:r>
      <w:proofErr w:type="spellStart"/>
      <w:r w:rsidRPr="008C4504">
        <w:t>proofing</w:t>
      </w:r>
      <w:proofErr w:type="spellEnd"/>
      <w:r w:rsidRPr="008C4504">
        <w:t xml:space="preserve"> (</w:t>
      </w:r>
      <w:r w:rsidR="00FC2100">
        <w:t>fáze 2 – podrobná analýza CPM</w:t>
      </w:r>
      <w:r w:rsidRPr="008C4504">
        <w:t>)</w:t>
      </w:r>
    </w:p>
    <w:p w14:paraId="19F1EAC7" w14:textId="010FC8A8" w:rsidR="00DA16B9" w:rsidRPr="00CE58E6" w:rsidRDefault="00DA16B9" w:rsidP="00DA16B9">
      <w:pPr>
        <w:contextualSpacing/>
        <w:rPr>
          <w:rFonts w:cs="Segoe UI"/>
        </w:rPr>
      </w:pPr>
      <w:r w:rsidRPr="00CE58E6">
        <w:rPr>
          <w:rFonts w:cs="Segoe UI"/>
        </w:rPr>
        <w:t xml:space="preserve">Pokud projekt splňuje definici infrastruktury nad 5 let a emise projektu přesahují </w:t>
      </w:r>
      <w:r>
        <w:rPr>
          <w:rFonts w:cs="Segoe UI"/>
        </w:rPr>
        <w:t>prahovou</w:t>
      </w:r>
      <w:r w:rsidRPr="00CE58E6">
        <w:rPr>
          <w:rFonts w:cs="Segoe UI"/>
        </w:rPr>
        <w:t xml:space="preserve"> hodnotu 20 000 t</w:t>
      </w:r>
      <w:r w:rsidR="00267EA7">
        <w:rPr>
          <w:rFonts w:cs="Segoe UI"/>
        </w:rPr>
        <w:t xml:space="preserve"> </w:t>
      </w:r>
      <w:r w:rsidRPr="00CE58E6">
        <w:rPr>
          <w:rFonts w:cs="Segoe UI"/>
        </w:rPr>
        <w:t>CO</w:t>
      </w:r>
      <w:r w:rsidRPr="006C1B48">
        <w:rPr>
          <w:rFonts w:cs="Segoe UI"/>
          <w:vertAlign w:val="subscript"/>
        </w:rPr>
        <w:t>2</w:t>
      </w:r>
      <w:r w:rsidR="00267EA7">
        <w:rPr>
          <w:rFonts w:cs="Segoe UI"/>
        </w:rPr>
        <w:t xml:space="preserve"> </w:t>
      </w:r>
      <w:proofErr w:type="spellStart"/>
      <w:r w:rsidRPr="00CE58E6">
        <w:rPr>
          <w:rFonts w:cs="Segoe UI"/>
        </w:rPr>
        <w:t>ekv</w:t>
      </w:r>
      <w:proofErr w:type="spellEnd"/>
      <w:r w:rsidRPr="00CE58E6">
        <w:rPr>
          <w:rFonts w:cs="Segoe UI"/>
        </w:rPr>
        <w:t xml:space="preserve">./rok, je nezbytné provést i podrobnou analýzu projektu dle metodiky </w:t>
      </w:r>
      <w:proofErr w:type="spellStart"/>
      <w:r w:rsidRPr="00CE58E6">
        <w:rPr>
          <w:rFonts w:cs="Segoe UI"/>
        </w:rPr>
        <w:t>climate</w:t>
      </w:r>
      <w:proofErr w:type="spellEnd"/>
      <w:r w:rsidRPr="00CE58E6">
        <w:rPr>
          <w:rFonts w:cs="Segoe UI"/>
        </w:rPr>
        <w:t xml:space="preserve"> </w:t>
      </w:r>
      <w:proofErr w:type="spellStart"/>
      <w:r w:rsidRPr="00CE58E6">
        <w:rPr>
          <w:rFonts w:cs="Segoe UI"/>
        </w:rPr>
        <w:t>proofing</w:t>
      </w:r>
      <w:proofErr w:type="spellEnd"/>
      <w:r w:rsidRPr="00CE58E6">
        <w:rPr>
          <w:rFonts w:cs="Segoe UI"/>
        </w:rPr>
        <w:t xml:space="preserve">. </w:t>
      </w:r>
    </w:p>
    <w:p w14:paraId="70C89913" w14:textId="77777777" w:rsidR="00DA16B9" w:rsidRPr="00CE58E6" w:rsidRDefault="00DA16B9" w:rsidP="00DA16B9">
      <w:pPr>
        <w:contextualSpacing/>
        <w:rPr>
          <w:rFonts w:cs="Segoe UI"/>
        </w:rPr>
      </w:pPr>
    </w:p>
    <w:p w14:paraId="5AA5645D" w14:textId="77777777" w:rsidR="00DA16B9" w:rsidRPr="00CE58E6" w:rsidRDefault="00DA16B9" w:rsidP="00DA16B9">
      <w:pPr>
        <w:rPr>
          <w:rFonts w:cs="Segoe UI"/>
        </w:rPr>
      </w:pPr>
      <w:r w:rsidRPr="00CE58E6">
        <w:rPr>
          <w:rFonts w:cs="Segoe UI"/>
        </w:rPr>
        <w:t xml:space="preserve">Níže je uveden orientační seznam infrastruktury, která podléhá posouzení CP. Jednotlivé kategorie se mohou v některých případech překrývat – např. třídírna odpadů je zároveň </w:t>
      </w:r>
      <w:r w:rsidRPr="00CE58E6">
        <w:rPr>
          <w:rFonts w:cs="Segoe UI"/>
        </w:rPr>
        <w:lastRenderedPageBreak/>
        <w:t>i budovou, nicméně pro přehlednost a vyjasnění jsou uvedeny některé kategorie infrastruktury samostatně.</w:t>
      </w:r>
    </w:p>
    <w:p w14:paraId="1608245F" w14:textId="77777777" w:rsidR="00DA16B9" w:rsidRPr="00CE58E6" w:rsidRDefault="00DA16B9" w:rsidP="00DA16B9">
      <w:pPr>
        <w:rPr>
          <w:rFonts w:cs="Segoe UI"/>
        </w:rPr>
      </w:pPr>
      <w:r w:rsidRPr="00CE58E6">
        <w:rPr>
          <w:rFonts w:cs="Segoe UI"/>
        </w:rPr>
        <w:t xml:space="preserve">CP podléhá </w:t>
      </w:r>
      <w:r w:rsidRPr="00CE58E6">
        <w:rPr>
          <w:rStyle w:val="Zdraznn"/>
          <w:rFonts w:cs="Segoe UI"/>
        </w:rPr>
        <w:t>budování nové</w:t>
      </w:r>
      <w:r w:rsidRPr="00CE58E6">
        <w:rPr>
          <w:rFonts w:cs="Segoe UI"/>
        </w:rPr>
        <w:t xml:space="preserve"> </w:t>
      </w:r>
      <w:r w:rsidRPr="002A22A5">
        <w:rPr>
          <w:rFonts w:cs="Segoe UI"/>
          <w:b/>
          <w:bCs/>
        </w:rPr>
        <w:t>infrastruktury</w:t>
      </w:r>
      <w:r w:rsidRPr="00CE58E6">
        <w:rPr>
          <w:rFonts w:cs="Segoe UI"/>
        </w:rPr>
        <w:t xml:space="preserve"> ale i její </w:t>
      </w:r>
      <w:r w:rsidRPr="00CE58E6">
        <w:rPr>
          <w:rStyle w:val="Zdraznn"/>
          <w:rFonts w:cs="Segoe UI"/>
        </w:rPr>
        <w:t>rozšiřování, modernizace a úpravy</w:t>
      </w:r>
      <w:r w:rsidRPr="00CE58E6">
        <w:rPr>
          <w:rFonts w:cs="Segoe UI"/>
        </w:rPr>
        <w:t>. Smyslem je, aby veřejná podpora nesměřovala ani do stávající infrastruktury bez toho, že bude přizpůsobená klimatu a nebude ohrožovat plnění cílů v oblasti snižování emisí skleníkových plynů.</w:t>
      </w:r>
    </w:p>
    <w:tbl>
      <w:tblPr>
        <w:tblStyle w:val="Mkatabulky"/>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9"/>
        <w:gridCol w:w="5493"/>
        <w:gridCol w:w="1610"/>
        <w:gridCol w:w="1610"/>
      </w:tblGrid>
      <w:tr w:rsidR="00DA16B9" w14:paraId="1F3429A9" w14:textId="77777777" w:rsidTr="009B1BC4">
        <w:trPr>
          <w:trHeight w:val="567"/>
        </w:trPr>
        <w:tc>
          <w:tcPr>
            <w:tcW w:w="9042" w:type="dxa"/>
            <w:gridSpan w:val="4"/>
            <w:shd w:val="clear" w:color="auto" w:fill="FF9999"/>
            <w:vAlign w:val="center"/>
          </w:tcPr>
          <w:p w14:paraId="51680928" w14:textId="77777777" w:rsidR="00DA16B9" w:rsidRDefault="00DA16B9" w:rsidP="009B1BC4">
            <w:pPr>
              <w:spacing w:after="0" w:line="240" w:lineRule="auto"/>
              <w:jc w:val="left"/>
              <w:rPr>
                <w:b/>
                <w:bCs/>
              </w:rPr>
            </w:pPr>
            <w:r>
              <w:rPr>
                <w:b/>
                <w:bCs/>
              </w:rPr>
              <w:t>Červený seznam</w:t>
            </w:r>
          </w:p>
        </w:tc>
      </w:tr>
      <w:tr w:rsidR="00DA16B9" w14:paraId="6F5467B5" w14:textId="77777777" w:rsidTr="009B1BC4">
        <w:tc>
          <w:tcPr>
            <w:tcW w:w="9042" w:type="dxa"/>
            <w:gridSpan w:val="4"/>
          </w:tcPr>
          <w:p w14:paraId="2F2F01FA" w14:textId="77777777" w:rsidR="00DA16B9" w:rsidRDefault="00DA16B9" w:rsidP="009B1BC4">
            <w:pPr>
              <w:spacing w:line="240" w:lineRule="auto"/>
            </w:pPr>
            <w:r>
              <w:t>U těchto kategorií projektů se posouzení uhlíkové stopy obecně VYŽADUJE (fáze 2).</w:t>
            </w:r>
          </w:p>
          <w:p w14:paraId="396B9588" w14:textId="441927F5" w:rsidR="00DA16B9" w:rsidRDefault="00DA16B9" w:rsidP="009B1BC4">
            <w:pPr>
              <w:spacing w:line="240" w:lineRule="auto"/>
            </w:pPr>
            <w:r>
              <w:t>Proces prověřování z hlediska klimatického dopadu bude u těchto kategorií projektů zahrnovat fázi 1 (prověření), výpočet uhlíkové stopy a při překročení limitu 20</w:t>
            </w:r>
            <w:r w:rsidR="00A7250D">
              <w:t> </w:t>
            </w:r>
            <w:r>
              <w:t>000</w:t>
            </w:r>
            <w:r w:rsidR="00A7250D">
              <w:t xml:space="preserve"> </w:t>
            </w:r>
            <w:r>
              <w:t>t</w:t>
            </w:r>
            <w:r w:rsidR="00A7250D">
              <w:t xml:space="preserve"> </w:t>
            </w:r>
            <w:r>
              <w:t>CO</w:t>
            </w:r>
            <w:r>
              <w:rPr>
                <w:vertAlign w:val="subscript"/>
              </w:rPr>
              <w:t>2</w:t>
            </w:r>
            <w:r>
              <w:t>/rok podrobnou analýzu. V případě nepřekročení limitu končí CPM fáze 2 výpočtem uhlíkové stopy a pro projekty se uplatní DNSH cíl zmírňování změny klimatu (</w:t>
            </w:r>
            <w:proofErr w:type="spellStart"/>
            <w:r>
              <w:t>mitigace</w:t>
            </w:r>
            <w:proofErr w:type="spellEnd"/>
            <w:r>
              <w:t>).</w:t>
            </w:r>
          </w:p>
        </w:tc>
      </w:tr>
      <w:tr w:rsidR="00DA16B9" w14:paraId="691818A0" w14:textId="77777777" w:rsidTr="009B1BC4">
        <w:tc>
          <w:tcPr>
            <w:tcW w:w="5822" w:type="dxa"/>
            <w:gridSpan w:val="2"/>
          </w:tcPr>
          <w:p w14:paraId="141B7AC6" w14:textId="77777777" w:rsidR="00DA16B9" w:rsidRDefault="00DA16B9" w:rsidP="009B1BC4">
            <w:pPr>
              <w:spacing w:line="240" w:lineRule="auto"/>
            </w:pPr>
          </w:p>
        </w:tc>
        <w:tc>
          <w:tcPr>
            <w:tcW w:w="1610" w:type="dxa"/>
          </w:tcPr>
          <w:p w14:paraId="7D41C6AF" w14:textId="77777777" w:rsidR="00DA16B9" w:rsidRDefault="00DA16B9" w:rsidP="009B1BC4">
            <w:pPr>
              <w:spacing w:line="240" w:lineRule="auto"/>
            </w:pPr>
            <w:r>
              <w:t>Kódy souvisejících ekonomických aktivit dle delegovaného aktu taxonomie (</w:t>
            </w:r>
            <w:r w:rsidRPr="008B720E">
              <w:t>2021/2139</w:t>
            </w:r>
            <w:r>
              <w:t>)</w:t>
            </w:r>
          </w:p>
        </w:tc>
        <w:tc>
          <w:tcPr>
            <w:tcW w:w="1610" w:type="dxa"/>
          </w:tcPr>
          <w:p w14:paraId="5F700FB9" w14:textId="77777777" w:rsidR="00DA16B9" w:rsidRDefault="00DA16B9" w:rsidP="009B1BC4">
            <w:pPr>
              <w:spacing w:line="240" w:lineRule="auto"/>
            </w:pPr>
            <w:r>
              <w:t>Kódy souvisejících ekonomických aktivit dle delegovaného aktu taxonomie (</w:t>
            </w:r>
            <w:r w:rsidRPr="008B720E">
              <w:t>2023/2486</w:t>
            </w:r>
            <w:r>
              <w:t>)</w:t>
            </w:r>
          </w:p>
        </w:tc>
      </w:tr>
      <w:tr w:rsidR="00DA16B9" w14:paraId="18432EEA" w14:textId="77777777" w:rsidTr="009B1BC4">
        <w:tc>
          <w:tcPr>
            <w:tcW w:w="329" w:type="dxa"/>
            <w:vMerge w:val="restart"/>
            <w:shd w:val="clear" w:color="auto" w:fill="FF9999"/>
          </w:tcPr>
          <w:p w14:paraId="5C75ABF5" w14:textId="77777777" w:rsidR="00DA16B9" w:rsidRDefault="00DA16B9" w:rsidP="009B1BC4"/>
        </w:tc>
        <w:tc>
          <w:tcPr>
            <w:tcW w:w="5493" w:type="dxa"/>
          </w:tcPr>
          <w:p w14:paraId="2952BD2F" w14:textId="77777777" w:rsidR="00DA16B9" w:rsidRDefault="00DA16B9" w:rsidP="009B1BC4">
            <w:pPr>
              <w:spacing w:line="240" w:lineRule="auto"/>
            </w:pPr>
            <w:r>
              <w:t>Skládky tuhého komunálního odpadu</w:t>
            </w:r>
          </w:p>
        </w:tc>
        <w:tc>
          <w:tcPr>
            <w:tcW w:w="1610" w:type="dxa"/>
          </w:tcPr>
          <w:p w14:paraId="66306C1E" w14:textId="77777777" w:rsidR="00DA16B9" w:rsidRDefault="00DA16B9" w:rsidP="009B1BC4">
            <w:pPr>
              <w:spacing w:line="240" w:lineRule="auto"/>
            </w:pPr>
          </w:p>
        </w:tc>
        <w:tc>
          <w:tcPr>
            <w:tcW w:w="1610" w:type="dxa"/>
          </w:tcPr>
          <w:p w14:paraId="6AB0B601" w14:textId="77777777" w:rsidR="00DA16B9" w:rsidRDefault="00DA16B9" w:rsidP="009B1BC4">
            <w:pPr>
              <w:spacing w:line="240" w:lineRule="auto"/>
            </w:pPr>
            <w:r>
              <w:t>2.3</w:t>
            </w:r>
          </w:p>
        </w:tc>
      </w:tr>
      <w:tr w:rsidR="00DA16B9" w14:paraId="6A19636E" w14:textId="77777777" w:rsidTr="009B1BC4">
        <w:tc>
          <w:tcPr>
            <w:tcW w:w="329" w:type="dxa"/>
            <w:vMerge/>
            <w:shd w:val="clear" w:color="auto" w:fill="FF9999"/>
          </w:tcPr>
          <w:p w14:paraId="646B85B9" w14:textId="77777777" w:rsidR="00DA16B9" w:rsidRDefault="00DA16B9" w:rsidP="009B1BC4"/>
        </w:tc>
        <w:tc>
          <w:tcPr>
            <w:tcW w:w="5493" w:type="dxa"/>
          </w:tcPr>
          <w:p w14:paraId="0BF5E553" w14:textId="77777777" w:rsidR="00DA16B9" w:rsidRDefault="00DA16B9" w:rsidP="009B1BC4">
            <w:r>
              <w:t>Spalovny komunálního odpadu</w:t>
            </w:r>
          </w:p>
        </w:tc>
        <w:tc>
          <w:tcPr>
            <w:tcW w:w="1610" w:type="dxa"/>
          </w:tcPr>
          <w:p w14:paraId="736B4FD4" w14:textId="77777777" w:rsidR="00DA16B9" w:rsidRDefault="00DA16B9" w:rsidP="009B1BC4"/>
        </w:tc>
        <w:tc>
          <w:tcPr>
            <w:tcW w:w="1610" w:type="dxa"/>
          </w:tcPr>
          <w:p w14:paraId="76E27E6F" w14:textId="77777777" w:rsidR="00DA16B9" w:rsidRDefault="00DA16B9" w:rsidP="009B1BC4"/>
        </w:tc>
      </w:tr>
      <w:tr w:rsidR="00DA16B9" w14:paraId="3A6AC380" w14:textId="77777777" w:rsidTr="009B1BC4">
        <w:tc>
          <w:tcPr>
            <w:tcW w:w="329" w:type="dxa"/>
            <w:vMerge/>
            <w:shd w:val="clear" w:color="auto" w:fill="FF9999"/>
          </w:tcPr>
          <w:p w14:paraId="6B085D95" w14:textId="77777777" w:rsidR="00DA16B9" w:rsidRDefault="00DA16B9" w:rsidP="009B1BC4"/>
        </w:tc>
        <w:tc>
          <w:tcPr>
            <w:tcW w:w="5493" w:type="dxa"/>
          </w:tcPr>
          <w:p w14:paraId="3AFB092D" w14:textId="67E027DB" w:rsidR="00DA16B9" w:rsidRDefault="00DA16B9" w:rsidP="009B1BC4">
            <w:r>
              <w:t>Velké čistírny odpadních vod (s kapacitou nad</w:t>
            </w:r>
            <w:r w:rsidR="00267EA7">
              <w:t> </w:t>
            </w:r>
            <w:r>
              <w:t>600</w:t>
            </w:r>
            <w:r w:rsidR="00267EA7">
              <w:t> </w:t>
            </w:r>
            <w:r>
              <w:t>tis.</w:t>
            </w:r>
            <w:r w:rsidR="00267EA7">
              <w:t> </w:t>
            </w:r>
            <w:r>
              <w:t>m</w:t>
            </w:r>
            <w:r>
              <w:rPr>
                <w:vertAlign w:val="superscript"/>
              </w:rPr>
              <w:t>3</w:t>
            </w:r>
            <w:r>
              <w:t>/rok)</w:t>
            </w:r>
          </w:p>
        </w:tc>
        <w:tc>
          <w:tcPr>
            <w:tcW w:w="1610" w:type="dxa"/>
          </w:tcPr>
          <w:p w14:paraId="4B9BDA7D" w14:textId="77777777" w:rsidR="00DA16B9" w:rsidRDefault="00DA16B9" w:rsidP="009B1BC4">
            <w:r>
              <w:t>5.3, 5.4</w:t>
            </w:r>
          </w:p>
        </w:tc>
        <w:tc>
          <w:tcPr>
            <w:tcW w:w="1610" w:type="dxa"/>
          </w:tcPr>
          <w:p w14:paraId="3519D0C4" w14:textId="77777777" w:rsidR="00DA16B9" w:rsidRDefault="00DA16B9" w:rsidP="009B1BC4"/>
        </w:tc>
      </w:tr>
      <w:tr w:rsidR="00DA16B9" w14:paraId="46510EE4" w14:textId="77777777" w:rsidTr="009B1BC4">
        <w:tc>
          <w:tcPr>
            <w:tcW w:w="329" w:type="dxa"/>
            <w:vMerge/>
            <w:shd w:val="clear" w:color="auto" w:fill="FF9999"/>
          </w:tcPr>
          <w:p w14:paraId="2CDAC63D" w14:textId="77777777" w:rsidR="00DA16B9" w:rsidRDefault="00DA16B9" w:rsidP="009B1BC4"/>
        </w:tc>
        <w:tc>
          <w:tcPr>
            <w:tcW w:w="5493" w:type="dxa"/>
          </w:tcPr>
          <w:p w14:paraId="5FF3E99A" w14:textId="77777777" w:rsidR="00DA16B9" w:rsidRDefault="00DA16B9" w:rsidP="009B1BC4">
            <w:r>
              <w:t xml:space="preserve">Zpracovatelský průmysl – zejm. výstavba nových provozů / celistvé rozšíření stávajícího provozu nebo renovace celistvých částí stávajících provozů, v rámci CP se v těchto případech posuzují i technologická zařízení. </w:t>
            </w:r>
          </w:p>
          <w:p w14:paraId="2B5591D0" w14:textId="77777777" w:rsidR="00DA16B9" w:rsidRDefault="00DA16B9" w:rsidP="009B1BC4">
            <w:r>
              <w:rPr>
                <w:i/>
              </w:rPr>
              <w:t>(Pozn. v případě, kdy se opatření týká pořízení vybavení do stávajících staveb, které není její nedílnou součástí, např. nákup výpočetní techniky, nákup nebo výměna strojů ve stávající výrobní hale, není nutné CP provádět – nejedná se o splnění definice infrastruktury).</w:t>
            </w:r>
          </w:p>
        </w:tc>
        <w:tc>
          <w:tcPr>
            <w:tcW w:w="1610" w:type="dxa"/>
          </w:tcPr>
          <w:p w14:paraId="0CC79C60" w14:textId="77777777" w:rsidR="00DA16B9" w:rsidRDefault="00DA16B9" w:rsidP="009B1BC4">
            <w:r>
              <w:t>3</w:t>
            </w:r>
          </w:p>
        </w:tc>
        <w:tc>
          <w:tcPr>
            <w:tcW w:w="1610" w:type="dxa"/>
          </w:tcPr>
          <w:p w14:paraId="60C6D11C" w14:textId="77777777" w:rsidR="00DA16B9" w:rsidRDefault="00DA16B9" w:rsidP="009B1BC4"/>
        </w:tc>
      </w:tr>
      <w:tr w:rsidR="00DA16B9" w14:paraId="04DF0177" w14:textId="77777777" w:rsidTr="009B1BC4">
        <w:tc>
          <w:tcPr>
            <w:tcW w:w="329" w:type="dxa"/>
            <w:vMerge/>
            <w:shd w:val="clear" w:color="auto" w:fill="FF9999"/>
          </w:tcPr>
          <w:p w14:paraId="2EB51400" w14:textId="77777777" w:rsidR="00DA16B9" w:rsidRDefault="00DA16B9" w:rsidP="009B1BC4"/>
        </w:tc>
        <w:tc>
          <w:tcPr>
            <w:tcW w:w="5493" w:type="dxa"/>
            <w:vAlign w:val="center"/>
          </w:tcPr>
          <w:p w14:paraId="73CD0F4D" w14:textId="77777777" w:rsidR="00DA16B9" w:rsidRDefault="00DA16B9" w:rsidP="009B1BC4">
            <w:pPr>
              <w:jc w:val="left"/>
            </w:pPr>
            <w:r>
              <w:t>Chemické látky a rafinace</w:t>
            </w:r>
          </w:p>
        </w:tc>
        <w:tc>
          <w:tcPr>
            <w:tcW w:w="1610" w:type="dxa"/>
          </w:tcPr>
          <w:p w14:paraId="1CD0EBDE" w14:textId="77777777" w:rsidR="00DA16B9" w:rsidRDefault="00DA16B9" w:rsidP="009B1BC4">
            <w:pPr>
              <w:jc w:val="left"/>
            </w:pPr>
            <w:r>
              <w:t>3.14</w:t>
            </w:r>
          </w:p>
        </w:tc>
        <w:tc>
          <w:tcPr>
            <w:tcW w:w="1610" w:type="dxa"/>
          </w:tcPr>
          <w:p w14:paraId="15F576E6" w14:textId="77777777" w:rsidR="00DA16B9" w:rsidRDefault="00DA16B9" w:rsidP="009B1BC4">
            <w:pPr>
              <w:jc w:val="left"/>
            </w:pPr>
          </w:p>
        </w:tc>
      </w:tr>
      <w:tr w:rsidR="00DA16B9" w14:paraId="4590CBDC" w14:textId="77777777" w:rsidTr="009B1BC4">
        <w:tc>
          <w:tcPr>
            <w:tcW w:w="329" w:type="dxa"/>
            <w:vMerge/>
            <w:shd w:val="clear" w:color="auto" w:fill="FF9999"/>
          </w:tcPr>
          <w:p w14:paraId="7A47F6A3" w14:textId="77777777" w:rsidR="00DA16B9" w:rsidRDefault="00DA16B9" w:rsidP="009B1BC4"/>
        </w:tc>
        <w:tc>
          <w:tcPr>
            <w:tcW w:w="5493" w:type="dxa"/>
          </w:tcPr>
          <w:p w14:paraId="35CDC533" w14:textId="77777777" w:rsidR="00DA16B9" w:rsidRDefault="00DA16B9" w:rsidP="009B1BC4">
            <w:r>
              <w:t>Těžební průmysl a základní kovy</w:t>
            </w:r>
          </w:p>
        </w:tc>
        <w:tc>
          <w:tcPr>
            <w:tcW w:w="1610" w:type="dxa"/>
          </w:tcPr>
          <w:p w14:paraId="32130447" w14:textId="77777777" w:rsidR="00DA16B9" w:rsidRDefault="00DA16B9" w:rsidP="009B1BC4"/>
        </w:tc>
        <w:tc>
          <w:tcPr>
            <w:tcW w:w="1610" w:type="dxa"/>
          </w:tcPr>
          <w:p w14:paraId="1E97EDF6" w14:textId="77777777" w:rsidR="00DA16B9" w:rsidRDefault="00DA16B9" w:rsidP="009B1BC4"/>
        </w:tc>
      </w:tr>
      <w:tr w:rsidR="00DA16B9" w14:paraId="2F2E7980" w14:textId="77777777" w:rsidTr="009B1BC4">
        <w:tc>
          <w:tcPr>
            <w:tcW w:w="329" w:type="dxa"/>
            <w:vMerge/>
            <w:shd w:val="clear" w:color="auto" w:fill="FF9999"/>
          </w:tcPr>
          <w:p w14:paraId="5EE99A6D" w14:textId="77777777" w:rsidR="00DA16B9" w:rsidRDefault="00DA16B9" w:rsidP="009B1BC4"/>
        </w:tc>
        <w:tc>
          <w:tcPr>
            <w:tcW w:w="5493" w:type="dxa"/>
          </w:tcPr>
          <w:p w14:paraId="42D629D4" w14:textId="77777777" w:rsidR="00DA16B9" w:rsidRDefault="00DA16B9" w:rsidP="009B1BC4">
            <w:r>
              <w:t>Buničina a papír</w:t>
            </w:r>
          </w:p>
        </w:tc>
        <w:tc>
          <w:tcPr>
            <w:tcW w:w="1610" w:type="dxa"/>
          </w:tcPr>
          <w:p w14:paraId="2D0F88E0" w14:textId="77777777" w:rsidR="00DA16B9" w:rsidRDefault="00DA16B9" w:rsidP="009B1BC4"/>
        </w:tc>
        <w:tc>
          <w:tcPr>
            <w:tcW w:w="1610" w:type="dxa"/>
          </w:tcPr>
          <w:p w14:paraId="4802D191" w14:textId="77777777" w:rsidR="00DA16B9" w:rsidRDefault="00DA16B9" w:rsidP="009B1BC4"/>
        </w:tc>
      </w:tr>
      <w:tr w:rsidR="00DA16B9" w14:paraId="7B80D537" w14:textId="77777777" w:rsidTr="009B1BC4">
        <w:tc>
          <w:tcPr>
            <w:tcW w:w="329" w:type="dxa"/>
            <w:vMerge/>
            <w:shd w:val="clear" w:color="auto" w:fill="FF9999"/>
          </w:tcPr>
          <w:p w14:paraId="24F7E477" w14:textId="77777777" w:rsidR="00DA16B9" w:rsidRDefault="00DA16B9" w:rsidP="009B1BC4"/>
        </w:tc>
        <w:tc>
          <w:tcPr>
            <w:tcW w:w="5493" w:type="dxa"/>
          </w:tcPr>
          <w:p w14:paraId="55046F36" w14:textId="77777777" w:rsidR="00DA16B9" w:rsidRDefault="00DA16B9" w:rsidP="009B1BC4">
            <w:r>
              <w:t>Nákupy autobusů, kolejových vozidel a lodí</w:t>
            </w:r>
          </w:p>
        </w:tc>
        <w:tc>
          <w:tcPr>
            <w:tcW w:w="1610" w:type="dxa"/>
          </w:tcPr>
          <w:p w14:paraId="262B5D7C" w14:textId="77777777" w:rsidR="00DA16B9" w:rsidRDefault="00DA16B9" w:rsidP="009B1BC4">
            <w:r>
              <w:t>6.1, 6.4, 6.5, 6.7, 6.8, 6.9</w:t>
            </w:r>
          </w:p>
        </w:tc>
        <w:tc>
          <w:tcPr>
            <w:tcW w:w="1610" w:type="dxa"/>
          </w:tcPr>
          <w:p w14:paraId="68AE22FB" w14:textId="77777777" w:rsidR="00DA16B9" w:rsidRDefault="00DA16B9" w:rsidP="009B1BC4"/>
        </w:tc>
      </w:tr>
      <w:tr w:rsidR="00DA16B9" w14:paraId="422922BA" w14:textId="77777777" w:rsidTr="009B1BC4">
        <w:tc>
          <w:tcPr>
            <w:tcW w:w="329" w:type="dxa"/>
            <w:vMerge/>
            <w:shd w:val="clear" w:color="auto" w:fill="FF9999"/>
          </w:tcPr>
          <w:p w14:paraId="18809D9D" w14:textId="77777777" w:rsidR="00DA16B9" w:rsidRDefault="00DA16B9" w:rsidP="009B1BC4"/>
        </w:tc>
        <w:tc>
          <w:tcPr>
            <w:tcW w:w="5493" w:type="dxa"/>
          </w:tcPr>
          <w:p w14:paraId="192B429D" w14:textId="77777777" w:rsidR="00DA16B9" w:rsidRDefault="00DA16B9" w:rsidP="009B1BC4">
            <w:r>
              <w:t>Silniční a železniční infrastruktura, a infrastruktura pro městskou dopravu (např. metro, tramvajové tratě apod.)</w:t>
            </w:r>
            <w:r>
              <w:rPr>
                <w:rStyle w:val="Znakapoznpodarou"/>
              </w:rPr>
              <w:footnoteReference w:id="42"/>
            </w:r>
          </w:p>
        </w:tc>
        <w:tc>
          <w:tcPr>
            <w:tcW w:w="1610" w:type="dxa"/>
          </w:tcPr>
          <w:p w14:paraId="2BA74BD1" w14:textId="77777777" w:rsidR="00DA16B9" w:rsidRDefault="00DA16B9" w:rsidP="009B1BC4">
            <w:r>
              <w:t>6,13, 6.14, 6.15</w:t>
            </w:r>
          </w:p>
        </w:tc>
        <w:tc>
          <w:tcPr>
            <w:tcW w:w="1610" w:type="dxa"/>
          </w:tcPr>
          <w:p w14:paraId="4C144F0A" w14:textId="77777777" w:rsidR="00DA16B9" w:rsidRDefault="00DA16B9" w:rsidP="009B1BC4"/>
        </w:tc>
      </w:tr>
      <w:tr w:rsidR="00DA16B9" w14:paraId="7466FC3C" w14:textId="77777777" w:rsidTr="009B1BC4">
        <w:tc>
          <w:tcPr>
            <w:tcW w:w="329" w:type="dxa"/>
            <w:vMerge/>
            <w:shd w:val="clear" w:color="auto" w:fill="FF9999"/>
          </w:tcPr>
          <w:p w14:paraId="3F260938" w14:textId="77777777" w:rsidR="00DA16B9" w:rsidRDefault="00DA16B9" w:rsidP="009B1BC4"/>
        </w:tc>
        <w:tc>
          <w:tcPr>
            <w:tcW w:w="5493" w:type="dxa"/>
          </w:tcPr>
          <w:p w14:paraId="313C8668" w14:textId="77777777" w:rsidR="00DA16B9" w:rsidRDefault="00DA16B9" w:rsidP="009B1BC4">
            <w:r>
              <w:t>Přístavy a logistické platformy</w:t>
            </w:r>
          </w:p>
        </w:tc>
        <w:tc>
          <w:tcPr>
            <w:tcW w:w="1610" w:type="dxa"/>
          </w:tcPr>
          <w:p w14:paraId="79FD0E2F" w14:textId="77777777" w:rsidR="00DA16B9" w:rsidRDefault="00DA16B9" w:rsidP="009B1BC4">
            <w:r>
              <w:t>6.16</w:t>
            </w:r>
          </w:p>
        </w:tc>
        <w:tc>
          <w:tcPr>
            <w:tcW w:w="1610" w:type="dxa"/>
          </w:tcPr>
          <w:p w14:paraId="7C160912" w14:textId="77777777" w:rsidR="00DA16B9" w:rsidRDefault="00DA16B9" w:rsidP="009B1BC4"/>
        </w:tc>
      </w:tr>
      <w:tr w:rsidR="00DA16B9" w14:paraId="61A7ADDC" w14:textId="77777777" w:rsidTr="009B1BC4">
        <w:tc>
          <w:tcPr>
            <w:tcW w:w="329" w:type="dxa"/>
            <w:vMerge/>
            <w:shd w:val="clear" w:color="auto" w:fill="FF9999"/>
          </w:tcPr>
          <w:p w14:paraId="2DE77E03" w14:textId="77777777" w:rsidR="00DA16B9" w:rsidRDefault="00DA16B9" w:rsidP="009B1BC4"/>
        </w:tc>
        <w:tc>
          <w:tcPr>
            <w:tcW w:w="5493" w:type="dxa"/>
          </w:tcPr>
          <w:p w14:paraId="24DA0871" w14:textId="77777777" w:rsidR="00DA16B9" w:rsidRDefault="00DA16B9" w:rsidP="009B1BC4">
            <w:r>
              <w:t>Vedení elektrické přenosové soustavy</w:t>
            </w:r>
          </w:p>
        </w:tc>
        <w:tc>
          <w:tcPr>
            <w:tcW w:w="1610" w:type="dxa"/>
          </w:tcPr>
          <w:p w14:paraId="5B82983D" w14:textId="77777777" w:rsidR="00DA16B9" w:rsidRDefault="00DA16B9" w:rsidP="009B1BC4">
            <w:r>
              <w:t>4.9</w:t>
            </w:r>
          </w:p>
        </w:tc>
        <w:tc>
          <w:tcPr>
            <w:tcW w:w="1610" w:type="dxa"/>
          </w:tcPr>
          <w:p w14:paraId="3C17370C" w14:textId="77777777" w:rsidR="00DA16B9" w:rsidRDefault="00DA16B9" w:rsidP="009B1BC4"/>
        </w:tc>
      </w:tr>
      <w:tr w:rsidR="00DA16B9" w14:paraId="0BA6A431" w14:textId="77777777" w:rsidTr="009B1BC4">
        <w:tc>
          <w:tcPr>
            <w:tcW w:w="329" w:type="dxa"/>
            <w:vMerge/>
            <w:shd w:val="clear" w:color="auto" w:fill="FF9999"/>
          </w:tcPr>
          <w:p w14:paraId="78C5BD57" w14:textId="77777777" w:rsidR="00DA16B9" w:rsidRDefault="00DA16B9" w:rsidP="009B1BC4"/>
        </w:tc>
        <w:tc>
          <w:tcPr>
            <w:tcW w:w="5493" w:type="dxa"/>
          </w:tcPr>
          <w:p w14:paraId="54FDAC70" w14:textId="77777777" w:rsidR="00DA16B9" w:rsidRDefault="00DA16B9" w:rsidP="009B1BC4">
            <w:r>
              <w:t>Obnovitelné zdroje energie</w:t>
            </w:r>
          </w:p>
        </w:tc>
        <w:tc>
          <w:tcPr>
            <w:tcW w:w="1610" w:type="dxa"/>
          </w:tcPr>
          <w:p w14:paraId="22CD2C04" w14:textId="77777777" w:rsidR="00DA16B9" w:rsidRDefault="00DA16B9" w:rsidP="009B1BC4">
            <w:r>
              <w:t>4.1, 4.2, 4.3, 4.4, 4.5, 4.6, 4.7</w:t>
            </w:r>
          </w:p>
        </w:tc>
        <w:tc>
          <w:tcPr>
            <w:tcW w:w="1610" w:type="dxa"/>
          </w:tcPr>
          <w:p w14:paraId="341E5B70" w14:textId="77777777" w:rsidR="00DA16B9" w:rsidRDefault="00DA16B9" w:rsidP="009B1BC4"/>
        </w:tc>
      </w:tr>
      <w:tr w:rsidR="00DA16B9" w14:paraId="2ABAAD62" w14:textId="77777777" w:rsidTr="009B1BC4">
        <w:tc>
          <w:tcPr>
            <w:tcW w:w="329" w:type="dxa"/>
            <w:vMerge/>
            <w:shd w:val="clear" w:color="auto" w:fill="FF9999"/>
          </w:tcPr>
          <w:p w14:paraId="12F5B0BD" w14:textId="77777777" w:rsidR="00DA16B9" w:rsidRDefault="00DA16B9" w:rsidP="009B1BC4"/>
        </w:tc>
        <w:tc>
          <w:tcPr>
            <w:tcW w:w="5493" w:type="dxa"/>
          </w:tcPr>
          <w:p w14:paraId="7689FA54" w14:textId="77777777" w:rsidR="00DA16B9" w:rsidRDefault="00DA16B9" w:rsidP="009B1BC4">
            <w:r>
              <w:t>Výroba, zpracování, skladování a přeprava paliv</w:t>
            </w:r>
          </w:p>
        </w:tc>
        <w:tc>
          <w:tcPr>
            <w:tcW w:w="1610" w:type="dxa"/>
          </w:tcPr>
          <w:p w14:paraId="26556725" w14:textId="77777777" w:rsidR="00DA16B9" w:rsidRDefault="00DA16B9" w:rsidP="009B1BC4">
            <w:r>
              <w:t>4</w:t>
            </w:r>
          </w:p>
        </w:tc>
        <w:tc>
          <w:tcPr>
            <w:tcW w:w="1610" w:type="dxa"/>
          </w:tcPr>
          <w:p w14:paraId="3562CF62" w14:textId="77777777" w:rsidR="00DA16B9" w:rsidRDefault="00DA16B9" w:rsidP="009B1BC4"/>
        </w:tc>
      </w:tr>
      <w:tr w:rsidR="00DA16B9" w14:paraId="7C25BD4A" w14:textId="77777777" w:rsidTr="009B1BC4">
        <w:tc>
          <w:tcPr>
            <w:tcW w:w="329" w:type="dxa"/>
            <w:vMerge/>
            <w:shd w:val="clear" w:color="auto" w:fill="FF9999"/>
          </w:tcPr>
          <w:p w14:paraId="569A46B7" w14:textId="77777777" w:rsidR="00DA16B9" w:rsidRDefault="00DA16B9" w:rsidP="009B1BC4"/>
        </w:tc>
        <w:tc>
          <w:tcPr>
            <w:tcW w:w="5493" w:type="dxa"/>
          </w:tcPr>
          <w:p w14:paraId="7797CA92" w14:textId="77777777" w:rsidR="00DA16B9" w:rsidRDefault="00DA16B9" w:rsidP="009B1BC4">
            <w:pPr>
              <w:spacing w:line="240" w:lineRule="auto"/>
            </w:pPr>
            <w:r>
              <w:t>Výroba cementu a vápna</w:t>
            </w:r>
          </w:p>
        </w:tc>
        <w:tc>
          <w:tcPr>
            <w:tcW w:w="1610" w:type="dxa"/>
          </w:tcPr>
          <w:p w14:paraId="1543390E" w14:textId="77777777" w:rsidR="00DA16B9" w:rsidRDefault="00DA16B9" w:rsidP="009B1BC4">
            <w:pPr>
              <w:spacing w:line="240" w:lineRule="auto"/>
            </w:pPr>
            <w:r>
              <w:t>3.7</w:t>
            </w:r>
          </w:p>
        </w:tc>
        <w:tc>
          <w:tcPr>
            <w:tcW w:w="1610" w:type="dxa"/>
          </w:tcPr>
          <w:p w14:paraId="4EF084DC" w14:textId="77777777" w:rsidR="00DA16B9" w:rsidRDefault="00DA16B9" w:rsidP="009B1BC4">
            <w:pPr>
              <w:spacing w:line="240" w:lineRule="auto"/>
            </w:pPr>
          </w:p>
        </w:tc>
      </w:tr>
      <w:tr w:rsidR="00DA16B9" w14:paraId="05420663" w14:textId="77777777" w:rsidTr="009B1BC4">
        <w:tc>
          <w:tcPr>
            <w:tcW w:w="329" w:type="dxa"/>
            <w:vMerge/>
            <w:shd w:val="clear" w:color="auto" w:fill="FF9999"/>
          </w:tcPr>
          <w:p w14:paraId="4EDBCA20" w14:textId="77777777" w:rsidR="00DA16B9" w:rsidRDefault="00DA16B9" w:rsidP="009B1BC4"/>
        </w:tc>
        <w:tc>
          <w:tcPr>
            <w:tcW w:w="5493" w:type="dxa"/>
          </w:tcPr>
          <w:p w14:paraId="60E60C68" w14:textId="77777777" w:rsidR="00DA16B9" w:rsidRDefault="00DA16B9" w:rsidP="009B1BC4">
            <w:pPr>
              <w:spacing w:line="240" w:lineRule="auto"/>
            </w:pPr>
            <w:r>
              <w:t>Výroba skla</w:t>
            </w:r>
          </w:p>
        </w:tc>
        <w:tc>
          <w:tcPr>
            <w:tcW w:w="1610" w:type="dxa"/>
          </w:tcPr>
          <w:p w14:paraId="7476E95D" w14:textId="77777777" w:rsidR="00DA16B9" w:rsidRDefault="00DA16B9" w:rsidP="009B1BC4">
            <w:pPr>
              <w:spacing w:line="240" w:lineRule="auto"/>
            </w:pPr>
            <w:r>
              <w:t>3</w:t>
            </w:r>
          </w:p>
        </w:tc>
        <w:tc>
          <w:tcPr>
            <w:tcW w:w="1610" w:type="dxa"/>
          </w:tcPr>
          <w:p w14:paraId="10E39118" w14:textId="77777777" w:rsidR="00DA16B9" w:rsidRDefault="00DA16B9" w:rsidP="009B1BC4">
            <w:pPr>
              <w:spacing w:line="240" w:lineRule="auto"/>
            </w:pPr>
          </w:p>
        </w:tc>
      </w:tr>
      <w:tr w:rsidR="00DA16B9" w14:paraId="06BA5FE8" w14:textId="77777777" w:rsidTr="009B1BC4">
        <w:tc>
          <w:tcPr>
            <w:tcW w:w="329" w:type="dxa"/>
            <w:vMerge/>
            <w:shd w:val="clear" w:color="auto" w:fill="FF9999"/>
          </w:tcPr>
          <w:p w14:paraId="50FBAE13" w14:textId="77777777" w:rsidR="00DA16B9" w:rsidRDefault="00DA16B9" w:rsidP="009B1BC4"/>
        </w:tc>
        <w:tc>
          <w:tcPr>
            <w:tcW w:w="5493" w:type="dxa"/>
          </w:tcPr>
          <w:p w14:paraId="6251EBE3" w14:textId="77777777" w:rsidR="00DA16B9" w:rsidRDefault="00DA16B9" w:rsidP="009B1BC4">
            <w:pPr>
              <w:spacing w:line="240" w:lineRule="auto"/>
            </w:pPr>
            <w:r>
              <w:t>Teplárny a elektrárny</w:t>
            </w:r>
          </w:p>
        </w:tc>
        <w:tc>
          <w:tcPr>
            <w:tcW w:w="1610" w:type="dxa"/>
          </w:tcPr>
          <w:p w14:paraId="7BD34D43" w14:textId="77777777" w:rsidR="00DA16B9" w:rsidRDefault="00DA16B9" w:rsidP="009B1BC4">
            <w:pPr>
              <w:spacing w:line="240" w:lineRule="auto"/>
            </w:pPr>
            <w:r>
              <w:t>4</w:t>
            </w:r>
          </w:p>
        </w:tc>
        <w:tc>
          <w:tcPr>
            <w:tcW w:w="1610" w:type="dxa"/>
          </w:tcPr>
          <w:p w14:paraId="7447EF75" w14:textId="77777777" w:rsidR="00DA16B9" w:rsidRDefault="00DA16B9" w:rsidP="009B1BC4">
            <w:pPr>
              <w:spacing w:line="240" w:lineRule="auto"/>
            </w:pPr>
          </w:p>
        </w:tc>
      </w:tr>
      <w:tr w:rsidR="00DA16B9" w14:paraId="1A4141B4" w14:textId="77777777" w:rsidTr="009B1BC4">
        <w:tc>
          <w:tcPr>
            <w:tcW w:w="329" w:type="dxa"/>
            <w:vMerge/>
            <w:shd w:val="clear" w:color="auto" w:fill="FF9999"/>
          </w:tcPr>
          <w:p w14:paraId="36FDF942" w14:textId="77777777" w:rsidR="00DA16B9" w:rsidRDefault="00DA16B9" w:rsidP="009B1BC4"/>
        </w:tc>
        <w:tc>
          <w:tcPr>
            <w:tcW w:w="5493" w:type="dxa"/>
          </w:tcPr>
          <w:p w14:paraId="485038BC" w14:textId="77777777" w:rsidR="00DA16B9" w:rsidRDefault="00DA16B9" w:rsidP="009B1BC4">
            <w:pPr>
              <w:spacing w:line="240" w:lineRule="auto"/>
            </w:pPr>
            <w:r>
              <w:t>Sítě dálkového vytápění</w:t>
            </w:r>
          </w:p>
        </w:tc>
        <w:tc>
          <w:tcPr>
            <w:tcW w:w="1610" w:type="dxa"/>
          </w:tcPr>
          <w:p w14:paraId="489D6361" w14:textId="77777777" w:rsidR="00DA16B9" w:rsidRDefault="00DA16B9" w:rsidP="009B1BC4">
            <w:pPr>
              <w:spacing w:line="240" w:lineRule="auto"/>
            </w:pPr>
            <w:r>
              <w:t>4.15</w:t>
            </w:r>
          </w:p>
        </w:tc>
        <w:tc>
          <w:tcPr>
            <w:tcW w:w="1610" w:type="dxa"/>
          </w:tcPr>
          <w:p w14:paraId="58FA6D55" w14:textId="77777777" w:rsidR="00DA16B9" w:rsidRDefault="00DA16B9" w:rsidP="009B1BC4">
            <w:pPr>
              <w:spacing w:line="240" w:lineRule="auto"/>
            </w:pPr>
          </w:p>
        </w:tc>
      </w:tr>
      <w:tr w:rsidR="00DA16B9" w14:paraId="11AEFBE6" w14:textId="77777777" w:rsidTr="009B1BC4">
        <w:tc>
          <w:tcPr>
            <w:tcW w:w="329" w:type="dxa"/>
            <w:vMerge/>
            <w:shd w:val="clear" w:color="auto" w:fill="FF9999"/>
          </w:tcPr>
          <w:p w14:paraId="5482587A" w14:textId="77777777" w:rsidR="00DA16B9" w:rsidRDefault="00DA16B9" w:rsidP="009B1BC4"/>
        </w:tc>
        <w:tc>
          <w:tcPr>
            <w:tcW w:w="5493" w:type="dxa"/>
          </w:tcPr>
          <w:p w14:paraId="2789221B" w14:textId="77777777" w:rsidR="00DA16B9" w:rsidRDefault="00DA16B9" w:rsidP="009B1BC4">
            <w:pPr>
              <w:spacing w:line="240" w:lineRule="auto"/>
            </w:pPr>
            <w:r>
              <w:t>Zařízení na zkapalňování zemního plynu a opětovné zplyňování</w:t>
            </w:r>
          </w:p>
        </w:tc>
        <w:tc>
          <w:tcPr>
            <w:tcW w:w="1610" w:type="dxa"/>
          </w:tcPr>
          <w:p w14:paraId="52EE1ADB" w14:textId="77777777" w:rsidR="00DA16B9" w:rsidRDefault="00DA16B9" w:rsidP="009B1BC4">
            <w:pPr>
              <w:spacing w:line="240" w:lineRule="auto"/>
            </w:pPr>
          </w:p>
        </w:tc>
        <w:tc>
          <w:tcPr>
            <w:tcW w:w="1610" w:type="dxa"/>
          </w:tcPr>
          <w:p w14:paraId="1389347B" w14:textId="77777777" w:rsidR="00DA16B9" w:rsidRDefault="00DA16B9" w:rsidP="009B1BC4">
            <w:pPr>
              <w:spacing w:line="240" w:lineRule="auto"/>
            </w:pPr>
          </w:p>
        </w:tc>
      </w:tr>
      <w:tr w:rsidR="00DA16B9" w14:paraId="20C6C2FF" w14:textId="77777777" w:rsidTr="009B1BC4">
        <w:tc>
          <w:tcPr>
            <w:tcW w:w="329" w:type="dxa"/>
            <w:vMerge/>
            <w:shd w:val="clear" w:color="auto" w:fill="FF9999"/>
          </w:tcPr>
          <w:p w14:paraId="0102564A" w14:textId="77777777" w:rsidR="00DA16B9" w:rsidRDefault="00DA16B9" w:rsidP="009B1BC4"/>
        </w:tc>
        <w:tc>
          <w:tcPr>
            <w:tcW w:w="5493" w:type="dxa"/>
          </w:tcPr>
          <w:p w14:paraId="51B4FD0B" w14:textId="77777777" w:rsidR="00DA16B9" w:rsidRDefault="00DA16B9" w:rsidP="009B1BC4">
            <w:pPr>
              <w:spacing w:line="240" w:lineRule="auto"/>
            </w:pPr>
            <w:r>
              <w:t>Infrastruktura pro přepravu plynu</w:t>
            </w:r>
          </w:p>
        </w:tc>
        <w:tc>
          <w:tcPr>
            <w:tcW w:w="1610" w:type="dxa"/>
          </w:tcPr>
          <w:p w14:paraId="275C76A0" w14:textId="77777777" w:rsidR="00DA16B9" w:rsidRDefault="00DA16B9" w:rsidP="009B1BC4">
            <w:pPr>
              <w:spacing w:line="240" w:lineRule="auto"/>
            </w:pPr>
            <w:r>
              <w:t>4.14</w:t>
            </w:r>
          </w:p>
        </w:tc>
        <w:tc>
          <w:tcPr>
            <w:tcW w:w="1610" w:type="dxa"/>
          </w:tcPr>
          <w:p w14:paraId="213F9F16" w14:textId="77777777" w:rsidR="00DA16B9" w:rsidRDefault="00DA16B9" w:rsidP="009B1BC4">
            <w:pPr>
              <w:spacing w:line="240" w:lineRule="auto"/>
            </w:pPr>
          </w:p>
        </w:tc>
      </w:tr>
      <w:tr w:rsidR="00DA16B9" w14:paraId="41FAF95D" w14:textId="77777777" w:rsidTr="009B1BC4">
        <w:tc>
          <w:tcPr>
            <w:tcW w:w="329" w:type="dxa"/>
            <w:vMerge/>
            <w:shd w:val="clear" w:color="auto" w:fill="FF9999"/>
          </w:tcPr>
          <w:p w14:paraId="0433665D" w14:textId="77777777" w:rsidR="00DA16B9" w:rsidRDefault="00DA16B9" w:rsidP="009B1BC4"/>
        </w:tc>
        <w:tc>
          <w:tcPr>
            <w:tcW w:w="8713" w:type="dxa"/>
            <w:gridSpan w:val="3"/>
          </w:tcPr>
          <w:p w14:paraId="42EABA54" w14:textId="464DEFAB" w:rsidR="00DA16B9" w:rsidRDefault="00DA16B9" w:rsidP="009B1BC4">
            <w:pPr>
              <w:rPr>
                <w:b/>
              </w:rPr>
            </w:pPr>
            <w:r>
              <w:rPr>
                <w:b/>
              </w:rPr>
              <w:t xml:space="preserve">Všechny ostatní projekty, které nejsou na zeleném ani červeném seznamu a jejich emise typicky </w:t>
            </w:r>
            <w:r>
              <w:rPr>
                <w:b/>
                <w:u w:val="single"/>
              </w:rPr>
              <w:t>překračují</w:t>
            </w:r>
            <w:r>
              <w:rPr>
                <w:b/>
              </w:rPr>
              <w:t xml:space="preserve"> </w:t>
            </w:r>
            <w:r>
              <w:rPr>
                <w:rStyle w:val="Zdraznn"/>
              </w:rPr>
              <w:t>20 000 t</w:t>
            </w:r>
            <w:r w:rsidR="00267EA7">
              <w:rPr>
                <w:rStyle w:val="Zdraznn"/>
              </w:rPr>
              <w:t xml:space="preserve"> </w:t>
            </w:r>
            <w:r>
              <w:rPr>
                <w:rStyle w:val="Zdraznn"/>
              </w:rPr>
              <w:t>CO</w:t>
            </w:r>
            <w:r>
              <w:rPr>
                <w:rStyle w:val="Zdraznn"/>
                <w:vertAlign w:val="subscript"/>
              </w:rPr>
              <w:t>2</w:t>
            </w:r>
            <w:r w:rsidR="00267EA7">
              <w:rPr>
                <w:rStyle w:val="Zdraznn"/>
                <w:vertAlign w:val="subscript"/>
              </w:rPr>
              <w:t xml:space="preserve"> </w:t>
            </w:r>
            <w:proofErr w:type="spellStart"/>
            <w:r>
              <w:rPr>
                <w:rStyle w:val="Zdraznn"/>
              </w:rPr>
              <w:t>ekv</w:t>
            </w:r>
            <w:proofErr w:type="spellEnd"/>
            <w:r>
              <w:rPr>
                <w:rStyle w:val="Zdraznn"/>
              </w:rPr>
              <w:t>./rok</w:t>
            </w:r>
            <w:r>
              <w:rPr>
                <w:b/>
              </w:rPr>
              <w:t>.</w:t>
            </w:r>
          </w:p>
        </w:tc>
      </w:tr>
    </w:tbl>
    <w:p w14:paraId="543D3E40" w14:textId="77777777" w:rsidR="00DA16B9" w:rsidRDefault="00DA16B9" w:rsidP="00DA16B9">
      <w:pPr>
        <w:spacing w:after="160" w:line="259" w:lineRule="auto"/>
        <w:contextualSpacing/>
        <w:rPr>
          <w:rFonts w:cs="Segoe UI"/>
        </w:rPr>
      </w:pPr>
    </w:p>
    <w:p w14:paraId="1502F71B" w14:textId="4E829D5F" w:rsidR="00503F9B" w:rsidRPr="008C4504" w:rsidRDefault="00503F9B" w:rsidP="00503F9B">
      <w:pPr>
        <w:pStyle w:val="Nadpis4"/>
        <w:numPr>
          <w:ilvl w:val="3"/>
          <w:numId w:val="200"/>
        </w:numPr>
      </w:pPr>
      <w:r>
        <w:t>Způsoby posouzení a implementace podrobné analýzy CPM</w:t>
      </w:r>
    </w:p>
    <w:p w14:paraId="4C89F271" w14:textId="36F045EB" w:rsidR="00DA16B9" w:rsidRDefault="00DA16B9" w:rsidP="00DA16B9">
      <w:pPr>
        <w:spacing w:after="160" w:line="259" w:lineRule="auto"/>
        <w:contextualSpacing/>
        <w:rPr>
          <w:rFonts w:cs="Segoe UI"/>
        </w:rPr>
      </w:pPr>
      <w:r>
        <w:rPr>
          <w:rFonts w:cs="Segoe UI"/>
        </w:rPr>
        <w:t xml:space="preserve">V případě, že zamýšlený projekt překračuje hranici </w:t>
      </w:r>
      <w:r w:rsidRPr="00C15715">
        <w:rPr>
          <w:rFonts w:cs="Segoe UI"/>
        </w:rPr>
        <w:t>20 000 t</w:t>
      </w:r>
      <w:r w:rsidR="00267EA7">
        <w:rPr>
          <w:rFonts w:cs="Segoe UI"/>
        </w:rPr>
        <w:t xml:space="preserve"> </w:t>
      </w:r>
      <w:r w:rsidRPr="00C15715">
        <w:rPr>
          <w:rFonts w:cs="Segoe UI"/>
        </w:rPr>
        <w:t>CO</w:t>
      </w:r>
      <w:r w:rsidRPr="006C1B48">
        <w:rPr>
          <w:rFonts w:cs="Segoe UI"/>
          <w:vertAlign w:val="subscript"/>
        </w:rPr>
        <w:t>2</w:t>
      </w:r>
      <w:r w:rsidR="00267EA7">
        <w:rPr>
          <w:rFonts w:cs="Segoe UI"/>
        </w:rPr>
        <w:t xml:space="preserve"> </w:t>
      </w:r>
      <w:proofErr w:type="spellStart"/>
      <w:r w:rsidRPr="00C15715">
        <w:rPr>
          <w:rFonts w:cs="Segoe UI"/>
        </w:rPr>
        <w:t>ekv</w:t>
      </w:r>
      <w:proofErr w:type="spellEnd"/>
      <w:r w:rsidRPr="00C15715">
        <w:rPr>
          <w:rFonts w:cs="Segoe UI"/>
        </w:rPr>
        <w:t>./rok</w:t>
      </w:r>
      <w:r>
        <w:rPr>
          <w:rFonts w:cs="Segoe UI"/>
        </w:rPr>
        <w:t xml:space="preserve"> je možné </w:t>
      </w:r>
      <w:r w:rsidR="00503F9B">
        <w:rPr>
          <w:rFonts w:cs="Segoe UI"/>
        </w:rPr>
        <w:t xml:space="preserve">CPM </w:t>
      </w:r>
      <w:r>
        <w:rPr>
          <w:rFonts w:cs="Segoe UI"/>
        </w:rPr>
        <w:t>implementovat následujícími způsoby (či jejich kombinací):</w:t>
      </w:r>
    </w:p>
    <w:p w14:paraId="6326C70B" w14:textId="77777777" w:rsidR="00DA16B9" w:rsidRPr="00503F9B" w:rsidRDefault="00DA16B9" w:rsidP="00AF460E">
      <w:pPr>
        <w:pStyle w:val="Nadpis5"/>
        <w:numPr>
          <w:ilvl w:val="4"/>
          <w:numId w:val="200"/>
        </w:numPr>
      </w:pPr>
      <w:r w:rsidRPr="00503F9B">
        <w:t>Plnění zásady DNSH dle významného příspěvku Nařízení o taxonomii</w:t>
      </w:r>
    </w:p>
    <w:p w14:paraId="51362715" w14:textId="1D01B64D" w:rsidR="00503F9B" w:rsidRPr="00AF460E" w:rsidRDefault="00503F9B" w:rsidP="00503F9B">
      <w:pPr>
        <w:rPr>
          <w:rFonts w:cs="Segoe UI"/>
          <w:b/>
          <w:bCs/>
        </w:rPr>
      </w:pPr>
      <w:r w:rsidRPr="00AF460E">
        <w:rPr>
          <w:rFonts w:cs="Segoe UI"/>
          <w:b/>
          <w:bCs/>
        </w:rPr>
        <w:t xml:space="preserve">Jelikož je </w:t>
      </w:r>
      <w:r w:rsidR="00E47ED0" w:rsidRPr="00AF460E">
        <w:rPr>
          <w:rFonts w:cs="Segoe UI"/>
          <w:b/>
          <w:bCs/>
        </w:rPr>
        <w:t>smyslem CPM soulad s klimatickou neutralitou, je možné</w:t>
      </w:r>
      <w:r w:rsidRPr="00AF460E">
        <w:rPr>
          <w:rFonts w:cs="Segoe UI"/>
          <w:b/>
          <w:bCs/>
        </w:rPr>
        <w:t xml:space="preserve"> stanovit konkrétní podmínky pro čerpání podpory dle technických kritérií </w:t>
      </w:r>
      <w:r w:rsidR="00E47ED0" w:rsidRPr="00AF460E">
        <w:rPr>
          <w:rFonts w:cs="Segoe UI"/>
          <w:b/>
          <w:bCs/>
        </w:rPr>
        <w:t xml:space="preserve">taxonomie </w:t>
      </w:r>
      <w:r w:rsidRPr="00AF460E">
        <w:rPr>
          <w:rFonts w:cs="Segoe UI"/>
          <w:b/>
          <w:bCs/>
        </w:rPr>
        <w:t>pro významný příspěvek</w:t>
      </w:r>
      <w:r w:rsidR="00E47ED0" w:rsidRPr="00AF460E">
        <w:rPr>
          <w:rFonts w:cs="Segoe UI"/>
          <w:b/>
          <w:bCs/>
        </w:rPr>
        <w:t xml:space="preserve"> vůči cíli zmírňování změny klimatu</w:t>
      </w:r>
      <w:r w:rsidRPr="00AF460E">
        <w:rPr>
          <w:rFonts w:cs="Segoe UI"/>
          <w:b/>
          <w:bCs/>
        </w:rPr>
        <w:t>.</w:t>
      </w:r>
      <w:r w:rsidR="00E47ED0" w:rsidRPr="00AF460E">
        <w:rPr>
          <w:rFonts w:cs="Segoe UI"/>
          <w:b/>
          <w:bCs/>
        </w:rPr>
        <w:t xml:space="preserve"> Při povinném stanovení těchto podmínek není pro projekty nutné zpracovávat další dokumentaci CPM</w:t>
      </w:r>
      <w:r w:rsidR="00E47ED0">
        <w:rPr>
          <w:rFonts w:cs="Segoe UI"/>
          <w:b/>
          <w:bCs/>
        </w:rPr>
        <w:t xml:space="preserve"> (dle kap. 4.1.6.1.3)</w:t>
      </w:r>
      <w:r w:rsidR="00E47ED0" w:rsidRPr="00AF460E">
        <w:rPr>
          <w:rFonts w:cs="Segoe UI"/>
          <w:b/>
          <w:bCs/>
        </w:rPr>
        <w:t>,</w:t>
      </w:r>
      <w:hyperlink w:anchor="_Vyhodnocení_DNSH_dle" w:history="1">
        <w:r w:rsidR="00E47ED0" w:rsidRPr="005B0B07">
          <w:rPr>
            <w:rStyle w:val="Hypertextovodkaz"/>
            <w:rFonts w:cs="Segoe UI"/>
            <w:b/>
            <w:bCs/>
          </w:rPr>
          <w:t>4.1.6.1.3</w:t>
        </w:r>
      </w:hyperlink>
      <w:r w:rsidR="00E47ED0" w:rsidRPr="00AF460E">
        <w:rPr>
          <w:rFonts w:cs="Segoe UI"/>
          <w:b/>
          <w:bCs/>
        </w:rPr>
        <w:t xml:space="preserve"> je však nutné dostatečně zdokumentovat soulad s</w:t>
      </w:r>
      <w:r w:rsidR="00E47ED0">
        <w:rPr>
          <w:rFonts w:cs="Segoe UI"/>
          <w:b/>
          <w:bCs/>
        </w:rPr>
        <w:t> </w:t>
      </w:r>
      <w:r w:rsidR="00E47ED0" w:rsidRPr="00AF460E">
        <w:rPr>
          <w:rFonts w:cs="Segoe UI"/>
          <w:b/>
          <w:bCs/>
        </w:rPr>
        <w:t>kritérii</w:t>
      </w:r>
      <w:r w:rsidR="00E47ED0">
        <w:rPr>
          <w:rFonts w:cs="Segoe UI"/>
          <w:b/>
          <w:bCs/>
        </w:rPr>
        <w:t>:</w:t>
      </w:r>
    </w:p>
    <w:p w14:paraId="25863629" w14:textId="113D8BB9" w:rsidR="00503F9B" w:rsidRPr="00751A92" w:rsidRDefault="00503F9B" w:rsidP="00503F9B">
      <w:pPr>
        <w:rPr>
          <w:rFonts w:cs="Segoe UI"/>
        </w:rPr>
      </w:pPr>
      <w:r w:rsidRPr="00751A92">
        <w:rPr>
          <w:rFonts w:cs="Segoe UI"/>
        </w:rPr>
        <w:t>Doporučeným postupem v takovém případě je dohledat předmět podpory v </w:t>
      </w:r>
      <w:hyperlink r:id="rId61" w:history="1">
        <w:r w:rsidRPr="00751A92">
          <w:rPr>
            <w:rStyle w:val="Hypertextovodkaz"/>
            <w:rFonts w:cs="Segoe UI"/>
          </w:rPr>
          <w:t xml:space="preserve">EU Taxonomy </w:t>
        </w:r>
        <w:proofErr w:type="spellStart"/>
        <w:r w:rsidRPr="00751A92">
          <w:rPr>
            <w:rStyle w:val="Hypertextovodkaz"/>
            <w:rFonts w:cs="Segoe UI"/>
          </w:rPr>
          <w:t>compass</w:t>
        </w:r>
        <w:proofErr w:type="spellEnd"/>
      </w:hyperlink>
      <w:r w:rsidRPr="00751A92">
        <w:rPr>
          <w:rFonts w:cs="Segoe UI"/>
        </w:rPr>
        <w:t xml:space="preserve"> nebo v </w:t>
      </w:r>
      <w:hyperlink w:anchor="_Kontext_taxonomie_EU" w:history="1">
        <w:r w:rsidRPr="0077290F">
          <w:rPr>
            <w:rStyle w:val="Hypertextovodkaz"/>
            <w:rFonts w:cs="Segoe UI"/>
          </w:rPr>
          <w:t>relevantním delegovaném aktu taxonomie</w:t>
        </w:r>
      </w:hyperlink>
      <w:r w:rsidRPr="00751A92">
        <w:rPr>
          <w:rFonts w:cs="Segoe UI"/>
        </w:rPr>
        <w:t xml:space="preserve">. </w:t>
      </w:r>
      <w:r w:rsidRPr="009126CE">
        <w:rPr>
          <w:rFonts w:cs="Segoe UI"/>
        </w:rPr>
        <w:t xml:space="preserve">Český překlad je zveřejněn na </w:t>
      </w:r>
      <w:r w:rsidRPr="009126CE">
        <w:rPr>
          <w:rFonts w:cs="Segoe UI"/>
        </w:rPr>
        <w:lastRenderedPageBreak/>
        <w:t xml:space="preserve">webových stránkách </w:t>
      </w:r>
      <w:hyperlink r:id="rId62" w:history="1">
        <w:r w:rsidRPr="0058633B">
          <w:rPr>
            <w:rStyle w:val="Hypertextovodkaz"/>
            <w:rFonts w:cs="Segoe UI"/>
          </w:rPr>
          <w:t>Ministerstva financí</w:t>
        </w:r>
      </w:hyperlink>
      <w:r w:rsidRPr="009126CE">
        <w:rPr>
          <w:rFonts w:cs="Segoe UI"/>
        </w:rPr>
        <w:t xml:space="preserve">, kde jsou k dispozici překlady jednotlivých činností a </w:t>
      </w:r>
      <w:r w:rsidR="009C67B7" w:rsidRPr="00751A92">
        <w:rPr>
          <w:rFonts w:cs="Segoe UI"/>
          <w:noProof/>
        </w:rPr>
        <mc:AlternateContent>
          <mc:Choice Requires="wps">
            <w:drawing>
              <wp:anchor distT="0" distB="0" distL="114300" distR="114300" simplePos="0" relativeHeight="251705344" behindDoc="0" locked="0" layoutInCell="1" allowOverlap="1" wp14:anchorId="15A22B82" wp14:editId="78F48459">
                <wp:simplePos x="0" y="0"/>
                <wp:positionH relativeFrom="margin">
                  <wp:posOffset>2344420</wp:posOffset>
                </wp:positionH>
                <wp:positionV relativeFrom="paragraph">
                  <wp:posOffset>478402</wp:posOffset>
                </wp:positionV>
                <wp:extent cx="514350" cy="914400"/>
                <wp:effectExtent l="19050" t="19050" r="19050" b="19050"/>
                <wp:wrapNone/>
                <wp:docPr id="1169719978" name="Obdélník 1"/>
                <wp:cNvGraphicFramePr/>
                <a:graphic xmlns:a="http://schemas.openxmlformats.org/drawingml/2006/main">
                  <a:graphicData uri="http://schemas.microsoft.com/office/word/2010/wordprocessingShape">
                    <wps:wsp>
                      <wps:cNvSpPr/>
                      <wps:spPr>
                        <a:xfrm>
                          <a:off x="0" y="0"/>
                          <a:ext cx="514350" cy="914400"/>
                        </a:xfrm>
                        <a:prstGeom prst="rect">
                          <a:avLst/>
                        </a:prstGeom>
                        <a:noFill/>
                        <a:ln w="2857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7FAFE4" id="Obdélník 1" o:spid="_x0000_s1026" style="position:absolute;margin-left:184.6pt;margin-top:37.65pt;width:40.5pt;height:1in;z-index:25170534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" filled="f" strokecolor="red" strokeweight="2.25pt">
                <w10:wrap anchorx="margin"/>
              </v:rect>
            </w:pict>
          </mc:Fallback>
        </mc:AlternateContent>
      </w:r>
      <w:r w:rsidRPr="009126CE">
        <w:rPr>
          <w:rFonts w:cs="Segoe UI"/>
        </w:rPr>
        <w:t>také screeningových kritérií.</w:t>
      </w:r>
    </w:p>
    <w:p w14:paraId="28D87B18" w14:textId="75693D6A" w:rsidR="00503F9B" w:rsidRPr="00751A92" w:rsidRDefault="00503F9B" w:rsidP="00503F9B">
      <w:pPr>
        <w:rPr>
          <w:rFonts w:cs="Segoe UI"/>
          <w:b/>
          <w:bCs/>
        </w:rPr>
      </w:pPr>
      <w:r w:rsidRPr="00751A92">
        <w:rPr>
          <w:rFonts w:cs="Segoe UI"/>
          <w:noProof/>
        </w:rPr>
        <w:drawing>
          <wp:inline distT="0" distB="0" distL="0" distR="0" wp14:anchorId="069A1142" wp14:editId="5F94C25A">
            <wp:extent cx="5760720" cy="404495"/>
            <wp:effectExtent l="0" t="0" r="0" b="0"/>
            <wp:docPr id="178447573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789274" name=""/>
                    <pic:cNvPicPr/>
                  </pic:nvPicPr>
                  <pic:blipFill>
                    <a:blip r:embed="rId63"/>
                    <a:stretch>
                      <a:fillRect/>
                    </a:stretch>
                  </pic:blipFill>
                  <pic:spPr>
                    <a:xfrm>
                      <a:off x="0" y="0"/>
                      <a:ext cx="5760720" cy="404495"/>
                    </a:xfrm>
                    <a:prstGeom prst="rect">
                      <a:avLst/>
                    </a:prstGeom>
                  </pic:spPr>
                </pic:pic>
              </a:graphicData>
            </a:graphic>
          </wp:inline>
        </w:drawing>
      </w:r>
    </w:p>
    <w:p w14:paraId="13F7040A" w14:textId="77777777" w:rsidR="00503F9B" w:rsidRPr="00751A92" w:rsidRDefault="00503F9B" w:rsidP="00503F9B">
      <w:pPr>
        <w:rPr>
          <w:rFonts w:cs="Segoe UI"/>
          <w:b/>
          <w:bCs/>
        </w:rPr>
      </w:pPr>
      <w:r>
        <w:rPr>
          <w:noProof/>
        </w:rPr>
        <w:drawing>
          <wp:inline distT="0" distB="0" distL="0" distR="0" wp14:anchorId="68F0EB6E" wp14:editId="7D84DB03">
            <wp:extent cx="5760720" cy="328930"/>
            <wp:effectExtent l="0" t="0" r="0" b="0"/>
            <wp:docPr id="22720657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926161" name=""/>
                    <pic:cNvPicPr/>
                  </pic:nvPicPr>
                  <pic:blipFill>
                    <a:blip r:embed="rId64"/>
                    <a:stretch>
                      <a:fillRect/>
                    </a:stretch>
                  </pic:blipFill>
                  <pic:spPr>
                    <a:xfrm>
                      <a:off x="0" y="0"/>
                      <a:ext cx="5760720" cy="328930"/>
                    </a:xfrm>
                    <a:prstGeom prst="rect">
                      <a:avLst/>
                    </a:prstGeom>
                  </pic:spPr>
                </pic:pic>
              </a:graphicData>
            </a:graphic>
          </wp:inline>
        </w:drawing>
      </w:r>
    </w:p>
    <w:p w14:paraId="0662AF94" w14:textId="504DEC5A" w:rsidR="00503F9B" w:rsidRDefault="00503F9B" w:rsidP="00503F9B">
      <w:pPr>
        <w:rPr>
          <w:rFonts w:cs="Segoe UI"/>
        </w:rPr>
      </w:pPr>
      <w:r w:rsidRPr="00751A92">
        <w:rPr>
          <w:rFonts w:cs="Segoe UI"/>
        </w:rPr>
        <w:t>Tento postup je možn</w:t>
      </w:r>
      <w:r>
        <w:rPr>
          <w:rFonts w:cs="Segoe UI"/>
        </w:rPr>
        <w:t>é</w:t>
      </w:r>
      <w:r w:rsidRPr="00751A92">
        <w:rPr>
          <w:rFonts w:cs="Segoe UI"/>
        </w:rPr>
        <w:t xml:space="preserve"> implementovat pouze v případech, kdy byly v rámci delegovaného aktu (EU) 2023/2486 taxonomie technická screeningová kritéria pro určení toho, </w:t>
      </w:r>
      <w:r w:rsidRPr="00BA38D6">
        <w:rPr>
          <w:rFonts w:cs="Segoe UI"/>
        </w:rPr>
        <w:t xml:space="preserve">za jakých podmínek </w:t>
      </w:r>
      <w:r>
        <w:rPr>
          <w:rFonts w:cs="Segoe UI"/>
        </w:rPr>
        <w:t>je možné určit významný příspěvek</w:t>
      </w:r>
      <w:r w:rsidRPr="00BA38D6">
        <w:rPr>
          <w:rFonts w:cs="Segoe UI"/>
        </w:rPr>
        <w:t xml:space="preserve"> hospodářsk</w:t>
      </w:r>
      <w:r>
        <w:rPr>
          <w:rFonts w:cs="Segoe UI"/>
        </w:rPr>
        <w:t>é</w:t>
      </w:r>
      <w:r w:rsidRPr="00BA38D6">
        <w:rPr>
          <w:rFonts w:cs="Segoe UI"/>
        </w:rPr>
        <w:t xml:space="preserve"> činnos</w:t>
      </w:r>
      <w:r>
        <w:rPr>
          <w:rFonts w:cs="Segoe UI"/>
        </w:rPr>
        <w:t>ti</w:t>
      </w:r>
      <w:r w:rsidRPr="00BA38D6">
        <w:rPr>
          <w:rFonts w:cs="Segoe UI"/>
        </w:rPr>
        <w:t xml:space="preserve"> k</w:t>
      </w:r>
      <w:r w:rsidRPr="00751A92">
        <w:rPr>
          <w:rFonts w:cs="Segoe UI"/>
        </w:rPr>
        <w:t xml:space="preserve"> oblasti </w:t>
      </w:r>
      <w:proofErr w:type="spellStart"/>
      <w:r>
        <w:rPr>
          <w:rFonts w:cs="Segoe UI"/>
        </w:rPr>
        <w:t>mitigace</w:t>
      </w:r>
      <w:proofErr w:type="spellEnd"/>
      <w:r w:rsidRPr="00751A92">
        <w:rPr>
          <w:rFonts w:cs="Segoe UI"/>
        </w:rPr>
        <w:t xml:space="preserve">. </w:t>
      </w:r>
      <w:r w:rsidRPr="00747A55">
        <w:rPr>
          <w:rFonts w:cs="Segoe UI"/>
        </w:rPr>
        <w:t xml:space="preserve">Pokud pro </w:t>
      </w:r>
      <w:r>
        <w:rPr>
          <w:rFonts w:cs="Segoe UI"/>
        </w:rPr>
        <w:t xml:space="preserve">podporovanou </w:t>
      </w:r>
      <w:r w:rsidRPr="00747A55">
        <w:rPr>
          <w:rFonts w:cs="Segoe UI"/>
        </w:rPr>
        <w:t xml:space="preserve">činnost nebyla kritéria pro určení významného příspěvku stanovena, není možné stanovit kritéria </w:t>
      </w:r>
      <w:r w:rsidR="00E47ED0">
        <w:rPr>
          <w:rFonts w:cs="Segoe UI"/>
        </w:rPr>
        <w:t xml:space="preserve">pro CPM </w:t>
      </w:r>
      <w:r w:rsidRPr="00747A55">
        <w:rPr>
          <w:rFonts w:cs="Segoe UI"/>
        </w:rPr>
        <w:t>tímto způsobem.</w:t>
      </w:r>
    </w:p>
    <w:p w14:paraId="0D629A7B" w14:textId="67DF6AC0" w:rsidR="00DA16B9" w:rsidRPr="00503F9B" w:rsidRDefault="00DA16B9" w:rsidP="00AF460E">
      <w:pPr>
        <w:pStyle w:val="Nadpis5"/>
        <w:numPr>
          <w:ilvl w:val="4"/>
          <w:numId w:val="200"/>
        </w:numPr>
      </w:pPr>
      <w:r w:rsidRPr="00503F9B">
        <w:t>Projekt je součástí transitního investičního plánu, který byl posouzen jako v souladu s klimatickou neutralitou</w:t>
      </w:r>
    </w:p>
    <w:p w14:paraId="1ACD209A" w14:textId="78C90B6E" w:rsidR="00DA16B9" w:rsidRPr="00AF460E" w:rsidRDefault="00DA16B9" w:rsidP="00DA16B9">
      <w:pPr>
        <w:spacing w:after="160" w:line="259" w:lineRule="auto"/>
        <w:contextualSpacing/>
        <w:rPr>
          <w:rFonts w:cs="Segoe UI"/>
          <w:b/>
          <w:bCs/>
        </w:rPr>
      </w:pPr>
      <w:r w:rsidRPr="00AF460E">
        <w:rPr>
          <w:rFonts w:cs="Segoe UI"/>
          <w:b/>
          <w:bCs/>
        </w:rPr>
        <w:t xml:space="preserve">Součástí podrobné analýzy </w:t>
      </w:r>
      <w:r w:rsidR="00E47ED0">
        <w:rPr>
          <w:rFonts w:cs="Segoe UI"/>
          <w:b/>
          <w:bCs/>
        </w:rPr>
        <w:t>CPM</w:t>
      </w:r>
      <w:r w:rsidRPr="00AF460E">
        <w:rPr>
          <w:rFonts w:cs="Segoe UI"/>
          <w:b/>
          <w:bCs/>
        </w:rPr>
        <w:t xml:space="preserve"> je ověření souladu s klimatickou neutralitou a závazky EU do roku 2030 a roku 2050 na základě souladu s důvěryhodným vývojem emisí skleníkových plynů. Splnění podmínky je možné doložit </w:t>
      </w:r>
      <w:r w:rsidR="00E47ED0" w:rsidRPr="00AF460E">
        <w:rPr>
          <w:rFonts w:cs="Segoe UI"/>
          <w:b/>
          <w:bCs/>
        </w:rPr>
        <w:t>zahrnutím projektu v </w:t>
      </w:r>
      <w:r w:rsidRPr="00AF460E">
        <w:rPr>
          <w:rFonts w:cs="Segoe UI"/>
          <w:b/>
          <w:bCs/>
        </w:rPr>
        <w:t>následujíc</w:t>
      </w:r>
      <w:r w:rsidR="00E47ED0" w:rsidRPr="00AF460E">
        <w:rPr>
          <w:rFonts w:cs="Segoe UI"/>
          <w:b/>
          <w:bCs/>
        </w:rPr>
        <w:t>ích typech investičních plánů, které již takové posouzení podstoupily</w:t>
      </w:r>
      <w:r w:rsidRPr="00AF460E">
        <w:rPr>
          <w:rFonts w:cs="Segoe UI"/>
          <w:b/>
          <w:bCs/>
        </w:rPr>
        <w:t>:</w:t>
      </w:r>
    </w:p>
    <w:p w14:paraId="4A686519" w14:textId="77777777" w:rsidR="00DA16B9" w:rsidRPr="00B25660" w:rsidRDefault="00DA16B9" w:rsidP="00DA16B9">
      <w:pPr>
        <w:pStyle w:val="Odstavecseseznamem"/>
        <w:numPr>
          <w:ilvl w:val="0"/>
          <w:numId w:val="97"/>
        </w:numPr>
        <w:spacing w:line="240" w:lineRule="auto"/>
      </w:pPr>
      <w:proofErr w:type="spellStart"/>
      <w:r w:rsidRPr="00B25660">
        <w:t>Kredibilní</w:t>
      </w:r>
      <w:proofErr w:type="spellEnd"/>
      <w:r w:rsidRPr="00B25660">
        <w:t xml:space="preserve"> korporátní dekarbonizační plány, např. plán kapitálových výdajů pro vyšší soulad s taxonomií</w:t>
      </w:r>
      <w:r w:rsidRPr="00B25660">
        <w:rPr>
          <w:rStyle w:val="Znakapoznpodarou"/>
        </w:rPr>
        <w:footnoteReference w:id="43"/>
      </w:r>
      <w:r w:rsidRPr="00B25660">
        <w:t>; tyto plány však musí být dostatečně konkrétní a v souladu cílem zmírňování změny klimatu (</w:t>
      </w:r>
      <w:proofErr w:type="spellStart"/>
      <w:r w:rsidRPr="00B25660">
        <w:t>mitigace</w:t>
      </w:r>
      <w:proofErr w:type="spellEnd"/>
      <w:r w:rsidRPr="00B25660">
        <w:t>) do roku 2030 a výhledově do roku 2050.</w:t>
      </w:r>
    </w:p>
    <w:p w14:paraId="21FB4FEB" w14:textId="77777777" w:rsidR="00DA16B9" w:rsidRPr="00B25660" w:rsidRDefault="00DA16B9" w:rsidP="00DA16B9">
      <w:pPr>
        <w:pStyle w:val="Odstavecseseznamem"/>
        <w:numPr>
          <w:ilvl w:val="0"/>
          <w:numId w:val="97"/>
        </w:numPr>
        <w:spacing w:line="240" w:lineRule="auto"/>
      </w:pPr>
      <w:r w:rsidRPr="00B25660">
        <w:t xml:space="preserve">Tranzitní plány dle </w:t>
      </w:r>
      <w:hyperlink r:id="rId65" w:tooltip="https://www.efrag.org/Assets/Download?assetUrl=%2Fsites%2Fwebpublishing%2FSiteAssets%2F08%2520Draft%2520ESRS%2520E1%2520Climate%2520Change%2520November%25202022.pdf" w:history="1">
        <w:r w:rsidRPr="00B25660">
          <w:rPr>
            <w:rStyle w:val="Hypertextovodkaz"/>
          </w:rPr>
          <w:t xml:space="preserve">standardu EFRAG E1 </w:t>
        </w:r>
        <w:proofErr w:type="spellStart"/>
        <w:r w:rsidRPr="00B25660">
          <w:rPr>
            <w:rStyle w:val="Hypertextovodkaz"/>
          </w:rPr>
          <w:t>Climate</w:t>
        </w:r>
        <w:proofErr w:type="spellEnd"/>
      </w:hyperlink>
      <w:r w:rsidRPr="00B25660">
        <w:t xml:space="preserve"> (reportingový standard směrnice o reportingu udržitelnosti).</w:t>
      </w:r>
      <w:r w:rsidRPr="00B25660">
        <w:rPr>
          <w:rStyle w:val="Znakapoznpodarou"/>
        </w:rPr>
        <w:footnoteReference w:id="44"/>
      </w:r>
    </w:p>
    <w:p w14:paraId="4135AA0F" w14:textId="77777777" w:rsidR="00DA16B9" w:rsidRPr="00B25660" w:rsidRDefault="00DA16B9" w:rsidP="00DA16B9">
      <w:pPr>
        <w:pStyle w:val="Odstavecseseznamem"/>
        <w:numPr>
          <w:ilvl w:val="0"/>
          <w:numId w:val="97"/>
        </w:numPr>
        <w:spacing w:line="240" w:lineRule="auto"/>
        <w:rPr>
          <w:strike/>
        </w:rPr>
      </w:pPr>
      <w:r w:rsidRPr="00B25660">
        <w:t xml:space="preserve">Tranzitní plány dle návrhu </w:t>
      </w:r>
      <w:hyperlink r:id="rId66" w:history="1">
        <w:r w:rsidRPr="00B25660">
          <w:rPr>
            <w:rStyle w:val="Hypertextovodkaz"/>
          </w:rPr>
          <w:t>metodiky</w:t>
        </w:r>
      </w:hyperlink>
      <w:r w:rsidRPr="00B25660">
        <w:t xml:space="preserve"> EFRAG IG 4 pro tvorbu tranzitních plánů (</w:t>
      </w:r>
      <w:proofErr w:type="spellStart"/>
      <w:r w:rsidRPr="00B25660">
        <w:t>Implementation</w:t>
      </w:r>
      <w:proofErr w:type="spellEnd"/>
      <w:r w:rsidRPr="00B25660">
        <w:t xml:space="preserve"> </w:t>
      </w:r>
      <w:proofErr w:type="spellStart"/>
      <w:r w:rsidRPr="00B25660">
        <w:t>Guidance</w:t>
      </w:r>
      <w:proofErr w:type="spellEnd"/>
      <w:r w:rsidRPr="00B25660">
        <w:t xml:space="preserve"> </w:t>
      </w:r>
      <w:proofErr w:type="spellStart"/>
      <w:r w:rsidRPr="00B25660">
        <w:t>Transition</w:t>
      </w:r>
      <w:proofErr w:type="spellEnd"/>
      <w:r w:rsidRPr="00B25660">
        <w:t xml:space="preserve"> </w:t>
      </w:r>
      <w:proofErr w:type="spellStart"/>
      <w:r w:rsidRPr="00B25660">
        <w:t>Plan</w:t>
      </w:r>
      <w:proofErr w:type="spellEnd"/>
      <w:r w:rsidRPr="00B25660">
        <w:t xml:space="preserve"> </w:t>
      </w:r>
      <w:proofErr w:type="spellStart"/>
      <w:r w:rsidRPr="00B25660">
        <w:t>for</w:t>
      </w:r>
      <w:proofErr w:type="spellEnd"/>
      <w:r w:rsidRPr="00B25660">
        <w:t xml:space="preserve"> </w:t>
      </w:r>
      <w:proofErr w:type="spellStart"/>
      <w:r w:rsidRPr="00B25660">
        <w:t>Climate</w:t>
      </w:r>
      <w:proofErr w:type="spellEnd"/>
      <w:r w:rsidRPr="00B25660">
        <w:t xml:space="preserve"> </w:t>
      </w:r>
      <w:proofErr w:type="spellStart"/>
      <w:r w:rsidRPr="00B25660">
        <w:t>Change</w:t>
      </w:r>
      <w:proofErr w:type="spellEnd"/>
      <w:r w:rsidRPr="00B25660">
        <w:t xml:space="preserve"> </w:t>
      </w:r>
      <w:proofErr w:type="spellStart"/>
      <w:r w:rsidRPr="00B25660">
        <w:t>Mitigation</w:t>
      </w:r>
      <w:proofErr w:type="spellEnd"/>
      <w:r w:rsidRPr="00B25660">
        <w:t>)</w:t>
      </w:r>
    </w:p>
    <w:p w14:paraId="42C9EA6D" w14:textId="77777777" w:rsidR="00DA16B9" w:rsidRDefault="00DA16B9" w:rsidP="00DA16B9">
      <w:pPr>
        <w:pStyle w:val="Odstavecseseznamem"/>
        <w:numPr>
          <w:ilvl w:val="0"/>
          <w:numId w:val="97"/>
        </w:numPr>
        <w:spacing w:line="240" w:lineRule="auto"/>
      </w:pPr>
      <w:r>
        <w:t xml:space="preserve">Alternativně – žadatel může doložit soulad se sektorovými trajektorii dle </w:t>
      </w:r>
      <w:hyperlink r:id="rId67" w:tooltip="https://sciencebasedtargets.org/" w:history="1">
        <w:proofErr w:type="spellStart"/>
        <w:r>
          <w:rPr>
            <w:rStyle w:val="Hypertextovodkaz"/>
          </w:rPr>
          <w:t>SBTi</w:t>
        </w:r>
        <w:proofErr w:type="spellEnd"/>
      </w:hyperlink>
      <w:r>
        <w:t xml:space="preserve">, </w:t>
      </w:r>
      <w:hyperlink r:id="rId68" w:tooltip="https://www.transitionpathwayinitiative.org/" w:history="1">
        <w:r>
          <w:rPr>
            <w:rStyle w:val="Hypertextovodkaz"/>
          </w:rPr>
          <w:t>TPI</w:t>
        </w:r>
      </w:hyperlink>
      <w:r>
        <w:t xml:space="preserve"> či obdobného ověřitelného a mezinárodního standardu.</w:t>
      </w:r>
    </w:p>
    <w:p w14:paraId="7A4EC36C" w14:textId="26567AAC" w:rsidR="00E47ED0" w:rsidRDefault="00E47ED0" w:rsidP="00AF460E">
      <w:pPr>
        <w:spacing w:line="240" w:lineRule="auto"/>
      </w:pPr>
      <w:r w:rsidRPr="00A2543A">
        <w:rPr>
          <w:rFonts w:cs="Segoe UI"/>
          <w:b/>
          <w:bCs/>
        </w:rPr>
        <w:t xml:space="preserve">Při </w:t>
      </w:r>
      <w:r>
        <w:rPr>
          <w:rFonts w:cs="Segoe UI"/>
          <w:b/>
          <w:bCs/>
        </w:rPr>
        <w:t xml:space="preserve">splnění </w:t>
      </w:r>
      <w:r w:rsidRPr="00A2543A">
        <w:rPr>
          <w:rFonts w:cs="Segoe UI"/>
          <w:b/>
          <w:bCs/>
        </w:rPr>
        <w:t>těchto podmínek není pro projekty nutné zpracovávat další dokumentaci CPM</w:t>
      </w:r>
      <w:r>
        <w:rPr>
          <w:rFonts w:cs="Segoe UI"/>
          <w:b/>
          <w:bCs/>
        </w:rPr>
        <w:t xml:space="preserve"> (dle kap. 4.1.6.1.3).</w:t>
      </w:r>
    </w:p>
    <w:p w14:paraId="5EFCE9E3" w14:textId="4D0FED3E" w:rsidR="00DA16B9" w:rsidRPr="00503F9B" w:rsidRDefault="00DA16B9" w:rsidP="00AF460E">
      <w:pPr>
        <w:pStyle w:val="Nadpis5"/>
        <w:numPr>
          <w:ilvl w:val="4"/>
          <w:numId w:val="200"/>
        </w:numPr>
      </w:pPr>
      <w:bookmarkStart w:id="84" w:name="_Vyhodnocení_DNSH_dle"/>
      <w:bookmarkEnd w:id="84"/>
      <w:r w:rsidRPr="00503F9B">
        <w:t xml:space="preserve">Vyhodnocení DNSH dle </w:t>
      </w:r>
      <w:r w:rsidR="00503F9B">
        <w:t xml:space="preserve">podrobného individuálního </w:t>
      </w:r>
      <w:r w:rsidRPr="00503F9B">
        <w:t xml:space="preserve">posouzení </w:t>
      </w:r>
      <w:r w:rsidR="00503F9B">
        <w:t xml:space="preserve">CPM </w:t>
      </w:r>
      <w:r w:rsidRPr="00503F9B">
        <w:t>na úrovni projektu</w:t>
      </w:r>
    </w:p>
    <w:p w14:paraId="27A59D02" w14:textId="77777777" w:rsidR="00DA16B9" w:rsidRDefault="00DA16B9" w:rsidP="00DA16B9">
      <w:pPr>
        <w:spacing w:after="160" w:line="259" w:lineRule="auto"/>
        <w:contextualSpacing/>
        <w:rPr>
          <w:rFonts w:cs="Segoe UI"/>
        </w:rPr>
      </w:pPr>
      <w:r>
        <w:rPr>
          <w:rFonts w:cs="Segoe UI"/>
        </w:rPr>
        <w:t xml:space="preserve">Žadatel může doložit detailní posouzení dle tzv. fáze 2 metodiky </w:t>
      </w:r>
      <w:proofErr w:type="spellStart"/>
      <w:r>
        <w:rPr>
          <w:rFonts w:cs="Segoe UI"/>
        </w:rPr>
        <w:t>climate</w:t>
      </w:r>
      <w:proofErr w:type="spellEnd"/>
      <w:r>
        <w:rPr>
          <w:rFonts w:cs="Segoe UI"/>
        </w:rPr>
        <w:t xml:space="preserve"> </w:t>
      </w:r>
      <w:proofErr w:type="spellStart"/>
      <w:r>
        <w:rPr>
          <w:rFonts w:cs="Segoe UI"/>
        </w:rPr>
        <w:t>proofing</w:t>
      </w:r>
      <w:proofErr w:type="spellEnd"/>
      <w:r>
        <w:rPr>
          <w:rFonts w:cs="Segoe UI"/>
        </w:rPr>
        <w:t xml:space="preserve"> na úrovni projektu. Detailní analýza zahrnuje:</w:t>
      </w:r>
    </w:p>
    <w:p w14:paraId="17850CA7" w14:textId="77777777" w:rsidR="00DA16B9" w:rsidRDefault="00DA16B9" w:rsidP="00DA16B9">
      <w:pPr>
        <w:pStyle w:val="Odstavecseseznamem"/>
        <w:numPr>
          <w:ilvl w:val="0"/>
          <w:numId w:val="17"/>
        </w:numPr>
        <w:spacing w:line="240" w:lineRule="auto"/>
      </w:pPr>
      <w:r>
        <w:t>peněžní vyjádření vypočtené uhlíkové stopy</w:t>
      </w:r>
    </w:p>
    <w:p w14:paraId="21B143FC" w14:textId="578E19AA" w:rsidR="007A1D21" w:rsidRPr="006C1B48" w:rsidRDefault="00DA16B9" w:rsidP="00DA16B9">
      <w:pPr>
        <w:pStyle w:val="Odstavecseseznamem"/>
        <w:numPr>
          <w:ilvl w:val="0"/>
          <w:numId w:val="17"/>
        </w:numPr>
        <w:spacing w:line="240" w:lineRule="auto"/>
        <w:rPr>
          <w:b/>
          <w:bCs/>
        </w:rPr>
      </w:pPr>
      <w:r>
        <w:lastRenderedPageBreak/>
        <w:t>analýzu nákladů a přínosů vyjadřující společenské hledisko (tj. se započtením uhlíkové stopy)</w:t>
      </w:r>
      <w:r w:rsidR="00CE6243">
        <w:t xml:space="preserve"> </w:t>
      </w:r>
      <w:r w:rsidRPr="007A1D21">
        <w:rPr>
          <w:rFonts w:cs="Segoe UI"/>
        </w:rPr>
        <w:t>ověření souladu s klimatickou neutralitou a závazky EU do roku 2030 a roku 2050 na základě souladu s důvěryhodným vývojem emisí skleníkových plynů</w:t>
      </w:r>
      <w:r w:rsidDel="00BB071A">
        <w:t xml:space="preserve"> </w:t>
      </w:r>
    </w:p>
    <w:p w14:paraId="378731AC" w14:textId="2889D5AB" w:rsidR="00DA16B9" w:rsidRPr="006C1B48" w:rsidRDefault="00DA16B9" w:rsidP="007A1D21">
      <w:pPr>
        <w:spacing w:line="240" w:lineRule="auto"/>
        <w:rPr>
          <w:b/>
          <w:bCs/>
        </w:rPr>
      </w:pPr>
      <w:r w:rsidRPr="006C1B48">
        <w:rPr>
          <w:b/>
          <w:bCs/>
        </w:rPr>
        <w:t>Relevantní metodiky:</w:t>
      </w:r>
    </w:p>
    <w:p w14:paraId="588972F1" w14:textId="77777777" w:rsidR="00DA16B9" w:rsidRDefault="00DA16B9" w:rsidP="00DA16B9">
      <w:pPr>
        <w:pStyle w:val="Odstavecseseznamem"/>
        <w:numPr>
          <w:ilvl w:val="0"/>
          <w:numId w:val="132"/>
        </w:numPr>
        <w:spacing w:line="240" w:lineRule="auto"/>
      </w:pPr>
      <w:hyperlink r:id="rId69" w:history="1">
        <w:proofErr w:type="spellStart"/>
        <w:r w:rsidRPr="001C1C1A">
          <w:rPr>
            <w:rStyle w:val="Hypertextovodkaz"/>
          </w:rPr>
          <w:t>Commision</w:t>
        </w:r>
        <w:proofErr w:type="spellEnd"/>
        <w:r w:rsidRPr="001C1C1A">
          <w:rPr>
            <w:rStyle w:val="Hypertextovodkaz"/>
          </w:rPr>
          <w:t xml:space="preserve"> </w:t>
        </w:r>
        <w:proofErr w:type="spellStart"/>
        <w:r w:rsidRPr="001C1C1A">
          <w:rPr>
            <w:rStyle w:val="Hypertextovodkaz"/>
          </w:rPr>
          <w:t>note</w:t>
        </w:r>
        <w:proofErr w:type="spellEnd"/>
        <w:r w:rsidRPr="001C1C1A">
          <w:rPr>
            <w:rStyle w:val="Hypertextovodkaz"/>
          </w:rPr>
          <w:t xml:space="preserve">: </w:t>
        </w:r>
        <w:proofErr w:type="spellStart"/>
        <w:r w:rsidRPr="001C1C1A">
          <w:rPr>
            <w:rStyle w:val="Hypertextovodkaz"/>
          </w:rPr>
          <w:t>Technical</w:t>
        </w:r>
        <w:proofErr w:type="spellEnd"/>
        <w:r w:rsidRPr="001C1C1A">
          <w:rPr>
            <w:rStyle w:val="Hypertextovodkaz"/>
          </w:rPr>
          <w:t xml:space="preserve"> </w:t>
        </w:r>
        <w:proofErr w:type="spellStart"/>
        <w:r w:rsidRPr="001C1C1A">
          <w:rPr>
            <w:rStyle w:val="Hypertextovodkaz"/>
          </w:rPr>
          <w:t>guidance</w:t>
        </w:r>
        <w:proofErr w:type="spellEnd"/>
        <w:r w:rsidRPr="001C1C1A">
          <w:rPr>
            <w:rStyle w:val="Hypertextovodkaz"/>
          </w:rPr>
          <w:t xml:space="preserve"> on </w:t>
        </w:r>
        <w:proofErr w:type="spellStart"/>
        <w:r w:rsidRPr="001C1C1A">
          <w:rPr>
            <w:rStyle w:val="Hypertextovodkaz"/>
          </w:rPr>
          <w:t>the</w:t>
        </w:r>
        <w:proofErr w:type="spellEnd"/>
        <w:r w:rsidRPr="001C1C1A">
          <w:rPr>
            <w:rStyle w:val="Hypertextovodkaz"/>
          </w:rPr>
          <w:t xml:space="preserve"> </w:t>
        </w:r>
        <w:proofErr w:type="spellStart"/>
        <w:r w:rsidRPr="001C1C1A">
          <w:rPr>
            <w:rStyle w:val="Hypertextovodkaz"/>
          </w:rPr>
          <w:t>climate</w:t>
        </w:r>
        <w:proofErr w:type="spellEnd"/>
        <w:r w:rsidRPr="001C1C1A">
          <w:rPr>
            <w:rStyle w:val="Hypertextovodkaz"/>
          </w:rPr>
          <w:t xml:space="preserve"> </w:t>
        </w:r>
        <w:proofErr w:type="spellStart"/>
        <w:r w:rsidRPr="001C1C1A">
          <w:rPr>
            <w:rStyle w:val="Hypertextovodkaz"/>
          </w:rPr>
          <w:t>proofing</w:t>
        </w:r>
        <w:proofErr w:type="spellEnd"/>
        <w:r w:rsidRPr="001C1C1A">
          <w:rPr>
            <w:rStyle w:val="Hypertextovodkaz"/>
          </w:rPr>
          <w:t xml:space="preserve"> </w:t>
        </w:r>
        <w:proofErr w:type="spellStart"/>
        <w:r w:rsidRPr="001C1C1A">
          <w:rPr>
            <w:rStyle w:val="Hypertextovodkaz"/>
          </w:rPr>
          <w:t>of</w:t>
        </w:r>
        <w:proofErr w:type="spellEnd"/>
        <w:r w:rsidRPr="001C1C1A">
          <w:rPr>
            <w:rStyle w:val="Hypertextovodkaz"/>
          </w:rPr>
          <w:t xml:space="preserve"> </w:t>
        </w:r>
        <w:proofErr w:type="spellStart"/>
        <w:r w:rsidRPr="001C1C1A">
          <w:rPr>
            <w:rStyle w:val="Hypertextovodkaz"/>
          </w:rPr>
          <w:t>infrastructure</w:t>
        </w:r>
        <w:proofErr w:type="spellEnd"/>
        <w:r w:rsidRPr="001C1C1A">
          <w:rPr>
            <w:rStyle w:val="Hypertextovodkaz"/>
          </w:rPr>
          <w:t xml:space="preserve"> in </w:t>
        </w:r>
        <w:proofErr w:type="spellStart"/>
        <w:r w:rsidRPr="001C1C1A">
          <w:rPr>
            <w:rStyle w:val="Hypertextovodkaz"/>
          </w:rPr>
          <w:t>the</w:t>
        </w:r>
        <w:proofErr w:type="spellEnd"/>
        <w:r w:rsidRPr="001C1C1A">
          <w:rPr>
            <w:rStyle w:val="Hypertextovodkaz"/>
          </w:rPr>
          <w:t xml:space="preserve"> period 2021-2027</w:t>
        </w:r>
      </w:hyperlink>
    </w:p>
    <w:p w14:paraId="2C0B7120" w14:textId="77777777" w:rsidR="00DA16B9" w:rsidRDefault="00DA16B9" w:rsidP="00DA16B9">
      <w:pPr>
        <w:pStyle w:val="Odstavecseseznamem"/>
        <w:numPr>
          <w:ilvl w:val="0"/>
          <w:numId w:val="132"/>
        </w:numPr>
        <w:spacing w:line="240" w:lineRule="auto"/>
      </w:pPr>
      <w:hyperlink r:id="rId70" w:history="1">
        <w:proofErr w:type="spellStart"/>
        <w:r w:rsidRPr="001C1C1A">
          <w:rPr>
            <w:rStyle w:val="Hypertextovodkaz"/>
          </w:rPr>
          <w:t>Guide</w:t>
        </w:r>
        <w:proofErr w:type="spellEnd"/>
        <w:r w:rsidRPr="001C1C1A">
          <w:rPr>
            <w:rStyle w:val="Hypertextovodkaz"/>
          </w:rPr>
          <w:t xml:space="preserve"> to </w:t>
        </w:r>
        <w:proofErr w:type="spellStart"/>
        <w:r w:rsidRPr="001C1C1A">
          <w:rPr>
            <w:rStyle w:val="Hypertextovodkaz"/>
          </w:rPr>
          <w:t>cost</w:t>
        </w:r>
        <w:proofErr w:type="spellEnd"/>
        <w:r w:rsidRPr="001C1C1A">
          <w:rPr>
            <w:rStyle w:val="Hypertextovodkaz"/>
          </w:rPr>
          <w:t xml:space="preserve">-benefit </w:t>
        </w:r>
        <w:proofErr w:type="spellStart"/>
        <w:r w:rsidRPr="001C1C1A">
          <w:rPr>
            <w:rStyle w:val="Hypertextovodkaz"/>
          </w:rPr>
          <w:t>analysis</w:t>
        </w:r>
        <w:proofErr w:type="spellEnd"/>
        <w:r w:rsidRPr="001C1C1A">
          <w:rPr>
            <w:rStyle w:val="Hypertextovodkaz"/>
          </w:rPr>
          <w:t xml:space="preserve"> </w:t>
        </w:r>
        <w:proofErr w:type="spellStart"/>
        <w:r w:rsidRPr="001C1C1A">
          <w:rPr>
            <w:rStyle w:val="Hypertextovodkaz"/>
          </w:rPr>
          <w:t>of</w:t>
        </w:r>
        <w:proofErr w:type="spellEnd"/>
        <w:r w:rsidRPr="001C1C1A">
          <w:rPr>
            <w:rStyle w:val="Hypertextovodkaz"/>
          </w:rPr>
          <w:t xml:space="preserve"> </w:t>
        </w:r>
        <w:proofErr w:type="spellStart"/>
        <w:r w:rsidRPr="001C1C1A">
          <w:rPr>
            <w:rStyle w:val="Hypertextovodkaz"/>
          </w:rPr>
          <w:t>investment</w:t>
        </w:r>
        <w:proofErr w:type="spellEnd"/>
        <w:r w:rsidRPr="001C1C1A">
          <w:rPr>
            <w:rStyle w:val="Hypertextovodkaz"/>
          </w:rPr>
          <w:t xml:space="preserve"> </w:t>
        </w:r>
        <w:proofErr w:type="spellStart"/>
        <w:proofErr w:type="gramStart"/>
        <w:r w:rsidRPr="001C1C1A">
          <w:rPr>
            <w:rStyle w:val="Hypertextovodkaz"/>
          </w:rPr>
          <w:t>projects</w:t>
        </w:r>
        <w:proofErr w:type="spellEnd"/>
        <w:r w:rsidRPr="001C1C1A">
          <w:rPr>
            <w:rStyle w:val="Hypertextovodkaz"/>
          </w:rPr>
          <w:t xml:space="preserve"> - </w:t>
        </w:r>
        <w:proofErr w:type="spellStart"/>
        <w:r w:rsidRPr="001C1C1A">
          <w:rPr>
            <w:rStyle w:val="Hypertextovodkaz"/>
          </w:rPr>
          <w:t>Economic</w:t>
        </w:r>
        <w:proofErr w:type="spellEnd"/>
        <w:proofErr w:type="gramEnd"/>
        <w:r w:rsidRPr="001C1C1A">
          <w:rPr>
            <w:rStyle w:val="Hypertextovodkaz"/>
          </w:rPr>
          <w:t xml:space="preserve"> </w:t>
        </w:r>
        <w:proofErr w:type="spellStart"/>
        <w:r w:rsidRPr="001C1C1A">
          <w:rPr>
            <w:rStyle w:val="Hypertextovodkaz"/>
          </w:rPr>
          <w:t>appraisal</w:t>
        </w:r>
        <w:proofErr w:type="spellEnd"/>
        <w:r w:rsidRPr="001C1C1A">
          <w:rPr>
            <w:rStyle w:val="Hypertextovodkaz"/>
          </w:rPr>
          <w:t xml:space="preserve"> </w:t>
        </w:r>
        <w:proofErr w:type="spellStart"/>
        <w:r w:rsidRPr="001C1C1A">
          <w:rPr>
            <w:rStyle w:val="Hypertextovodkaz"/>
          </w:rPr>
          <w:t>tool</w:t>
        </w:r>
        <w:proofErr w:type="spellEnd"/>
        <w:r w:rsidRPr="001C1C1A">
          <w:rPr>
            <w:rStyle w:val="Hypertextovodkaz"/>
          </w:rPr>
          <w:t xml:space="preserve"> </w:t>
        </w:r>
        <w:proofErr w:type="spellStart"/>
        <w:r w:rsidRPr="001C1C1A">
          <w:rPr>
            <w:rStyle w:val="Hypertextovodkaz"/>
          </w:rPr>
          <w:t>for</w:t>
        </w:r>
        <w:proofErr w:type="spellEnd"/>
        <w:r w:rsidRPr="001C1C1A">
          <w:rPr>
            <w:rStyle w:val="Hypertextovodkaz"/>
          </w:rPr>
          <w:t xml:space="preserve"> </w:t>
        </w:r>
        <w:proofErr w:type="spellStart"/>
        <w:r w:rsidRPr="001C1C1A">
          <w:rPr>
            <w:rStyle w:val="Hypertextovodkaz"/>
          </w:rPr>
          <w:t>cohesion</w:t>
        </w:r>
        <w:proofErr w:type="spellEnd"/>
        <w:r w:rsidRPr="001C1C1A">
          <w:rPr>
            <w:rStyle w:val="Hypertextovodkaz"/>
          </w:rPr>
          <w:t xml:space="preserve"> </w:t>
        </w:r>
        <w:proofErr w:type="spellStart"/>
        <w:r w:rsidRPr="001C1C1A">
          <w:rPr>
            <w:rStyle w:val="Hypertextovodkaz"/>
          </w:rPr>
          <w:t>policy</w:t>
        </w:r>
        <w:proofErr w:type="spellEnd"/>
        <w:r w:rsidRPr="001C1C1A">
          <w:rPr>
            <w:rStyle w:val="Hypertextovodkaz"/>
          </w:rPr>
          <w:t xml:space="preserve"> 2014-2020</w:t>
        </w:r>
      </w:hyperlink>
    </w:p>
    <w:p w14:paraId="4DFFAFD7" w14:textId="77777777" w:rsidR="00DA16B9" w:rsidRDefault="00DA16B9" w:rsidP="00DA16B9">
      <w:pPr>
        <w:pStyle w:val="Odstavecseseznamem"/>
        <w:numPr>
          <w:ilvl w:val="0"/>
          <w:numId w:val="132"/>
        </w:numPr>
        <w:spacing w:line="240" w:lineRule="auto"/>
      </w:pPr>
      <w:hyperlink r:id="rId71" w:history="1">
        <w:proofErr w:type="spellStart"/>
        <w:r w:rsidRPr="001C1C1A">
          <w:rPr>
            <w:rStyle w:val="Hypertextovodkaz"/>
          </w:rPr>
          <w:t>The</w:t>
        </w:r>
        <w:proofErr w:type="spellEnd"/>
        <w:r w:rsidRPr="001C1C1A">
          <w:rPr>
            <w:rStyle w:val="Hypertextovodkaz"/>
          </w:rPr>
          <w:t xml:space="preserve"> </w:t>
        </w:r>
        <w:proofErr w:type="spellStart"/>
        <w:r w:rsidRPr="001C1C1A">
          <w:rPr>
            <w:rStyle w:val="Hypertextovodkaz"/>
          </w:rPr>
          <w:t>Economic</w:t>
        </w:r>
        <w:proofErr w:type="spellEnd"/>
        <w:r w:rsidRPr="001C1C1A">
          <w:rPr>
            <w:rStyle w:val="Hypertextovodkaz"/>
          </w:rPr>
          <w:t xml:space="preserve"> </w:t>
        </w:r>
        <w:proofErr w:type="spellStart"/>
        <w:r w:rsidRPr="001C1C1A">
          <w:rPr>
            <w:rStyle w:val="Hypertextovodkaz"/>
          </w:rPr>
          <w:t>Appraisal</w:t>
        </w:r>
        <w:proofErr w:type="spellEnd"/>
        <w:r w:rsidRPr="001C1C1A">
          <w:rPr>
            <w:rStyle w:val="Hypertextovodkaz"/>
          </w:rPr>
          <w:t xml:space="preserve"> </w:t>
        </w:r>
        <w:proofErr w:type="spellStart"/>
        <w:r w:rsidRPr="001C1C1A">
          <w:rPr>
            <w:rStyle w:val="Hypertextovodkaz"/>
          </w:rPr>
          <w:t>of</w:t>
        </w:r>
        <w:proofErr w:type="spellEnd"/>
        <w:r w:rsidRPr="001C1C1A">
          <w:rPr>
            <w:rStyle w:val="Hypertextovodkaz"/>
          </w:rPr>
          <w:t xml:space="preserve"> </w:t>
        </w:r>
        <w:proofErr w:type="spellStart"/>
        <w:r w:rsidRPr="001C1C1A">
          <w:rPr>
            <w:rStyle w:val="Hypertextovodkaz"/>
          </w:rPr>
          <w:t>Investment</w:t>
        </w:r>
        <w:proofErr w:type="spellEnd"/>
        <w:r w:rsidRPr="001C1C1A">
          <w:rPr>
            <w:rStyle w:val="Hypertextovodkaz"/>
          </w:rPr>
          <w:t xml:space="preserve"> </w:t>
        </w:r>
        <w:proofErr w:type="spellStart"/>
        <w:r w:rsidRPr="001C1C1A">
          <w:rPr>
            <w:rStyle w:val="Hypertextovodkaz"/>
          </w:rPr>
          <w:t>Projects</w:t>
        </w:r>
        <w:proofErr w:type="spellEnd"/>
        <w:r w:rsidRPr="001C1C1A">
          <w:rPr>
            <w:rStyle w:val="Hypertextovodkaz"/>
          </w:rPr>
          <w:t xml:space="preserve"> </w:t>
        </w:r>
        <w:proofErr w:type="spellStart"/>
        <w:r w:rsidRPr="001C1C1A">
          <w:rPr>
            <w:rStyle w:val="Hypertextovodkaz"/>
          </w:rPr>
          <w:t>at</w:t>
        </w:r>
        <w:proofErr w:type="spellEnd"/>
        <w:r w:rsidRPr="001C1C1A">
          <w:rPr>
            <w:rStyle w:val="Hypertextovodkaz"/>
          </w:rPr>
          <w:t xml:space="preserve"> </w:t>
        </w:r>
        <w:proofErr w:type="spellStart"/>
        <w:r w:rsidRPr="001C1C1A">
          <w:rPr>
            <w:rStyle w:val="Hypertextovodkaz"/>
          </w:rPr>
          <w:t>the</w:t>
        </w:r>
        <w:proofErr w:type="spellEnd"/>
        <w:r w:rsidRPr="001C1C1A">
          <w:rPr>
            <w:rStyle w:val="Hypertextovodkaz"/>
          </w:rPr>
          <w:t xml:space="preserve"> </w:t>
        </w:r>
        <w:proofErr w:type="gramStart"/>
        <w:r w:rsidRPr="001C1C1A">
          <w:rPr>
            <w:rStyle w:val="Hypertextovodkaz"/>
          </w:rPr>
          <w:t>EIB - 2nd</w:t>
        </w:r>
        <w:proofErr w:type="gramEnd"/>
        <w:r w:rsidRPr="001C1C1A">
          <w:rPr>
            <w:rStyle w:val="Hypertextovodkaz"/>
          </w:rPr>
          <w:t xml:space="preserve"> </w:t>
        </w:r>
        <w:proofErr w:type="spellStart"/>
        <w:r w:rsidRPr="001C1C1A">
          <w:rPr>
            <w:rStyle w:val="Hypertextovodkaz"/>
          </w:rPr>
          <w:t>Edition</w:t>
        </w:r>
        <w:proofErr w:type="spellEnd"/>
      </w:hyperlink>
    </w:p>
    <w:p w14:paraId="6509B56D" w14:textId="77777777" w:rsidR="00DA16B9" w:rsidRDefault="00DA16B9" w:rsidP="00DA16B9">
      <w:pPr>
        <w:pStyle w:val="Odstavecseseznamem"/>
        <w:numPr>
          <w:ilvl w:val="0"/>
          <w:numId w:val="132"/>
        </w:numPr>
        <w:spacing w:line="240" w:lineRule="auto"/>
      </w:pPr>
      <w:hyperlink r:id="rId72" w:history="1">
        <w:r w:rsidRPr="001C1C1A">
          <w:rPr>
            <w:rStyle w:val="Hypertextovodkaz"/>
          </w:rPr>
          <w:t xml:space="preserve">EIB Project </w:t>
        </w:r>
        <w:proofErr w:type="spellStart"/>
        <w:r w:rsidRPr="001C1C1A">
          <w:rPr>
            <w:rStyle w:val="Hypertextovodkaz"/>
          </w:rPr>
          <w:t>Carbon</w:t>
        </w:r>
        <w:proofErr w:type="spellEnd"/>
        <w:r w:rsidRPr="001C1C1A">
          <w:rPr>
            <w:rStyle w:val="Hypertextovodkaz"/>
          </w:rPr>
          <w:t xml:space="preserve"> </w:t>
        </w:r>
        <w:proofErr w:type="spellStart"/>
        <w:r w:rsidRPr="001C1C1A">
          <w:rPr>
            <w:rStyle w:val="Hypertextovodkaz"/>
          </w:rPr>
          <w:t>Footprint</w:t>
        </w:r>
        <w:proofErr w:type="spellEnd"/>
        <w:r w:rsidRPr="001C1C1A">
          <w:rPr>
            <w:rStyle w:val="Hypertextovodkaz"/>
          </w:rPr>
          <w:t xml:space="preserve"> </w:t>
        </w:r>
        <w:proofErr w:type="spellStart"/>
        <w:r w:rsidRPr="001C1C1A">
          <w:rPr>
            <w:rStyle w:val="Hypertextovodkaz"/>
          </w:rPr>
          <w:t>Methodologies</w:t>
        </w:r>
        <w:proofErr w:type="spellEnd"/>
      </w:hyperlink>
    </w:p>
    <w:p w14:paraId="40820D22" w14:textId="77777777" w:rsidR="00DA16B9" w:rsidRDefault="00DA16B9" w:rsidP="00DA16B9">
      <w:pPr>
        <w:rPr>
          <w:b/>
        </w:rPr>
      </w:pPr>
      <w:r>
        <w:rPr>
          <w:b/>
        </w:rPr>
        <w:t>Tuto analýzu je nezbytné provádět již jen na úrovni projektu, tak aby mohl žadatel zohlednit všechny detailní parametry předkládaného projektu.</w:t>
      </w:r>
    </w:p>
    <w:p w14:paraId="583EB8D4" w14:textId="77777777" w:rsidR="00DA16B9" w:rsidRDefault="00DA16B9" w:rsidP="00DA16B9">
      <w:pPr>
        <w:rPr>
          <w:b/>
        </w:rPr>
      </w:pPr>
      <w:r>
        <w:rPr>
          <w:b/>
        </w:rPr>
        <w:t>Pro fázi 2 CPM v oblasti zmírňování změny klimatu (</w:t>
      </w:r>
      <w:proofErr w:type="spellStart"/>
      <w:r>
        <w:rPr>
          <w:b/>
        </w:rPr>
        <w:t>mitigace</w:t>
      </w:r>
      <w:proofErr w:type="spellEnd"/>
      <w:r>
        <w:rPr>
          <w:b/>
        </w:rPr>
        <w:t xml:space="preserve">) se doporučuje využívat služeb stávající certifikovaných / autorizovaných osob z následujícího okruhu: </w:t>
      </w:r>
    </w:p>
    <w:p w14:paraId="794570EF" w14:textId="77777777" w:rsidR="00DA16B9" w:rsidRDefault="00DA16B9" w:rsidP="00DA16B9">
      <w:pPr>
        <w:pStyle w:val="Odstavecseseznamem"/>
        <w:numPr>
          <w:ilvl w:val="0"/>
          <w:numId w:val="40"/>
        </w:numPr>
        <w:rPr>
          <w:b/>
        </w:rPr>
      </w:pPr>
      <w:r>
        <w:rPr>
          <w:b/>
        </w:rPr>
        <w:t xml:space="preserve">energetičtí specialisté, </w:t>
      </w:r>
    </w:p>
    <w:p w14:paraId="780A6B72" w14:textId="77777777" w:rsidR="00DA16B9" w:rsidRDefault="00DA16B9" w:rsidP="00DA16B9">
      <w:pPr>
        <w:pStyle w:val="Odstavecseseznamem"/>
        <w:numPr>
          <w:ilvl w:val="0"/>
          <w:numId w:val="40"/>
        </w:numPr>
        <w:rPr>
          <w:b/>
        </w:rPr>
      </w:pPr>
      <w:r>
        <w:rPr>
          <w:b/>
        </w:rPr>
        <w:t>akreditovaní environmentální ověřovatelé pro systémy EMAS (</w:t>
      </w:r>
      <w:proofErr w:type="spellStart"/>
      <w:r>
        <w:rPr>
          <w:b/>
        </w:rPr>
        <w:t>Eco</w:t>
      </w:r>
      <w:proofErr w:type="spellEnd"/>
      <w:r>
        <w:rPr>
          <w:b/>
        </w:rPr>
        <w:t xml:space="preserve"> Management and Audit </w:t>
      </w:r>
      <w:proofErr w:type="spellStart"/>
      <w:r>
        <w:rPr>
          <w:b/>
        </w:rPr>
        <w:t>Scheme</w:t>
      </w:r>
      <w:proofErr w:type="spellEnd"/>
      <w:r>
        <w:rPr>
          <w:b/>
        </w:rPr>
        <w:t>),</w:t>
      </w:r>
    </w:p>
    <w:p w14:paraId="42C8E089" w14:textId="77777777" w:rsidR="00DA16B9" w:rsidRDefault="00DA16B9" w:rsidP="00DA16B9">
      <w:pPr>
        <w:pStyle w:val="Odstavecseseznamem"/>
        <w:numPr>
          <w:ilvl w:val="0"/>
          <w:numId w:val="40"/>
        </w:numPr>
        <w:rPr>
          <w:b/>
        </w:rPr>
      </w:pPr>
      <w:r>
        <w:rPr>
          <w:b/>
        </w:rPr>
        <w:t>autorizovaní inženýři sdružení v České komoře autorizovaných inženýrů a techniků činných ve výstavbě (ČKAIT),</w:t>
      </w:r>
    </w:p>
    <w:p w14:paraId="2F5AC5CE" w14:textId="77777777" w:rsidR="00DA16B9" w:rsidRDefault="00DA16B9" w:rsidP="00DA16B9">
      <w:pPr>
        <w:pStyle w:val="Odstavecseseznamem"/>
        <w:numPr>
          <w:ilvl w:val="0"/>
          <w:numId w:val="40"/>
        </w:numPr>
        <w:rPr>
          <w:b/>
        </w:rPr>
      </w:pPr>
      <w:r>
        <w:rPr>
          <w:b/>
        </w:rPr>
        <w:t xml:space="preserve">osoby certifikované normou ISO 14064 část 2 stanovení, monitorování a vykazování snížení emisí nebo zvýšení propadů skleníkových plynů pro projekty, </w:t>
      </w:r>
    </w:p>
    <w:p w14:paraId="4863481A" w14:textId="77777777" w:rsidR="00DA16B9" w:rsidRDefault="00DA16B9" w:rsidP="00DA16B9">
      <w:pPr>
        <w:pStyle w:val="Odstavecseseznamem"/>
        <w:numPr>
          <w:ilvl w:val="0"/>
          <w:numId w:val="40"/>
        </w:numPr>
        <w:rPr>
          <w:b/>
        </w:rPr>
      </w:pPr>
      <w:r>
        <w:rPr>
          <w:b/>
        </w:rPr>
        <w:t xml:space="preserve">osoby autorizované podle § 19 zákona č. 100/2001 Sb., o posuzování vlivů na životní prostředí a o změně některých souvisejících zákonů (EIA), </w:t>
      </w:r>
    </w:p>
    <w:p w14:paraId="23D1E63D" w14:textId="77777777" w:rsidR="00DA16B9" w:rsidRPr="006A45B6" w:rsidRDefault="00DA16B9" w:rsidP="00DA16B9">
      <w:pPr>
        <w:pStyle w:val="Odstavecseseznamem"/>
        <w:numPr>
          <w:ilvl w:val="0"/>
          <w:numId w:val="40"/>
        </w:numPr>
        <w:rPr>
          <w:b/>
        </w:rPr>
      </w:pPr>
      <w:r>
        <w:rPr>
          <w:b/>
        </w:rPr>
        <w:t>osoby autorizované k provádění auditu dle ISO 14001 – Systémy environmentálního managementu.</w:t>
      </w:r>
    </w:p>
    <w:p w14:paraId="467A6F00" w14:textId="77777777" w:rsidR="00DA16B9" w:rsidRPr="0010200A" w:rsidRDefault="00DA16B9" w:rsidP="00DA16B9">
      <w:pPr>
        <w:pStyle w:val="Odstavecseseznamem"/>
        <w:spacing w:after="160" w:line="259" w:lineRule="auto"/>
        <w:ind w:left="720"/>
        <w:contextualSpacing/>
        <w:rPr>
          <w:rFonts w:cs="Segoe UI"/>
        </w:rPr>
      </w:pPr>
    </w:p>
    <w:p w14:paraId="62013FB8" w14:textId="77777777" w:rsidR="00DA16B9" w:rsidRPr="009954DF" w:rsidRDefault="00DA16B9" w:rsidP="00DA16B9">
      <w:pPr>
        <w:pStyle w:val="Odstavecseseznamem"/>
        <w:keepNext/>
        <w:numPr>
          <w:ilvl w:val="0"/>
          <w:numId w:val="89"/>
        </w:numPr>
        <w:spacing w:after="160" w:line="259" w:lineRule="auto"/>
        <w:ind w:left="714" w:hanging="357"/>
        <w:contextualSpacing/>
        <w:rPr>
          <w:rFonts w:cs="Segoe UI"/>
          <w:b/>
          <w:bCs/>
          <w:u w:val="single"/>
        </w:rPr>
      </w:pPr>
      <w:r w:rsidRPr="006A45B6">
        <w:rPr>
          <w:rFonts w:cs="Segoe UI"/>
          <w:b/>
          <w:bCs/>
          <w:u w:val="single"/>
        </w:rPr>
        <w:t>Výpočet uhlíkové stopy a emisní faktory</w:t>
      </w:r>
    </w:p>
    <w:p w14:paraId="64F6652F" w14:textId="642B08D9" w:rsidR="00DA16B9" w:rsidRPr="009954DF" w:rsidRDefault="00DA16B9" w:rsidP="00DA16B9">
      <w:pPr>
        <w:spacing w:after="160" w:line="259" w:lineRule="auto"/>
        <w:contextualSpacing/>
      </w:pPr>
      <w:r w:rsidRPr="009954DF">
        <w:rPr>
          <w:rFonts w:cs="Segoe UI"/>
        </w:rPr>
        <w:t xml:space="preserve">V případě, že se projekt nenachází na žádném z výše uvedených seznamů a zároveň se předpokládá, že by mohlo dojít k překročení prahové hodnoty emisí </w:t>
      </w:r>
      <w:r w:rsidRPr="009954DF">
        <w:t>20 000 t CO</w:t>
      </w:r>
      <w:r w:rsidRPr="009954DF">
        <w:rPr>
          <w:vertAlign w:val="subscript"/>
        </w:rPr>
        <w:t>2</w:t>
      </w:r>
      <w:r w:rsidRPr="009954DF">
        <w:t xml:space="preserve"> </w:t>
      </w:r>
      <w:proofErr w:type="spellStart"/>
      <w:r w:rsidRPr="009954DF">
        <w:t>ekv</w:t>
      </w:r>
      <w:proofErr w:type="spellEnd"/>
      <w:r w:rsidRPr="009954DF">
        <w:t xml:space="preserve">./rok je možné postoupit s výpočtem uhlíkové stopy na základě emisních faktorů. </w:t>
      </w:r>
    </w:p>
    <w:p w14:paraId="5B94B921" w14:textId="77777777" w:rsidR="00DA16B9" w:rsidRPr="009954DF" w:rsidRDefault="00DA16B9" w:rsidP="00DA16B9">
      <w:pPr>
        <w:spacing w:line="240" w:lineRule="auto"/>
      </w:pPr>
      <w:r w:rsidRPr="009954DF">
        <w:t xml:space="preserve">Pro stanovení uhlíkové stopy se </w:t>
      </w:r>
      <w:r w:rsidRPr="009954DF">
        <w:rPr>
          <w:u w:val="single"/>
        </w:rPr>
        <w:t>doporučuje</w:t>
      </w:r>
      <w:r w:rsidRPr="009954DF">
        <w:t xml:space="preserve"> využívat následující metodiky, alternativně lze využít i jiné uznávané metodiky, pro naplnění smyslu CPM je nutné využívat takové metodiky výpočtu uhlíkové stopy, které v případě relevantních typů opatření zahrnují i </w:t>
      </w:r>
      <w:proofErr w:type="spellStart"/>
      <w:r w:rsidRPr="009954DF">
        <w:t>scope</w:t>
      </w:r>
      <w:proofErr w:type="spellEnd"/>
      <w:r w:rsidRPr="009954DF">
        <w:t xml:space="preserve"> 3):</w:t>
      </w:r>
    </w:p>
    <w:p w14:paraId="738F06E5" w14:textId="61FF4B8A" w:rsidR="00DA16B9" w:rsidRPr="009954DF" w:rsidRDefault="00DA16B9" w:rsidP="00DA16B9">
      <w:pPr>
        <w:pStyle w:val="Odstavecseseznamem"/>
        <w:numPr>
          <w:ilvl w:val="0"/>
          <w:numId w:val="17"/>
        </w:numPr>
        <w:spacing w:line="240" w:lineRule="auto"/>
      </w:pPr>
      <w:r w:rsidRPr="009954DF">
        <w:lastRenderedPageBreak/>
        <w:t xml:space="preserve">metodika EIB, se kterou operuje technický pokyn EK pro CP: </w:t>
      </w:r>
      <w:hyperlink r:id="rId73" w:history="1">
        <w:r w:rsidRPr="009954DF">
          <w:rPr>
            <w:rStyle w:val="Hypertextovodkaz"/>
          </w:rPr>
          <w:t>https://www.eib.org/en/publications/20220215-eib-project-carbon-footprint-methodologies</w:t>
        </w:r>
      </w:hyperlink>
      <w:r w:rsidR="00FB2A0F">
        <w:t xml:space="preserve"> </w:t>
      </w:r>
    </w:p>
    <w:p w14:paraId="51086C36" w14:textId="77777777" w:rsidR="00DA16B9" w:rsidRPr="009954DF" w:rsidRDefault="00DA16B9" w:rsidP="00DA16B9">
      <w:pPr>
        <w:pStyle w:val="Odstavecseseznamem"/>
        <w:numPr>
          <w:ilvl w:val="0"/>
          <w:numId w:val="6"/>
        </w:numPr>
        <w:spacing w:line="240" w:lineRule="auto"/>
      </w:pPr>
      <w:r w:rsidRPr="009954DF">
        <w:t xml:space="preserve">GHG </w:t>
      </w:r>
      <w:proofErr w:type="spellStart"/>
      <w:r w:rsidRPr="009954DF">
        <w:t>Protocol</w:t>
      </w:r>
      <w:proofErr w:type="spellEnd"/>
      <w:r w:rsidRPr="009954DF">
        <w:t xml:space="preserve">: </w:t>
      </w:r>
      <w:hyperlink r:id="rId74" w:anchor="supporting-documents" w:history="1">
        <w:r w:rsidRPr="009954DF">
          <w:rPr>
            <w:rStyle w:val="Hypertextovodkaz"/>
          </w:rPr>
          <w:t>https://ghgprotocol.org/corporate-standard#supporting-documents</w:t>
        </w:r>
      </w:hyperlink>
      <w:r w:rsidRPr="009954DF">
        <w:t xml:space="preserve"> </w:t>
      </w:r>
    </w:p>
    <w:p w14:paraId="4B2C388C" w14:textId="77777777" w:rsidR="00DA16B9" w:rsidRPr="009954DF" w:rsidRDefault="00DA16B9" w:rsidP="00DA16B9">
      <w:pPr>
        <w:spacing w:line="240" w:lineRule="auto"/>
      </w:pPr>
    </w:p>
    <w:p w14:paraId="7A822008" w14:textId="77777777" w:rsidR="00DA16B9" w:rsidRPr="009954DF" w:rsidRDefault="00DA16B9" w:rsidP="00DA16B9">
      <w:pPr>
        <w:spacing w:line="240" w:lineRule="auto"/>
      </w:pPr>
      <w:r w:rsidRPr="009954DF">
        <w:rPr>
          <w:b/>
        </w:rPr>
        <w:t>Obecně se doporučuje využívat zejména národně specifické emisní faktory</w:t>
      </w:r>
      <w:r w:rsidRPr="009954DF">
        <w:t>, které nejlépe reflektují specifika konkrétní činnosti a vstupů (včetně paliv) - ČHMÚ každý rok vydává Národní inventarizační zprávu</w:t>
      </w:r>
      <w:r w:rsidRPr="009954DF">
        <w:rPr>
          <w:rStyle w:val="Znakapoznpodarou"/>
        </w:rPr>
        <w:footnoteReference w:id="45"/>
      </w:r>
      <w:r w:rsidRPr="009954DF">
        <w:t xml:space="preserve"> včetně výpočtových faktorů platných pro ČR, které se doporučují pro relevanci v ČR.</w:t>
      </w:r>
    </w:p>
    <w:p w14:paraId="6D13D68E" w14:textId="77777777" w:rsidR="00DA16B9" w:rsidRPr="009954DF" w:rsidRDefault="00DA16B9" w:rsidP="00DA16B9">
      <w:pPr>
        <w:spacing w:line="240" w:lineRule="auto"/>
      </w:pPr>
      <w:r w:rsidRPr="009954DF">
        <w:t>Použití konkrétních emisních faktorů a metodiky by mělo být nicméně v konkrétním případě provedení CPM odůvodněno, přičemž emisní faktory by vždy měly odpovídat užité metodice, (nemělo by docházet k využití emisních faktorů spojených výhradně s jinou metodikou bez ohledu na důvody). Uvedená omezení se netýkají obecně použitelných emisních faktorů (např. pro spalování plynu konkrétního složení, vztažená k výhřevnosti). Konkrétní emisní faktory a jejich zdroje by měly být součástí informací o výpočtu.</w:t>
      </w:r>
    </w:p>
    <w:p w14:paraId="2D1AE4F9" w14:textId="77777777" w:rsidR="00DA16B9" w:rsidRPr="009954DF" w:rsidRDefault="00DA16B9" w:rsidP="00DA16B9">
      <w:pPr>
        <w:spacing w:line="240" w:lineRule="auto"/>
      </w:pPr>
    </w:p>
    <w:p w14:paraId="7BCEE0C5" w14:textId="77777777" w:rsidR="00DA16B9" w:rsidRPr="009954DF" w:rsidRDefault="00DA16B9" w:rsidP="00DA16B9">
      <w:pPr>
        <w:keepNext/>
        <w:spacing w:line="240" w:lineRule="auto"/>
        <w:rPr>
          <w:b/>
        </w:rPr>
      </w:pPr>
      <w:r w:rsidRPr="009954DF">
        <w:rPr>
          <w:b/>
        </w:rPr>
        <w:t>Pro výpočet uhlíkové stopy jakožto dělícího kritéria mezi fází 1 a fází 2 CPM jsou rozhodující absolutní a / nebo relativní emise. Hodnotí se negativní, ale i pozitivní změna. Výpočtem uhlíkové stopy se ověří překročení prahových hodnot pro podrobnou analýzu. Sleduje se překročené alespoň jedné z uvedených hodnot.</w:t>
      </w:r>
    </w:p>
    <w:p w14:paraId="4A91EE3C" w14:textId="77777777" w:rsidR="00DA16B9" w:rsidRPr="009954DF" w:rsidRDefault="00DA16B9" w:rsidP="00DA16B9">
      <w:pPr>
        <w:keepNext/>
        <w:spacing w:line="240" w:lineRule="auto"/>
      </w:pPr>
    </w:p>
    <w:p w14:paraId="5B6D59A0" w14:textId="77777777" w:rsidR="00DA16B9" w:rsidRPr="006A45B6" w:rsidRDefault="00DA16B9" w:rsidP="00DA16B9">
      <w:pPr>
        <w:pStyle w:val="Titulek"/>
        <w:spacing w:after="120"/>
        <w:rPr>
          <w:sz w:val="22"/>
          <w:szCs w:val="22"/>
        </w:rPr>
      </w:pPr>
      <w:r w:rsidRPr="006A45B6">
        <w:rPr>
          <w:sz w:val="22"/>
          <w:szCs w:val="22"/>
        </w:rPr>
        <w:t xml:space="preserve">Tabulka </w:t>
      </w:r>
      <w:r w:rsidRPr="006A45B6">
        <w:rPr>
          <w:sz w:val="22"/>
          <w:szCs w:val="22"/>
        </w:rPr>
        <w:fldChar w:fldCharType="begin"/>
      </w:r>
      <w:r w:rsidRPr="006A45B6">
        <w:rPr>
          <w:sz w:val="22"/>
          <w:szCs w:val="22"/>
        </w:rPr>
        <w:instrText xml:space="preserve"> SEQ Tabulka \* ARABIC </w:instrText>
      </w:r>
      <w:r w:rsidRPr="006A45B6">
        <w:rPr>
          <w:sz w:val="22"/>
          <w:szCs w:val="22"/>
        </w:rPr>
        <w:fldChar w:fldCharType="separate"/>
      </w:r>
      <w:r>
        <w:rPr>
          <w:noProof/>
          <w:sz w:val="22"/>
          <w:szCs w:val="22"/>
        </w:rPr>
        <w:t>1</w:t>
      </w:r>
      <w:r w:rsidRPr="006A45B6">
        <w:rPr>
          <w:sz w:val="22"/>
          <w:szCs w:val="22"/>
        </w:rPr>
        <w:fldChar w:fldCharType="end"/>
      </w:r>
      <w:r w:rsidRPr="006A45B6">
        <w:rPr>
          <w:sz w:val="22"/>
          <w:szCs w:val="22"/>
        </w:rPr>
        <w:t>: Prahové hodnoty pro podrobnou analýzu</w:t>
      </w:r>
    </w:p>
    <w:tbl>
      <w:tblPr>
        <w:tblStyle w:val="Mkatabulky"/>
        <w:tblW w:w="0" w:type="auto"/>
        <w:tblBorders>
          <w:left w:val="none" w:sz="0" w:space="0" w:color="auto"/>
          <w:right w:val="none" w:sz="0" w:space="0" w:color="auto"/>
          <w:insideH w:val="none" w:sz="0" w:space="0" w:color="auto"/>
          <w:insideV w:val="none" w:sz="0" w:space="0" w:color="auto"/>
        </w:tblBorders>
        <w:shd w:val="clear" w:color="auto" w:fill="E7E6E6" w:themeFill="background2"/>
        <w:tblLook w:val="04A0" w:firstRow="1" w:lastRow="0" w:firstColumn="1" w:lastColumn="0" w:noHBand="0" w:noVBand="1"/>
      </w:tblPr>
      <w:tblGrid>
        <w:gridCol w:w="9062"/>
      </w:tblGrid>
      <w:tr w:rsidR="00DA16B9" w:rsidRPr="009954DF" w14:paraId="5897075C" w14:textId="77777777" w:rsidTr="009B1BC4">
        <w:trPr>
          <w:trHeight w:val="624"/>
        </w:trPr>
        <w:tc>
          <w:tcPr>
            <w:tcW w:w="9062" w:type="dxa"/>
            <w:shd w:val="clear" w:color="auto" w:fill="E7E6E6" w:themeFill="background2"/>
            <w:vAlign w:val="center"/>
          </w:tcPr>
          <w:p w14:paraId="0D142333" w14:textId="1A01DDC1" w:rsidR="00DA16B9" w:rsidRPr="009954DF" w:rsidRDefault="00DA16B9" w:rsidP="009B1BC4">
            <w:pPr>
              <w:spacing w:line="240" w:lineRule="auto"/>
              <w:jc w:val="left"/>
            </w:pPr>
            <w:r w:rsidRPr="009954DF">
              <w:t xml:space="preserve"> – absolutní emise větší než 20 000 t CO</w:t>
            </w:r>
            <w:r w:rsidRPr="009954DF">
              <w:rPr>
                <w:vertAlign w:val="subscript"/>
              </w:rPr>
              <w:t>2</w:t>
            </w:r>
            <w:r w:rsidRPr="009954DF">
              <w:t xml:space="preserve"> </w:t>
            </w:r>
            <w:proofErr w:type="spellStart"/>
            <w:r w:rsidRPr="009954DF">
              <w:t>ekv</w:t>
            </w:r>
            <w:proofErr w:type="spellEnd"/>
            <w:r w:rsidRPr="009954DF">
              <w:t xml:space="preserve">./rok (pozitivní nebo negativní změna) </w:t>
            </w:r>
          </w:p>
        </w:tc>
      </w:tr>
      <w:tr w:rsidR="00DA16B9" w:rsidRPr="009954DF" w14:paraId="3133E0D0" w14:textId="77777777" w:rsidTr="009B1BC4">
        <w:trPr>
          <w:trHeight w:val="624"/>
        </w:trPr>
        <w:tc>
          <w:tcPr>
            <w:tcW w:w="9062" w:type="dxa"/>
            <w:shd w:val="clear" w:color="auto" w:fill="E7E6E6" w:themeFill="background2"/>
            <w:vAlign w:val="center"/>
          </w:tcPr>
          <w:p w14:paraId="3502383A" w14:textId="54A4E8D0" w:rsidR="00DA16B9" w:rsidRPr="009954DF" w:rsidRDefault="00DA16B9" w:rsidP="009B1BC4">
            <w:pPr>
              <w:spacing w:line="240" w:lineRule="auto"/>
              <w:jc w:val="left"/>
            </w:pPr>
            <w:r w:rsidRPr="009954DF">
              <w:t xml:space="preserve"> – relativní emise větší než 20 000 t CO</w:t>
            </w:r>
            <w:r w:rsidRPr="009954DF">
              <w:rPr>
                <w:vertAlign w:val="subscript"/>
              </w:rPr>
              <w:t>2</w:t>
            </w:r>
            <w:r w:rsidRPr="009954DF">
              <w:t xml:space="preserve"> </w:t>
            </w:r>
            <w:proofErr w:type="spellStart"/>
            <w:r w:rsidRPr="009954DF">
              <w:t>ekv</w:t>
            </w:r>
            <w:proofErr w:type="spellEnd"/>
            <w:r w:rsidRPr="009954DF">
              <w:t>./rok (pozitivní nebo negativní změna)</w:t>
            </w:r>
          </w:p>
        </w:tc>
      </w:tr>
    </w:tbl>
    <w:p w14:paraId="2E4459F0" w14:textId="77777777" w:rsidR="00DA16B9" w:rsidRPr="009954DF" w:rsidRDefault="00DA16B9" w:rsidP="00DA16B9">
      <w:pPr>
        <w:rPr>
          <w:rStyle w:val="Zdraznn"/>
        </w:rPr>
      </w:pPr>
    </w:p>
    <w:p w14:paraId="0F3B25E1" w14:textId="77777777" w:rsidR="00DA16B9" w:rsidRPr="009954DF" w:rsidRDefault="00DA16B9" w:rsidP="00DA16B9">
      <w:pPr>
        <w:keepNext/>
        <w:rPr>
          <w:rStyle w:val="Zdraznn"/>
          <w:u w:val="single"/>
        </w:rPr>
      </w:pPr>
      <w:r w:rsidRPr="009954DF">
        <w:rPr>
          <w:rStyle w:val="Zdraznn"/>
          <w:u w:val="single"/>
        </w:rPr>
        <w:t>Rámcový postup dle metodiky EIB:</w:t>
      </w:r>
    </w:p>
    <w:p w14:paraId="6B28EC79" w14:textId="77777777" w:rsidR="00DA16B9" w:rsidRPr="009954DF" w:rsidRDefault="00DA16B9" w:rsidP="00DA16B9">
      <w:pPr>
        <w:pStyle w:val="Odstavecseseznamem"/>
        <w:numPr>
          <w:ilvl w:val="0"/>
          <w:numId w:val="47"/>
        </w:numPr>
        <w:rPr>
          <w:rStyle w:val="Zdraznn"/>
          <w:b w:val="0"/>
        </w:rPr>
      </w:pPr>
      <w:r w:rsidRPr="009954DF">
        <w:rPr>
          <w:rStyle w:val="Zdraznn"/>
          <w:b w:val="0"/>
        </w:rPr>
        <w:t xml:space="preserve">Je potřeba dle </w:t>
      </w:r>
      <w:r w:rsidRPr="009954DF">
        <w:rPr>
          <w:rStyle w:val="Zdraznn"/>
          <w:b w:val="0"/>
          <w:u w:val="single"/>
        </w:rPr>
        <w:t>metodiky EIB</w:t>
      </w:r>
      <w:r w:rsidRPr="009954DF">
        <w:rPr>
          <w:rStyle w:val="Zdraznn"/>
          <w:b w:val="0"/>
        </w:rPr>
        <w:t xml:space="preserve"> vzít v potaz, co vše se podřadí pod </w:t>
      </w:r>
      <w:r w:rsidRPr="009954DF">
        <w:rPr>
          <w:rStyle w:val="Zdraznn"/>
          <w:b w:val="0"/>
          <w:u w:val="single"/>
        </w:rPr>
        <w:t>absolutní a relativní</w:t>
      </w:r>
      <w:r w:rsidRPr="009954DF">
        <w:rPr>
          <w:rStyle w:val="Zdraznn"/>
          <w:b w:val="0"/>
        </w:rPr>
        <w:t xml:space="preserve"> emise </w:t>
      </w:r>
      <w:proofErr w:type="gramStart"/>
      <w:r w:rsidRPr="009954DF">
        <w:rPr>
          <w:rStyle w:val="Zdraznn"/>
          <w:b w:val="0"/>
        </w:rPr>
        <w:t>projektu - jde</w:t>
      </w:r>
      <w:proofErr w:type="gramEnd"/>
      <w:r w:rsidRPr="009954DF">
        <w:rPr>
          <w:rStyle w:val="Zdraznn"/>
          <w:b w:val="0"/>
        </w:rPr>
        <w:t xml:space="preserve"> o </w:t>
      </w:r>
      <w:proofErr w:type="spellStart"/>
      <w:r w:rsidRPr="009954DF">
        <w:rPr>
          <w:rStyle w:val="Zdraznn"/>
          <w:b w:val="0"/>
        </w:rPr>
        <w:t>scope</w:t>
      </w:r>
      <w:proofErr w:type="spellEnd"/>
      <w:r w:rsidRPr="009954DF">
        <w:rPr>
          <w:rStyle w:val="Znakapoznpodarou"/>
        </w:rPr>
        <w:footnoteReference w:id="46"/>
      </w:r>
      <w:r w:rsidRPr="009954DF">
        <w:rPr>
          <w:rStyle w:val="Zdraznn"/>
          <w:b w:val="0"/>
        </w:rPr>
        <w:t xml:space="preserve"> 1 (přímé emise z projektu), </w:t>
      </w:r>
      <w:proofErr w:type="spellStart"/>
      <w:r w:rsidRPr="009954DF">
        <w:rPr>
          <w:rStyle w:val="Zdraznn"/>
          <w:b w:val="0"/>
        </w:rPr>
        <w:t>scope</w:t>
      </w:r>
      <w:proofErr w:type="spellEnd"/>
      <w:r w:rsidRPr="009954DF">
        <w:rPr>
          <w:rStyle w:val="Zdraznn"/>
          <w:b w:val="0"/>
        </w:rPr>
        <w:t xml:space="preserve"> 2 (zahrne emise zdroje spotřebované energie), </w:t>
      </w:r>
      <w:proofErr w:type="spellStart"/>
      <w:r w:rsidRPr="009954DF">
        <w:rPr>
          <w:rStyle w:val="Zdraznn"/>
          <w:b w:val="0"/>
        </w:rPr>
        <w:t>scope</w:t>
      </w:r>
      <w:proofErr w:type="spellEnd"/>
      <w:r w:rsidRPr="009954DF">
        <w:rPr>
          <w:rStyle w:val="Zdraznn"/>
          <w:b w:val="0"/>
        </w:rPr>
        <w:t xml:space="preserve"> 3 (nepřímé emise vyvolané projektem tam, kde jsou </w:t>
      </w:r>
      <w:proofErr w:type="spellStart"/>
      <w:r w:rsidRPr="009954DF">
        <w:rPr>
          <w:rStyle w:val="Zdraznn"/>
          <w:b w:val="0"/>
        </w:rPr>
        <w:t>relevatní</w:t>
      </w:r>
      <w:proofErr w:type="spellEnd"/>
      <w:r w:rsidRPr="009954DF">
        <w:rPr>
          <w:rStyle w:val="Zdraznn"/>
          <w:b w:val="0"/>
        </w:rPr>
        <w:t xml:space="preserve"> – např. z dopravy).</w:t>
      </w:r>
    </w:p>
    <w:p w14:paraId="1C04BF97" w14:textId="55845A23" w:rsidR="00DA16B9" w:rsidRPr="009954DF" w:rsidRDefault="00DA16B9" w:rsidP="00DA16B9">
      <w:pPr>
        <w:pStyle w:val="Odstavecseseznamem"/>
        <w:numPr>
          <w:ilvl w:val="0"/>
          <w:numId w:val="47"/>
        </w:numPr>
        <w:rPr>
          <w:rStyle w:val="Zdraznn"/>
          <w:b w:val="0"/>
        </w:rPr>
      </w:pPr>
      <w:r w:rsidRPr="009954DF">
        <w:rPr>
          <w:rStyle w:val="Zdraznn"/>
          <w:b w:val="0"/>
        </w:rPr>
        <w:t xml:space="preserve">Je potřeba vyhodnotit, zda </w:t>
      </w:r>
      <w:r w:rsidRPr="009954DF">
        <w:rPr>
          <w:rStyle w:val="Zdraznn"/>
          <w:b w:val="0"/>
          <w:u w:val="single"/>
        </w:rPr>
        <w:t>dle metodiky EIB</w:t>
      </w:r>
      <w:r w:rsidRPr="009954DF">
        <w:rPr>
          <w:rStyle w:val="Zdraznn"/>
          <w:b w:val="0"/>
        </w:rPr>
        <w:t xml:space="preserve"> dojde vlivem projektu ke </w:t>
      </w:r>
      <w:r w:rsidRPr="009954DF">
        <w:rPr>
          <w:rStyle w:val="Zdraznn"/>
          <w:b w:val="0"/>
          <w:u w:val="single"/>
        </w:rPr>
        <w:t>zvýšení nebo snížení absolutních emisí</w:t>
      </w:r>
      <w:r w:rsidRPr="009954DF">
        <w:rPr>
          <w:rStyle w:val="Zdraznn"/>
          <w:b w:val="0"/>
        </w:rPr>
        <w:t xml:space="preserve"> o více než 20 000 t CO</w:t>
      </w:r>
      <w:r w:rsidRPr="009954DF">
        <w:rPr>
          <w:rStyle w:val="Zdraznn"/>
          <w:b w:val="0"/>
          <w:vertAlign w:val="subscript"/>
        </w:rPr>
        <w:t>2</w:t>
      </w:r>
      <w:r w:rsidRPr="009954DF">
        <w:rPr>
          <w:rStyle w:val="Zdraznn"/>
          <w:b w:val="0"/>
        </w:rPr>
        <w:t xml:space="preserve"> </w:t>
      </w:r>
      <w:proofErr w:type="spellStart"/>
      <w:r w:rsidRPr="009954DF">
        <w:rPr>
          <w:rStyle w:val="Zdraznn"/>
          <w:b w:val="0"/>
        </w:rPr>
        <w:t>ekv</w:t>
      </w:r>
      <w:proofErr w:type="spellEnd"/>
      <w:r w:rsidRPr="009954DF">
        <w:rPr>
          <w:rStyle w:val="Zdraznn"/>
          <w:b w:val="0"/>
        </w:rPr>
        <w:t xml:space="preserve">. v typickém roce. Pokud </w:t>
      </w:r>
      <w:proofErr w:type="gramStart"/>
      <w:r w:rsidRPr="009954DF">
        <w:rPr>
          <w:rStyle w:val="Zdraznn"/>
          <w:b w:val="0"/>
        </w:rPr>
        <w:t>ano - vždy</w:t>
      </w:r>
      <w:proofErr w:type="gramEnd"/>
      <w:r w:rsidRPr="009954DF">
        <w:rPr>
          <w:rStyle w:val="Zdraznn"/>
          <w:b w:val="0"/>
        </w:rPr>
        <w:t xml:space="preserve"> </w:t>
      </w:r>
      <w:r w:rsidRPr="009954DF">
        <w:rPr>
          <w:rStyle w:val="Zdraznn"/>
          <w:b w:val="0"/>
        </w:rPr>
        <w:lastRenderedPageBreak/>
        <w:t>se provádí CPM fáze 2 včetně podrobné analýzy (CBA, částečná CBA) a posouzení souladu s klimatickou neutralitou.</w:t>
      </w:r>
    </w:p>
    <w:p w14:paraId="7D36D167" w14:textId="5182E41B" w:rsidR="00DA16B9" w:rsidRPr="009954DF" w:rsidRDefault="00DA16B9" w:rsidP="00DA16B9">
      <w:pPr>
        <w:pStyle w:val="Odstavecseseznamem"/>
        <w:numPr>
          <w:ilvl w:val="0"/>
          <w:numId w:val="47"/>
        </w:numPr>
        <w:rPr>
          <w:rStyle w:val="Zdraznn"/>
          <w:b w:val="0"/>
        </w:rPr>
      </w:pPr>
      <w:r w:rsidRPr="009954DF">
        <w:rPr>
          <w:rStyle w:val="Zdraznn"/>
          <w:b w:val="0"/>
        </w:rPr>
        <w:t xml:space="preserve">Je potřeba vyhodnotit, zda </w:t>
      </w:r>
      <w:r w:rsidRPr="009954DF">
        <w:rPr>
          <w:rStyle w:val="Zdraznn"/>
          <w:b w:val="0"/>
          <w:u w:val="single"/>
        </w:rPr>
        <w:t>dle metodiky EIB</w:t>
      </w:r>
      <w:r w:rsidRPr="009954DF">
        <w:rPr>
          <w:rStyle w:val="Zdraznn"/>
          <w:b w:val="0"/>
        </w:rPr>
        <w:t xml:space="preserve"> dojde vlivem projektu ke </w:t>
      </w:r>
      <w:r w:rsidRPr="009954DF">
        <w:rPr>
          <w:rStyle w:val="Zdraznn"/>
          <w:b w:val="0"/>
          <w:u w:val="single"/>
        </w:rPr>
        <w:t>zvýšení nebo snížení relativních emisí</w:t>
      </w:r>
      <w:r w:rsidRPr="009954DF">
        <w:rPr>
          <w:rStyle w:val="Zdraznn"/>
          <w:b w:val="0"/>
        </w:rPr>
        <w:t xml:space="preserve"> o více než 20 000 t CO</w:t>
      </w:r>
      <w:r w:rsidRPr="009954DF">
        <w:rPr>
          <w:rStyle w:val="Zdraznn"/>
          <w:b w:val="0"/>
          <w:vertAlign w:val="subscript"/>
        </w:rPr>
        <w:t>2</w:t>
      </w:r>
      <w:r w:rsidRPr="009954DF">
        <w:rPr>
          <w:rStyle w:val="Zdraznn"/>
          <w:b w:val="0"/>
        </w:rPr>
        <w:t xml:space="preserve"> </w:t>
      </w:r>
      <w:proofErr w:type="spellStart"/>
      <w:r w:rsidRPr="009954DF">
        <w:rPr>
          <w:rStyle w:val="Zdraznn"/>
          <w:b w:val="0"/>
        </w:rPr>
        <w:t>ekv</w:t>
      </w:r>
      <w:proofErr w:type="spellEnd"/>
      <w:r w:rsidRPr="009954DF">
        <w:rPr>
          <w:rStyle w:val="Zdraznn"/>
          <w:b w:val="0"/>
        </w:rPr>
        <w:t xml:space="preserve">. v typickém roce. Pokud </w:t>
      </w:r>
      <w:proofErr w:type="gramStart"/>
      <w:r w:rsidRPr="009954DF">
        <w:rPr>
          <w:rStyle w:val="Zdraznn"/>
          <w:b w:val="0"/>
        </w:rPr>
        <w:t>ano - vždy</w:t>
      </w:r>
      <w:proofErr w:type="gramEnd"/>
      <w:r w:rsidRPr="009954DF">
        <w:rPr>
          <w:rStyle w:val="Zdraznn"/>
          <w:b w:val="0"/>
        </w:rPr>
        <w:t xml:space="preserve"> se provádí CPM fáze 2 včetně podrobné analýzy (CBA, částečná CBA) a posouzení souladu s klimatickou neutralitou.</w:t>
      </w:r>
    </w:p>
    <w:p w14:paraId="3B0C5C8C" w14:textId="77777777" w:rsidR="00DA16B9" w:rsidRDefault="00DA16B9" w:rsidP="00DA16B9">
      <w:pPr>
        <w:spacing w:after="160" w:line="259" w:lineRule="auto"/>
        <w:contextualSpacing/>
        <w:rPr>
          <w:rStyle w:val="Zdraznn"/>
        </w:rPr>
      </w:pPr>
      <w:r w:rsidRPr="009954DF">
        <w:rPr>
          <w:rStyle w:val="Zdraznn"/>
        </w:rPr>
        <w:t xml:space="preserve">Dle metodiky EIB se jedná o </w:t>
      </w:r>
      <w:r w:rsidRPr="009954DF">
        <w:rPr>
          <w:rStyle w:val="Zdraznn"/>
          <w:u w:val="single"/>
        </w:rPr>
        <w:t>typický rok provozu</w:t>
      </w:r>
      <w:r w:rsidRPr="009954DF">
        <w:rPr>
          <w:rStyle w:val="Zdraznn"/>
        </w:rPr>
        <w:t xml:space="preserve">, tzn. nezohledňují se např. odstávky nebo první rok provozu apod. Dále je nutné vnímat ohraničení projektu dle metodiky EIB pro výpočet uhlíkové stopy, a taktéž vymezení </w:t>
      </w:r>
      <w:proofErr w:type="spellStart"/>
      <w:r w:rsidRPr="009954DF">
        <w:rPr>
          <w:rStyle w:val="Zdraznn"/>
        </w:rPr>
        <w:t>scope</w:t>
      </w:r>
      <w:proofErr w:type="spellEnd"/>
      <w:r w:rsidRPr="009954DF">
        <w:rPr>
          <w:rStyle w:val="Zdraznn"/>
        </w:rPr>
        <w:t xml:space="preserve"> 3 dle této metodiky (tam, kde je </w:t>
      </w:r>
      <w:proofErr w:type="spellStart"/>
      <w:r w:rsidRPr="009954DF">
        <w:rPr>
          <w:rStyle w:val="Zdraznn"/>
        </w:rPr>
        <w:t>scope</w:t>
      </w:r>
      <w:proofErr w:type="spellEnd"/>
      <w:r w:rsidRPr="009954DF">
        <w:rPr>
          <w:rStyle w:val="Zdraznn"/>
        </w:rPr>
        <w:t xml:space="preserve"> 3 relevantní).</w:t>
      </w:r>
    </w:p>
    <w:p w14:paraId="644731B6" w14:textId="77777777" w:rsidR="00DA16B9" w:rsidRDefault="00DA16B9" w:rsidP="00DA16B9">
      <w:pPr>
        <w:spacing w:after="160" w:line="259" w:lineRule="auto"/>
        <w:contextualSpacing/>
        <w:rPr>
          <w:rStyle w:val="Zdraznn"/>
        </w:rPr>
      </w:pPr>
    </w:p>
    <w:p w14:paraId="1A4AFE91" w14:textId="5302752D" w:rsidR="00D63C6D" w:rsidRDefault="00DA16B9" w:rsidP="00DA16B9">
      <w:pPr>
        <w:spacing w:after="160" w:line="259" w:lineRule="auto"/>
        <w:contextualSpacing/>
        <w:rPr>
          <w:rStyle w:val="Zdraznn"/>
        </w:rPr>
      </w:pPr>
      <w:r>
        <w:rPr>
          <w:rStyle w:val="Zdraznn"/>
        </w:rPr>
        <w:t xml:space="preserve">Na základě provedeného výpočtu je možné dále provést hodnocení DNSH v kombinaci s metodikou </w:t>
      </w:r>
      <w:proofErr w:type="spellStart"/>
      <w:r>
        <w:rPr>
          <w:rStyle w:val="Zdraznn"/>
        </w:rPr>
        <w:t>climate</w:t>
      </w:r>
      <w:proofErr w:type="spellEnd"/>
      <w:r>
        <w:rPr>
          <w:rStyle w:val="Zdraznn"/>
        </w:rPr>
        <w:t xml:space="preserve"> </w:t>
      </w:r>
      <w:proofErr w:type="spellStart"/>
      <w:r>
        <w:rPr>
          <w:rStyle w:val="Zdraznn"/>
        </w:rPr>
        <w:t>proofing</w:t>
      </w:r>
      <w:proofErr w:type="spellEnd"/>
      <w:r>
        <w:rPr>
          <w:rStyle w:val="Zdraznn"/>
        </w:rPr>
        <w:t xml:space="preserve"> dle pokynů pro zelený (část (a) této kapitoly) nebo červený (část (b) této kapitoly) seznam.</w:t>
      </w:r>
    </w:p>
    <w:p w14:paraId="7EE930CF" w14:textId="77777777" w:rsidR="00DA16B9" w:rsidRPr="006A45B6" w:rsidRDefault="00DA16B9" w:rsidP="006C1B48">
      <w:pPr>
        <w:spacing w:after="160" w:line="259" w:lineRule="auto"/>
        <w:jc w:val="left"/>
        <w:rPr>
          <w:b/>
        </w:rPr>
      </w:pPr>
    </w:p>
    <w:p w14:paraId="083A8D28" w14:textId="77777777" w:rsidR="00FC2100" w:rsidRDefault="00FC2100" w:rsidP="00AF460E">
      <w:pPr>
        <w:pStyle w:val="Nadpis3"/>
      </w:pPr>
      <w:bookmarkStart w:id="85" w:name="_Toc201759326"/>
      <w:bookmarkStart w:id="86" w:name="_Toc201771389"/>
      <w:bookmarkStart w:id="87" w:name="_Toc201759327"/>
      <w:bookmarkStart w:id="88" w:name="_Toc201771390"/>
      <w:bookmarkStart w:id="89" w:name="_Toc201759328"/>
      <w:bookmarkStart w:id="90" w:name="_Toc201771391"/>
      <w:bookmarkStart w:id="91" w:name="_Toc201759329"/>
      <w:bookmarkStart w:id="92" w:name="_Toc201771392"/>
      <w:bookmarkStart w:id="93" w:name="_Toc201759330"/>
      <w:bookmarkStart w:id="94" w:name="_Toc201771393"/>
      <w:bookmarkStart w:id="95" w:name="_Toc201759331"/>
      <w:bookmarkStart w:id="96" w:name="_Toc201771394"/>
      <w:bookmarkStart w:id="97" w:name="_Toc201759332"/>
      <w:bookmarkStart w:id="98" w:name="_Toc201771395"/>
      <w:bookmarkStart w:id="99" w:name="_Toc201759333"/>
      <w:bookmarkStart w:id="100" w:name="_Toc201771396"/>
      <w:bookmarkStart w:id="101" w:name="_Toc201759334"/>
      <w:bookmarkStart w:id="102" w:name="_Toc201771397"/>
      <w:bookmarkStart w:id="103" w:name="_Toc201759335"/>
      <w:bookmarkStart w:id="104" w:name="_Toc201771398"/>
      <w:bookmarkStart w:id="105" w:name="_Toc201759336"/>
      <w:bookmarkStart w:id="106" w:name="_Toc201771399"/>
      <w:bookmarkStart w:id="107" w:name="_Přizpůsobování_se_změně_1"/>
      <w:bookmarkStart w:id="108" w:name="_Provedení_opatření_vzešlých"/>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sidRPr="0036032B">
        <w:t>Provedení opatření vzešlých z posuzování vlivů na životní prostředí (EIA) a z jednotného environmentálního stanoviska</w:t>
      </w:r>
    </w:p>
    <w:p w14:paraId="4945E7A3" w14:textId="77777777" w:rsidR="00FC2100" w:rsidRPr="00E066A8" w:rsidRDefault="00FC2100" w:rsidP="00FC2100">
      <w:pPr>
        <w:rPr>
          <w:rFonts w:cs="Segoe UI"/>
        </w:rPr>
      </w:pPr>
      <w:r w:rsidRPr="00E066A8">
        <w:rPr>
          <w:rFonts w:cs="Segoe UI"/>
        </w:rPr>
        <w:t>V případě, že bylo provedeno posuzování vlivů na životní prostředí (EIA), screening</w:t>
      </w:r>
      <w:r w:rsidRPr="00E066A8">
        <w:rPr>
          <w:rFonts w:cs="Segoe UI"/>
          <w:vertAlign w:val="superscript"/>
        </w:rPr>
        <w:footnoteReference w:id="47"/>
      </w:r>
      <w:r w:rsidRPr="00E066A8">
        <w:rPr>
          <w:rFonts w:cs="Segoe UI"/>
        </w:rPr>
        <w:t xml:space="preserve"> v souladu se směrnicí 2011/92/EU</w:t>
      </w:r>
      <w:r w:rsidRPr="00E066A8">
        <w:rPr>
          <w:rFonts w:cs="Segoe UI"/>
          <w:vertAlign w:val="superscript"/>
        </w:rPr>
        <w:footnoteReference w:id="48"/>
      </w:r>
      <w:r w:rsidRPr="00E066A8">
        <w:rPr>
          <w:rFonts w:cs="Segoe UI"/>
        </w:rPr>
        <w:t>, nebo spadá záměr opatření pod složkovou environmentální legislativu integrovanou do jednotného environmentálního stanoviska, je nutné zajistit, že byla provedena požadovaná zmírňující a kompenzační opatření na ochranu životního prostředí. EIA a JES mohou zahrnovat doporučení ke všem environmentálním cílům a jsou tedy vždy relevantní z pohledu DNSH.</w:t>
      </w:r>
    </w:p>
    <w:p w14:paraId="19D42339" w14:textId="77777777" w:rsidR="00FC2100" w:rsidRDefault="00FC2100" w:rsidP="00FC2100">
      <w:pPr>
        <w:rPr>
          <w:rFonts w:cs="Segoe UI"/>
        </w:rPr>
      </w:pPr>
      <w:r w:rsidRPr="00E066A8">
        <w:rPr>
          <w:rFonts w:cs="Segoe UI"/>
        </w:rPr>
        <w:t>Zmírňující a kompenzační opatření na ochranu životního prostředí (na základě závazného stanoviska provedeného posouzení vlivů na životní prostředí a JES) by měla být součástí souhrnné technické zprávy projektu</w:t>
      </w:r>
      <w:r w:rsidRPr="00E066A8">
        <w:rPr>
          <w:rFonts w:cs="Segoe UI"/>
          <w:vertAlign w:val="superscript"/>
        </w:rPr>
        <w:footnoteReference w:id="49"/>
      </w:r>
      <w:r w:rsidRPr="00E066A8">
        <w:rPr>
          <w:rFonts w:cs="Segoe UI"/>
        </w:rPr>
        <w:t>. Tyto aspekty jsou poté kontrolovány v rámci stavebního řízení, finálně však ve smyslu, že byla provedena zmírňující a kompenzační opatření až při kolaudaci. Uzavření stavebního řízení se však nemusí setkat v čase s rozhodnutím o poskytnutí dotace, proto je potřeba požadovat čestné prohlášení ohledně provedení zmírňujících a kompenzačních opatření na ochranu životního prostředí vyplývajících z uvedených řízení.</w:t>
      </w:r>
    </w:p>
    <w:p w14:paraId="394BB08A" w14:textId="77777777" w:rsidR="00FC2100" w:rsidRDefault="00FC2100" w:rsidP="00FC2100">
      <w:pPr>
        <w:pStyle w:val="Nadpis3"/>
      </w:pPr>
      <w:bookmarkStart w:id="109" w:name="_Splnění_legislativní_ochrany_1"/>
      <w:bookmarkEnd w:id="109"/>
      <w:r w:rsidRPr="0036032B">
        <w:t>Splnění legislativní ochrany a souvisejících povolení</w:t>
      </w:r>
    </w:p>
    <w:p w14:paraId="27C06099" w14:textId="2ECD7915" w:rsidR="00FC2100" w:rsidRPr="00D77C59" w:rsidRDefault="00FC2100" w:rsidP="00FC2100">
      <w:pPr>
        <w:rPr>
          <w:b/>
        </w:rPr>
      </w:pPr>
      <w:r w:rsidRPr="00D77C59">
        <w:rPr>
          <w:b/>
        </w:rPr>
        <w:t xml:space="preserve">Dodržování platných právních předpisů EU a vnitrostátních environmentálních právních předpisů je samostatnou povinností při administraci EU fondů, dokladování souladu </w:t>
      </w:r>
      <w:r w:rsidRPr="00D77C59">
        <w:rPr>
          <w:b/>
        </w:rPr>
        <w:lastRenderedPageBreak/>
        <w:t xml:space="preserve">s legislativou na úrovni projektu je na rozhodnutí a dosavadní praxi příslušného </w:t>
      </w:r>
      <w:r w:rsidR="00E441DD">
        <w:rPr>
          <w:b/>
        </w:rPr>
        <w:t>administrátora zdrojů EU</w:t>
      </w:r>
      <w:r w:rsidRPr="00D77C59">
        <w:rPr>
          <w:b/>
        </w:rPr>
        <w:t>, pokud není rozvedena potřeba v rámci administrace EU fondů specifická kontrola požadavků vyplývajících z legislativy s vazbou na DNSH (např. ad provedení opatření ve vazbě na EIA a JES).</w:t>
      </w:r>
    </w:p>
    <w:p w14:paraId="1A46857B" w14:textId="77777777" w:rsidR="00FC2100" w:rsidRPr="00A84314" w:rsidRDefault="00FC2100" w:rsidP="00FC2100">
      <w:r w:rsidRPr="00D77C59">
        <w:rPr>
          <w:b/>
        </w:rPr>
        <w:t>Fakultativně se doporučuje zvážit dokládání žadatele jako subjektu, zda neporušuje environmentální legislativu</w:t>
      </w:r>
      <w:r w:rsidRPr="00D77C59">
        <w:t xml:space="preserve"> – např. v podobě čestného prohlášení žadatele, že proti němu nejsou vedena řízení za porušení povinností spojených s ochranou životního prostředí (např. ze strany ČIŽP a jiných kontrolních orgánů) a klimatu (ve smyslu, že nemá nedoplatky za povolenky na emise skleníkových plynů).</w:t>
      </w:r>
    </w:p>
    <w:p w14:paraId="1E7B867E" w14:textId="77777777" w:rsidR="00FC2100" w:rsidRDefault="00FC2100" w:rsidP="00FC2100"/>
    <w:p w14:paraId="03E35C34" w14:textId="77777777" w:rsidR="00FC2100" w:rsidRPr="00960D98" w:rsidRDefault="00FC2100" w:rsidP="00FC2100">
      <w:pPr>
        <w:rPr>
          <w:bCs/>
        </w:rPr>
      </w:pPr>
      <w:r w:rsidRPr="00D77C59">
        <w:rPr>
          <w:b/>
          <w:bCs/>
        </w:rPr>
        <w:t>Přehled legislativy</w:t>
      </w:r>
    </w:p>
    <w:p w14:paraId="4454F4DB" w14:textId="77777777" w:rsidR="00FC2100" w:rsidRPr="00BA1DB1" w:rsidRDefault="00FC2100" w:rsidP="00FC2100">
      <w:pPr>
        <w:pStyle w:val="Odstavecseseznamem"/>
        <w:numPr>
          <w:ilvl w:val="0"/>
          <w:numId w:val="16"/>
        </w:numPr>
        <w:spacing w:line="240" w:lineRule="auto"/>
        <w:rPr>
          <w:rFonts w:cs="Segoe UI"/>
        </w:rPr>
      </w:pPr>
      <w:r w:rsidRPr="00BA1DB1">
        <w:rPr>
          <w:rFonts w:cs="Segoe UI"/>
        </w:rPr>
        <w:t>Nařízení Evropského parlamentu a Rady (EU) 2024/1781 ze dne 13. června 2024 o vytvoření rámce pro stanovení požadavků na ekodesign udržitelných výrobků, o změně směrnice (EU) 2020/1828 a nařízení (EU) 2023/1542 a o zrušení směrnice 2009/125/ES</w:t>
      </w:r>
      <w:r>
        <w:rPr>
          <w:rFonts w:cs="Segoe UI"/>
        </w:rPr>
        <w:t xml:space="preserve"> </w:t>
      </w:r>
      <w:r w:rsidRPr="00BA1DB1">
        <w:rPr>
          <w:rFonts w:cs="Segoe UI"/>
          <w:bCs/>
          <w:shd w:val="clear" w:color="auto" w:fill="FFFFFF"/>
        </w:rPr>
        <w:t>Směrnice Evropského parlamentu a Rady 2011/65/EU ze dne 8. června 2011 o omezení používání některých nebezpečných látek v elektrických a elektronických zařízeních (přepracované znění) </w:t>
      </w:r>
    </w:p>
    <w:p w14:paraId="0A4257B8" w14:textId="77777777" w:rsidR="00FC2100" w:rsidRPr="00BA1DB1" w:rsidRDefault="00FC2100" w:rsidP="00FC2100">
      <w:pPr>
        <w:pStyle w:val="Odstavecseseznamem"/>
        <w:numPr>
          <w:ilvl w:val="0"/>
          <w:numId w:val="16"/>
        </w:numPr>
        <w:spacing w:line="240" w:lineRule="auto"/>
        <w:rPr>
          <w:rFonts w:cs="Segoe UI"/>
        </w:rPr>
      </w:pPr>
      <w:r w:rsidRPr="00BA1DB1">
        <w:rPr>
          <w:rFonts w:cs="Segoe UI"/>
        </w:rPr>
        <w:t>Směrnice Evropského parlamentu a Rady o podpoře využívání energie z obnovitelných zdrojů (přepracované znění)</w:t>
      </w:r>
    </w:p>
    <w:p w14:paraId="2E2BDF5F" w14:textId="77777777" w:rsidR="00FC2100" w:rsidRPr="00BA1DB1" w:rsidRDefault="00FC2100" w:rsidP="00FC2100">
      <w:pPr>
        <w:pStyle w:val="Odstavecseseznamem"/>
        <w:numPr>
          <w:ilvl w:val="0"/>
          <w:numId w:val="16"/>
        </w:numPr>
        <w:spacing w:line="240" w:lineRule="auto"/>
        <w:rPr>
          <w:rFonts w:cs="Segoe UI"/>
        </w:rPr>
      </w:pPr>
      <w:r w:rsidRPr="00BA1DB1">
        <w:rPr>
          <w:rFonts w:cs="Segoe UI"/>
        </w:rPr>
        <w:t xml:space="preserve">Směrnice Evropského parlamentu a Rady </w:t>
      </w:r>
      <w:r w:rsidRPr="00BA1DB1">
        <w:t>2023/1791</w:t>
      </w:r>
      <w:r w:rsidRPr="00BA1DB1">
        <w:rPr>
          <w:rFonts w:cs="Segoe UI"/>
        </w:rPr>
        <w:t>/EU o energetické účinnosti</w:t>
      </w:r>
    </w:p>
    <w:p w14:paraId="64251BD2" w14:textId="77777777" w:rsidR="00FC2100" w:rsidRPr="00BA1DB1" w:rsidRDefault="00FC2100" w:rsidP="00FC2100">
      <w:pPr>
        <w:pStyle w:val="Odstavecseseznamem"/>
        <w:numPr>
          <w:ilvl w:val="0"/>
          <w:numId w:val="16"/>
        </w:numPr>
        <w:spacing w:line="240" w:lineRule="auto"/>
        <w:rPr>
          <w:rFonts w:cs="Segoe UI"/>
        </w:rPr>
      </w:pPr>
      <w:r w:rsidRPr="00BA1DB1">
        <w:rPr>
          <w:rFonts w:cs="Segoe UI"/>
        </w:rPr>
        <w:t xml:space="preserve">Směrnice Evropského parlamentu a Rady </w:t>
      </w:r>
      <w:r w:rsidRPr="00BA1DB1">
        <w:t>2024/1275</w:t>
      </w:r>
      <w:r w:rsidRPr="00BA1DB1">
        <w:rPr>
          <w:rFonts w:cs="Segoe UI"/>
        </w:rPr>
        <w:t>/EU</w:t>
      </w:r>
      <w:r w:rsidRPr="00BA1DB1">
        <w:rPr>
          <w:rFonts w:cs="Segoe UI"/>
          <w:b/>
        </w:rPr>
        <w:t xml:space="preserve"> </w:t>
      </w:r>
      <w:r w:rsidRPr="00BA1DB1">
        <w:rPr>
          <w:rFonts w:cs="Segoe UI"/>
        </w:rPr>
        <w:t>o energetické náročnosti budov</w:t>
      </w:r>
    </w:p>
    <w:p w14:paraId="7EA93F19" w14:textId="77777777" w:rsidR="00FC2100" w:rsidRPr="00BA1DB1" w:rsidRDefault="00FC2100" w:rsidP="00FC2100">
      <w:pPr>
        <w:pStyle w:val="Odstavecseseznamem"/>
        <w:numPr>
          <w:ilvl w:val="0"/>
          <w:numId w:val="16"/>
        </w:numPr>
        <w:spacing w:line="240" w:lineRule="auto"/>
        <w:rPr>
          <w:rFonts w:cs="Segoe UI"/>
        </w:rPr>
      </w:pPr>
      <w:r w:rsidRPr="00BA1DB1">
        <w:rPr>
          <w:rFonts w:cs="Segoe UI"/>
        </w:rPr>
        <w:t>Nařízení Komise (EU) 2019/424 ze dne 15. března 2019, kterým se stanoví požadavky na ekodesign serverů a datových úložišť podle směrnice Evropského parlamentu a Rady 2009/125/ES a kterým se mění nařízení Komise (EU) č. 617/2013</w:t>
      </w:r>
    </w:p>
    <w:p w14:paraId="3DE68CEE" w14:textId="77777777" w:rsidR="00FC2100" w:rsidRPr="00BA1DB1" w:rsidRDefault="00FC2100" w:rsidP="00FC2100">
      <w:pPr>
        <w:pStyle w:val="Odstavecseseznamem"/>
        <w:numPr>
          <w:ilvl w:val="0"/>
          <w:numId w:val="16"/>
        </w:numPr>
        <w:spacing w:line="240" w:lineRule="auto"/>
        <w:rPr>
          <w:rFonts w:cs="Segoe UI"/>
        </w:rPr>
      </w:pPr>
      <w:r w:rsidRPr="00BA1DB1">
        <w:rPr>
          <w:rFonts w:cs="Segoe UI"/>
        </w:rPr>
        <w:t>Nařízení Evropského parlamentu a Rady (EU) 2024/573 ze dne 7. února 2024 o fluorovaných skleníkových plynech, o změně směrnice (EU) 2019/1937 a o zrušení nařízení (EU) č. 517/2014</w:t>
      </w:r>
    </w:p>
    <w:p w14:paraId="50B96133" w14:textId="77777777" w:rsidR="00FC2100" w:rsidRPr="00BA1DB1" w:rsidRDefault="00FC2100" w:rsidP="00FC2100">
      <w:pPr>
        <w:pStyle w:val="Odstavecseseznamem"/>
        <w:numPr>
          <w:ilvl w:val="0"/>
          <w:numId w:val="16"/>
        </w:numPr>
        <w:spacing w:line="240" w:lineRule="auto"/>
        <w:rPr>
          <w:rFonts w:cs="Segoe UI"/>
        </w:rPr>
      </w:pPr>
      <w:r w:rsidRPr="00BA1DB1">
        <w:rPr>
          <w:rFonts w:cs="Segoe UI"/>
        </w:rPr>
        <w:t>Nařízení Evropského parlamentu a Rady (EU) 2024/590 ze dne 7. února 2024 o látkách, které poškozují ozonovou vrstvu, a o zrušení nařízení (ES) č. 1005/2009</w:t>
      </w:r>
    </w:p>
    <w:p w14:paraId="72D2BA17" w14:textId="1BAAF585" w:rsidR="00FC2100" w:rsidRPr="00BA1DB1" w:rsidRDefault="00FC2100" w:rsidP="00FC2100">
      <w:pPr>
        <w:pStyle w:val="Odstavecseseznamem"/>
        <w:numPr>
          <w:ilvl w:val="0"/>
          <w:numId w:val="16"/>
        </w:numPr>
        <w:spacing w:line="276" w:lineRule="auto"/>
        <w:rPr>
          <w:rFonts w:cs="Segoe UI"/>
        </w:rPr>
      </w:pPr>
      <w:r w:rsidRPr="00BA1DB1">
        <w:rPr>
          <w:rFonts w:cs="Segoe UI"/>
        </w:rPr>
        <w:t>Zákon č. 73/2012 Sb. o látkách, které poškozují ozonovou vrstvu, a o fluorovaných skleníkových plynech, ve znění zákona č. 60/2023</w:t>
      </w:r>
      <w:r w:rsidR="009503F8">
        <w:rPr>
          <w:rFonts w:cs="Segoe UI"/>
        </w:rPr>
        <w:t xml:space="preserve"> </w:t>
      </w:r>
      <w:r w:rsidRPr="00BA1DB1">
        <w:rPr>
          <w:rFonts w:cs="Segoe UI"/>
        </w:rPr>
        <w:t>Sb., pokrývá oblasti vymezené evropskými nařízeními pro povinnou právní úpravu ze strany členských zemí při nakládání s fluorovanými skleníkovými plyny a s látkami poškozujícími ozonovou vrstvu (tzv. regulované látky).</w:t>
      </w:r>
    </w:p>
    <w:p w14:paraId="7E354DC0" w14:textId="1F06C1AD" w:rsidR="00FC2100" w:rsidRPr="003277F6" w:rsidRDefault="00E62ED5" w:rsidP="00AF460E">
      <w:pPr>
        <w:spacing w:after="160" w:line="259" w:lineRule="auto"/>
        <w:jc w:val="left"/>
        <w:rPr>
          <w:rFonts w:cs="Segoe UI"/>
          <w:b/>
          <w:bCs/>
          <w:highlight w:val="yellow"/>
          <w:u w:val="single"/>
        </w:rPr>
      </w:pPr>
      <w:r>
        <w:rPr>
          <w:rFonts w:cs="Segoe UI"/>
          <w:b/>
          <w:bCs/>
          <w:highlight w:val="yellow"/>
          <w:u w:val="single"/>
        </w:rPr>
        <w:br w:type="page"/>
      </w:r>
    </w:p>
    <w:p w14:paraId="0A37C752" w14:textId="77777777" w:rsidR="00602DCA" w:rsidRDefault="00C5530C">
      <w:pPr>
        <w:pStyle w:val="Nadpis2"/>
      </w:pPr>
      <w:bookmarkStart w:id="110" w:name="_Toc210046033"/>
      <w:r>
        <w:lastRenderedPageBreak/>
        <w:t>Přizpůsobování se změně klimatu (adaptace)</w:t>
      </w:r>
      <w:bookmarkEnd w:id="110"/>
    </w:p>
    <w:p w14:paraId="6BD3BD42" w14:textId="7148DD3E" w:rsidR="00193309" w:rsidRPr="007C734C" w:rsidRDefault="00104606" w:rsidP="00104606">
      <w:pPr>
        <w:rPr>
          <w:rFonts w:cs="Segoe UI"/>
        </w:rPr>
      </w:pPr>
      <w:r w:rsidRPr="007C734C">
        <w:rPr>
          <w:rFonts w:cs="Segoe UI"/>
        </w:rPr>
        <w:t>Smyslem DNSH je, aby činnost významně nepoš</w:t>
      </w:r>
      <w:r w:rsidR="00D3052F">
        <w:rPr>
          <w:rFonts w:cs="Segoe UI"/>
        </w:rPr>
        <w:t>kozovala</w:t>
      </w:r>
      <w:r w:rsidRPr="007C734C">
        <w:rPr>
          <w:rFonts w:cs="Segoe UI"/>
        </w:rPr>
        <w:t xml:space="preserve"> klimatický cíl adaptace, a tudíž, aby podpořené projekty nebyly vystavovány následujícím hlavním projevům změny klimatu v ČR a souvisejícím rizikům, nebo aby na rizika byly vhodně přizpůsobeny</w:t>
      </w:r>
      <w:r w:rsidR="000916D5">
        <w:rPr>
          <w:rFonts w:cs="Segoe UI"/>
        </w:rPr>
        <w:t>.</w:t>
      </w:r>
    </w:p>
    <w:p w14:paraId="26FFE5F1" w14:textId="435FD426" w:rsidR="000916D5" w:rsidRPr="007C734C" w:rsidRDefault="000916D5" w:rsidP="000916D5">
      <w:pPr>
        <w:pStyle w:val="Nadpis3"/>
      </w:pPr>
      <w:bookmarkStart w:id="111" w:name="_Toc256000016"/>
      <w:r w:rsidRPr="007C734C">
        <w:t>Posouzení souladu podpory se zásadou DNSH</w:t>
      </w:r>
      <w:r w:rsidR="003732CC">
        <w:rPr>
          <w:rStyle w:val="Znakapoznpodarou"/>
        </w:rPr>
        <w:footnoteReference w:id="50"/>
      </w:r>
    </w:p>
    <w:p w14:paraId="42251C8D" w14:textId="09FBFD38" w:rsidR="000916D5" w:rsidRDefault="008E769A" w:rsidP="000916D5">
      <w:pPr>
        <w:rPr>
          <w:rFonts w:cs="Segoe UI"/>
        </w:rPr>
      </w:pPr>
      <w:r w:rsidRPr="008E769A">
        <w:rPr>
          <w:noProof/>
        </w:rPr>
        <w:t xml:space="preserve"> </w:t>
      </w:r>
      <w:r>
        <w:rPr>
          <w:noProof/>
        </w:rPr>
        <w:drawing>
          <wp:inline distT="0" distB="0" distL="0" distR="0" wp14:anchorId="091DD6BB" wp14:editId="06EEE1B6">
            <wp:extent cx="5610225" cy="6343650"/>
            <wp:effectExtent l="0" t="0" r="9525" b="0"/>
            <wp:docPr id="352520990" name="Obrázek 1" descr="Obsah obrázku text, snímek obrazovky, diagram, Písmo&#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520990" name="Obrázek 1" descr="Obsah obrázku text, snímek obrazovky, diagram, Písmo&#10;&#10;Obsah vygenerovaný umělou inteligencí může být nesprávný."/>
                    <pic:cNvPicPr/>
                  </pic:nvPicPr>
                  <pic:blipFill>
                    <a:blip r:embed="rId75"/>
                    <a:stretch>
                      <a:fillRect/>
                    </a:stretch>
                  </pic:blipFill>
                  <pic:spPr>
                    <a:xfrm>
                      <a:off x="0" y="0"/>
                      <a:ext cx="5610225" cy="6343650"/>
                    </a:xfrm>
                    <a:prstGeom prst="rect">
                      <a:avLst/>
                    </a:prstGeom>
                  </pic:spPr>
                </pic:pic>
              </a:graphicData>
            </a:graphic>
          </wp:inline>
        </w:drawing>
      </w:r>
    </w:p>
    <w:p w14:paraId="61D4D602" w14:textId="77777777" w:rsidR="00265374" w:rsidRPr="00BF1EC6" w:rsidRDefault="00265374" w:rsidP="00265374">
      <w:pPr>
        <w:pStyle w:val="Nadpis3"/>
      </w:pPr>
      <w:r w:rsidRPr="00BF1EC6">
        <w:t>Vyloučené podpory</w:t>
      </w:r>
    </w:p>
    <w:p w14:paraId="3D22E2FE" w14:textId="0899AF75" w:rsidR="00265374" w:rsidRPr="00751A92" w:rsidRDefault="00265374" w:rsidP="00265374">
      <w:pPr>
        <w:rPr>
          <w:rFonts w:cs="Segoe UI"/>
        </w:rPr>
      </w:pPr>
      <w:r w:rsidRPr="00751A92">
        <w:rPr>
          <w:rFonts w:cs="Segoe UI"/>
        </w:rPr>
        <w:t xml:space="preserve">V první řadě je při přípravě a schvalování </w:t>
      </w:r>
      <w:r w:rsidR="00E441DD" w:rsidRPr="00E441DD">
        <w:rPr>
          <w:rFonts w:cs="Segoe UI"/>
        </w:rPr>
        <w:t>dotační</w:t>
      </w:r>
      <w:r w:rsidR="00E441DD">
        <w:rPr>
          <w:rFonts w:cs="Segoe UI"/>
        </w:rPr>
        <w:t>ho</w:t>
      </w:r>
      <w:r w:rsidR="00E441DD" w:rsidRPr="00E441DD">
        <w:rPr>
          <w:rFonts w:cs="Segoe UI"/>
        </w:rPr>
        <w:t xml:space="preserve"> program</w:t>
      </w:r>
      <w:r w:rsidR="00E441DD">
        <w:rPr>
          <w:rFonts w:cs="Segoe UI"/>
        </w:rPr>
        <w:t>u</w:t>
      </w:r>
      <w:r w:rsidRPr="00751A92">
        <w:rPr>
          <w:rFonts w:cs="Segoe UI"/>
        </w:rPr>
        <w:t xml:space="preserve"> nutné posoudit, zda zamýšlená podpora není vyloučena, ať již na základě oblasti působnosti nástroje nebo v souvislosti s DNSH. V některých případech je potřeba zásadu DNSH implementovat prostřednictvím </w:t>
      </w:r>
      <w:r w:rsidRPr="00751A92">
        <w:rPr>
          <w:rFonts w:cs="Segoe UI"/>
        </w:rPr>
        <w:lastRenderedPageBreak/>
        <w:t xml:space="preserve">věcného zaměření podpory a omezení určitých opatření. Vyloučené podpory jsou blíže popsány v části </w:t>
      </w:r>
      <w:hyperlink w:anchor="_Podmínky_DNSH_založené" w:history="1">
        <w:r w:rsidRPr="00356447">
          <w:rPr>
            <w:rStyle w:val="Hypertextovodkaz"/>
            <w:rFonts w:cs="Segoe UI"/>
          </w:rPr>
          <w:t>3.5 tohoto materiálu</w:t>
        </w:r>
      </w:hyperlink>
      <w:r w:rsidRPr="00751A92">
        <w:rPr>
          <w:rFonts w:cs="Segoe UI"/>
        </w:rPr>
        <w:t>.</w:t>
      </w:r>
    </w:p>
    <w:p w14:paraId="165C55E2" w14:textId="77777777" w:rsidR="000916D5" w:rsidRPr="007C734C" w:rsidRDefault="000916D5" w:rsidP="000916D5">
      <w:pPr>
        <w:pStyle w:val="Nadpis3"/>
      </w:pPr>
      <w:r w:rsidRPr="007C734C">
        <w:t>Sledování příspěvku opatření k ochraně klimatu a k environmentálním cílům</w:t>
      </w:r>
    </w:p>
    <w:p w14:paraId="2733C15C" w14:textId="36B44C08" w:rsidR="003B795A" w:rsidRPr="003B795A" w:rsidRDefault="000916D5" w:rsidP="003B795A">
      <w:r w:rsidRPr="007C734C">
        <w:t xml:space="preserve">Po ověření souladu s právními předpisy jednotlivých fondů v souvislosti s DNSH nebo ad-hoc podmínkami (výjimkami) je možné postoupit k ověření klimatického tagu v oblasti adaptace. Klimatické a environmentální tagy a obecně sledování příspěvku fondů k ochraně klimatu a k environmentálním cílům, stejně jako zdroje koeficientů pro jednotlivé fondy, jsou blíže popsány v části </w:t>
      </w:r>
      <w:hyperlink w:anchor="_Sledování_příspěvku_fondů" w:history="1">
        <w:r w:rsidRPr="0077290F">
          <w:rPr>
            <w:rStyle w:val="Hypertextovodkaz"/>
            <w:rFonts w:cs="Segoe UI"/>
          </w:rPr>
          <w:t>2.4 tohoto materiálu</w:t>
        </w:r>
      </w:hyperlink>
      <w:r w:rsidRPr="007C734C">
        <w:t>. V případě, že je k činnosti zamýšlené podpory přiřazen koeficient 100 % v oblasti adaptace, očekává se, že činnost významně přispěje k plnění tohoto environmentálního cíle a není nutné stanovovat dodatečné podmínky kromě těch, které jsou nutné pro plnění 100 % klimatického tagu (které je nutné přesně stanovit do úrovně projektu). V případě, že je při</w:t>
      </w:r>
      <w:r>
        <w:t>ř</w:t>
      </w:r>
      <w:r w:rsidRPr="007C734C">
        <w:t>a</w:t>
      </w:r>
      <w:r w:rsidR="00400566">
        <w:t>z</w:t>
      </w:r>
      <w:r w:rsidRPr="007C734C">
        <w:t>ený koeficient 40 % nebo 0 % je nutné postoupit s detailním posouzením DNSH a případně nastavit doplňující podmínky nebo systém hodnocení projektů / míry podpory. Toto posouzení DNSH a nastavení podmínek by mělo být prioritně provedeno již na úrovni přípravy výzvy a pravidel pro žadatele / přípravy komponenty.</w:t>
      </w:r>
    </w:p>
    <w:p w14:paraId="315C5C8C" w14:textId="137C50AA" w:rsidR="00F04B91" w:rsidRPr="00F04B91" w:rsidRDefault="00F04B91" w:rsidP="00DB1A0B">
      <w:pPr>
        <w:pStyle w:val="Nadpis3"/>
      </w:pPr>
      <w:r>
        <w:t xml:space="preserve">Způsoby posouzení a implementace </w:t>
      </w:r>
      <w:r w:rsidRPr="00F04B91">
        <w:t>DNSH adaptace = CPA</w:t>
      </w:r>
    </w:p>
    <w:p w14:paraId="3BDB2CBF" w14:textId="77777777" w:rsidR="00F04B91" w:rsidRDefault="00F04B91" w:rsidP="00F04B91">
      <w:pPr>
        <w:rPr>
          <w:rFonts w:cs="Segoe UI"/>
        </w:rPr>
      </w:pPr>
      <w:r w:rsidRPr="007C734C">
        <w:rPr>
          <w:rFonts w:cs="Segoe UI"/>
        </w:rPr>
        <w:t>V</w:t>
      </w:r>
      <w:r>
        <w:rPr>
          <w:rFonts w:cs="Segoe UI"/>
        </w:rPr>
        <w:t> </w:t>
      </w:r>
      <w:r w:rsidRPr="007C734C">
        <w:rPr>
          <w:rFonts w:cs="Segoe UI"/>
        </w:rPr>
        <w:t>případě</w:t>
      </w:r>
      <w:r>
        <w:rPr>
          <w:rFonts w:cs="Segoe UI"/>
        </w:rPr>
        <w:t xml:space="preserve"> adaptace je DNSH provedeno skrze CPA, tzn.</w:t>
      </w:r>
      <w:r w:rsidRPr="007C734C">
        <w:rPr>
          <w:rFonts w:cs="Segoe UI"/>
        </w:rPr>
        <w:t xml:space="preserve">, že na základě posouzení příspěvku opatření adaptaci bylo vyhodnoceno, že dané opatření nepředstavuje významný přínos k tomuto cíli, a zároveň výzva zahrnuje projekty splňující definici infrastruktura nad 5 let, </w:t>
      </w:r>
      <w:r>
        <w:rPr>
          <w:rFonts w:cs="Segoe UI"/>
        </w:rPr>
        <w:t>lze postupovat dle následujících postupů uvedených k CPA:</w:t>
      </w:r>
    </w:p>
    <w:p w14:paraId="62507E84" w14:textId="0AECE191" w:rsidR="00F04B91" w:rsidRDefault="00F04B91" w:rsidP="00F04B91">
      <w:pPr>
        <w:pStyle w:val="Odstavecseseznamem"/>
        <w:numPr>
          <w:ilvl w:val="0"/>
          <w:numId w:val="173"/>
        </w:numPr>
        <w:rPr>
          <w:rFonts w:cs="Segoe UI"/>
        </w:rPr>
      </w:pPr>
      <w:r w:rsidRPr="006C36A3">
        <w:rPr>
          <w:rFonts w:cs="Segoe UI"/>
          <w:b/>
          <w:bCs/>
        </w:rPr>
        <w:t xml:space="preserve">Zjednodušené posouzení CPA na úrovni </w:t>
      </w:r>
      <w:r w:rsidR="001A60BF" w:rsidRPr="006C36A3">
        <w:rPr>
          <w:rFonts w:cs="Segoe UI"/>
          <w:b/>
          <w:bCs/>
        </w:rPr>
        <w:t>výzvy</w:t>
      </w:r>
      <w:r w:rsidR="001A60BF" w:rsidRPr="00F04B91">
        <w:rPr>
          <w:rFonts w:cs="Segoe UI"/>
        </w:rPr>
        <w:t xml:space="preserve"> – CPA</w:t>
      </w:r>
      <w:r w:rsidRPr="00F04B91">
        <w:rPr>
          <w:rFonts w:cs="Segoe UI"/>
        </w:rPr>
        <w:t xml:space="preserve"> provede administrátor </w:t>
      </w:r>
      <w:r w:rsidR="00813335">
        <w:rPr>
          <w:rFonts w:cs="Segoe UI"/>
        </w:rPr>
        <w:t>zdrojů EU</w:t>
      </w:r>
      <w:r w:rsidR="00813335" w:rsidRPr="00F04B91">
        <w:rPr>
          <w:rFonts w:cs="Segoe UI"/>
        </w:rPr>
        <w:t xml:space="preserve"> </w:t>
      </w:r>
      <w:r w:rsidRPr="00F04B91">
        <w:rPr>
          <w:rFonts w:cs="Segoe UI"/>
        </w:rPr>
        <w:t xml:space="preserve">a výzva / </w:t>
      </w:r>
      <w:proofErr w:type="spellStart"/>
      <w:r w:rsidRPr="00F04B91">
        <w:rPr>
          <w:rFonts w:cs="Segoe UI"/>
        </w:rPr>
        <w:t>PrŽaP</w:t>
      </w:r>
      <w:proofErr w:type="spellEnd"/>
      <w:r w:rsidRPr="00F04B91">
        <w:rPr>
          <w:rFonts w:cs="Segoe UI"/>
        </w:rPr>
        <w:t xml:space="preserve"> stanoví povinná a / nebo doporučená adaptační opatření pro malé projekty či tam, kde lze ve vazbě na podporované typy projektů technologicky vymezit adaptační opatření</w:t>
      </w:r>
    </w:p>
    <w:p w14:paraId="451273B5" w14:textId="11E4C0EB" w:rsidR="00F04B91" w:rsidRDefault="00F04B91" w:rsidP="00F04B91">
      <w:pPr>
        <w:pStyle w:val="Odstavecseseznamem"/>
        <w:numPr>
          <w:ilvl w:val="0"/>
          <w:numId w:val="173"/>
        </w:numPr>
        <w:rPr>
          <w:rFonts w:cs="Segoe UI"/>
        </w:rPr>
      </w:pPr>
      <w:r w:rsidRPr="006C36A3">
        <w:rPr>
          <w:rFonts w:cs="Segoe UI"/>
          <w:b/>
          <w:bCs/>
        </w:rPr>
        <w:t xml:space="preserve">zjednodušené posouzení CPA na úrovni </w:t>
      </w:r>
      <w:r w:rsidR="001A60BF" w:rsidRPr="006C36A3">
        <w:rPr>
          <w:rFonts w:cs="Segoe UI"/>
          <w:b/>
          <w:bCs/>
        </w:rPr>
        <w:t>projektu</w:t>
      </w:r>
      <w:r w:rsidR="001A60BF" w:rsidRPr="00F04B91">
        <w:rPr>
          <w:rFonts w:cs="Segoe UI"/>
        </w:rPr>
        <w:t xml:space="preserve"> – CPA</w:t>
      </w:r>
      <w:r w:rsidRPr="00F04B91">
        <w:rPr>
          <w:rFonts w:cs="Segoe UI"/>
        </w:rPr>
        <w:t xml:space="preserve"> provede žadatel dle kapitoly vodítek pro zjednodušené posouzení / zpracování pokynů v</w:t>
      </w:r>
      <w:r>
        <w:rPr>
          <w:rFonts w:cs="Segoe UI"/>
        </w:rPr>
        <w:t> </w:t>
      </w:r>
      <w:proofErr w:type="spellStart"/>
      <w:r w:rsidRPr="00F04B91">
        <w:rPr>
          <w:rFonts w:cs="Segoe UI"/>
        </w:rPr>
        <w:t>PrŽaP</w:t>
      </w:r>
      <w:proofErr w:type="spellEnd"/>
    </w:p>
    <w:p w14:paraId="6FEDB3DA" w14:textId="77777777" w:rsidR="00F04B91" w:rsidRDefault="00F04B91" w:rsidP="00F04B91">
      <w:pPr>
        <w:pStyle w:val="Odstavecseseznamem"/>
        <w:numPr>
          <w:ilvl w:val="0"/>
          <w:numId w:val="173"/>
        </w:numPr>
        <w:rPr>
          <w:rFonts w:cs="Segoe UI"/>
        </w:rPr>
      </w:pPr>
      <w:r w:rsidRPr="006C36A3">
        <w:rPr>
          <w:rFonts w:cs="Segoe UI"/>
          <w:b/>
          <w:bCs/>
        </w:rPr>
        <w:t>plné posouzení CPA na úrovni projektu</w:t>
      </w:r>
      <w:r w:rsidRPr="00F04B91">
        <w:rPr>
          <w:rFonts w:cs="Segoe UI"/>
        </w:rPr>
        <w:t xml:space="preserve"> </w:t>
      </w:r>
      <w:r>
        <w:rPr>
          <w:rFonts w:cs="Segoe UI"/>
        </w:rPr>
        <w:t>–</w:t>
      </w:r>
      <w:r w:rsidRPr="00F04B91">
        <w:rPr>
          <w:rFonts w:cs="Segoe UI"/>
        </w:rPr>
        <w:t xml:space="preserve"> </w:t>
      </w:r>
      <w:r>
        <w:rPr>
          <w:rFonts w:cs="Segoe UI"/>
        </w:rPr>
        <w:t xml:space="preserve">CPA je proveden na úrovni žadatele v plném rozsahu, </w:t>
      </w:r>
      <w:r w:rsidRPr="00F04B91">
        <w:rPr>
          <w:rFonts w:cs="Segoe UI"/>
        </w:rPr>
        <w:t>v případě přijetí monitorovacích opatření odpovídá taktéž SC technických screeningových kritérií taxonomie pro adaptaci</w:t>
      </w:r>
    </w:p>
    <w:p w14:paraId="0CFC320A" w14:textId="0F4E52A1" w:rsidR="00517F48" w:rsidRDefault="00265374" w:rsidP="00517F48">
      <w:r w:rsidRPr="00FD2C82">
        <w:t>V případě projektů dopravní infrastruktury se postupuje dle Technických pokynů a u nadřazené dopravní infrastruktury je dále relevantní</w:t>
      </w:r>
      <w:r>
        <w:t xml:space="preserve"> „</w:t>
      </w:r>
      <w:hyperlink r:id="rId76" w:history="1">
        <w:proofErr w:type="gramStart"/>
        <w:r w:rsidRPr="00027E6D">
          <w:rPr>
            <w:rStyle w:val="Hypertextovodkaz"/>
          </w:rPr>
          <w:t>Rezortní</w:t>
        </w:r>
        <w:proofErr w:type="gramEnd"/>
        <w:r w:rsidRPr="00027E6D">
          <w:rPr>
            <w:rStyle w:val="Hypertextovodkaz"/>
          </w:rPr>
          <w:t xml:space="preserve"> metodika pro hodnocení ekonomické efektivnosti projektů dopravních staveb</w:t>
        </w:r>
      </w:hyperlink>
      <w:r>
        <w:t>“ (aktualizace 2023)</w:t>
      </w:r>
      <w:r w:rsidRPr="00D87BD1">
        <w:t>.</w:t>
      </w:r>
      <w:r w:rsidR="00517F48">
        <w:t xml:space="preserve"> </w:t>
      </w:r>
    </w:p>
    <w:p w14:paraId="2F93AA42" w14:textId="77777777" w:rsidR="00D82E82" w:rsidRPr="006A45B6" w:rsidRDefault="00D82E82" w:rsidP="00D82E82">
      <w:pPr>
        <w:pStyle w:val="Nadpis4"/>
      </w:pPr>
      <w:r w:rsidRPr="006A45B6">
        <w:t>Zjednodušené posouzení na úrovni výzvy</w:t>
      </w:r>
    </w:p>
    <w:p w14:paraId="4EF765E4" w14:textId="3C9624C8" w:rsidR="00D82E82" w:rsidRPr="007C734C" w:rsidRDefault="00D82E82" w:rsidP="00D82E82">
      <w:pPr>
        <w:rPr>
          <w:rFonts w:cs="Segoe UI"/>
        </w:rPr>
      </w:pPr>
      <w:r w:rsidRPr="007C734C">
        <w:rPr>
          <w:rFonts w:cs="Segoe UI"/>
        </w:rPr>
        <w:t xml:space="preserve">V případě, že specifický cíl nebo opatření cílená danou výzvou jsou dostatečně homogenní skupinou projektů, pro která jsou klimatická rizika srovnatelná, stejně tak jako vhodná </w:t>
      </w:r>
      <w:r w:rsidRPr="007C734C">
        <w:rPr>
          <w:rFonts w:cs="Segoe UI"/>
        </w:rPr>
        <w:lastRenderedPageBreak/>
        <w:t xml:space="preserve">adaptační opatření je možné postupovat zjednodušeným posouzením na úrovni výzvy. V tomto případě je však </w:t>
      </w:r>
      <w:r w:rsidR="007F68AD">
        <w:rPr>
          <w:rFonts w:cs="Segoe UI"/>
        </w:rPr>
        <w:t>administrátor zdrojů EU</w:t>
      </w:r>
      <w:r w:rsidRPr="007C734C">
        <w:rPr>
          <w:rFonts w:cs="Segoe UI"/>
        </w:rPr>
        <w:t xml:space="preserve"> povinen zpracovat dokumentaci klimatického prověření fáze 1 s argumentací, proč je zřejmé, že podpořené projekty nemohou spadat do fáze 2 na základě provedené analýzy citlivosti, expozice a zranitelnosti.</w:t>
      </w:r>
    </w:p>
    <w:p w14:paraId="040CB359" w14:textId="1D5010CA" w:rsidR="00D82E82" w:rsidRPr="007C734C" w:rsidRDefault="00D82E82" w:rsidP="00D82E82">
      <w:pPr>
        <w:rPr>
          <w:rFonts w:cs="Segoe UI"/>
        </w:rPr>
      </w:pPr>
      <w:r w:rsidRPr="007C734C">
        <w:rPr>
          <w:rFonts w:cs="Segoe UI"/>
        </w:rPr>
        <w:t xml:space="preserve">Základní posouzení rizik a opatření dle DNSH se hodnotí na úrovni SC / komponenty NPO / výzvy či jinak definovaného opatření při vyhodnocování DNSH – tzn. vyhodnocení zajišťuje preferenčně </w:t>
      </w:r>
      <w:r w:rsidR="00E441DD">
        <w:rPr>
          <w:rFonts w:cs="Segoe UI"/>
        </w:rPr>
        <w:t>administrátor zdrojů EU</w:t>
      </w:r>
      <w:r w:rsidRPr="007C734C">
        <w:rPr>
          <w:rFonts w:cs="Segoe UI"/>
        </w:rPr>
        <w:t xml:space="preserve">. Na úroveň projektu (žadatele) by poté měly být podmínky DNSH přenášeny skrze: </w:t>
      </w:r>
    </w:p>
    <w:p w14:paraId="764916CD" w14:textId="77777777" w:rsidR="00D82E82" w:rsidRPr="007C734C" w:rsidRDefault="00D82E82" w:rsidP="00D82E82">
      <w:pPr>
        <w:pStyle w:val="Odstavecseseznamem"/>
        <w:numPr>
          <w:ilvl w:val="0"/>
          <w:numId w:val="41"/>
        </w:numPr>
        <w:spacing w:line="276" w:lineRule="auto"/>
        <w:rPr>
          <w:rFonts w:cs="Segoe UI"/>
        </w:rPr>
      </w:pPr>
      <w:r w:rsidRPr="007C734C">
        <w:rPr>
          <w:rFonts w:cs="Segoe UI"/>
        </w:rPr>
        <w:t>zvýhodnění projektů zahrnujících adaptační opatření (např. v rámci věcného hodnocení projektů)</w:t>
      </w:r>
      <w:r w:rsidRPr="007C734C">
        <w:rPr>
          <w:rStyle w:val="Znakapoznpodarou"/>
          <w:rFonts w:cs="Segoe UI"/>
        </w:rPr>
        <w:footnoteReference w:id="51"/>
      </w:r>
      <w:r w:rsidRPr="007C734C">
        <w:rPr>
          <w:rFonts w:cs="Segoe UI"/>
        </w:rPr>
        <w:t xml:space="preserve"> a seznámení žadatele (např. v pravidlech pro žadatele, samostatné příručce, letáku apod.) s klimatickými riziky a vhodnými adaptačními opatřeními, která se vztahují pro daný typ projektů), </w:t>
      </w:r>
    </w:p>
    <w:p w14:paraId="6CFC9C86" w14:textId="77777777" w:rsidR="00D82E82" w:rsidRPr="007C734C" w:rsidRDefault="00D82E82" w:rsidP="00D82E82">
      <w:pPr>
        <w:pStyle w:val="Odstavecseseznamem"/>
        <w:numPr>
          <w:ilvl w:val="0"/>
          <w:numId w:val="2"/>
        </w:numPr>
        <w:spacing w:line="276" w:lineRule="auto"/>
        <w:rPr>
          <w:rFonts w:cs="Segoe UI"/>
        </w:rPr>
      </w:pPr>
      <w:r w:rsidRPr="007C734C">
        <w:rPr>
          <w:rFonts w:cs="Segoe UI"/>
        </w:rPr>
        <w:t>bonifikace projektů vycházejících z</w:t>
      </w:r>
      <w:r>
        <w:rPr>
          <w:rFonts w:cs="Segoe UI"/>
        </w:rPr>
        <w:t xml:space="preserve"> místních </w:t>
      </w:r>
      <w:r w:rsidRPr="007C734C">
        <w:rPr>
          <w:rFonts w:cs="Segoe UI"/>
        </w:rPr>
        <w:t>adaptačních strategií či akčních plánů pro udržitelnou energii a klima (SECAP)</w:t>
      </w:r>
      <w:r>
        <w:rPr>
          <w:rFonts w:cs="Segoe UI"/>
        </w:rPr>
        <w:t>,</w:t>
      </w:r>
    </w:p>
    <w:p w14:paraId="320DA9CE" w14:textId="77777777" w:rsidR="00D82E82" w:rsidRPr="007C734C" w:rsidRDefault="00D82E82" w:rsidP="00D82E82">
      <w:pPr>
        <w:pStyle w:val="Odstavecseseznamem"/>
        <w:numPr>
          <w:ilvl w:val="0"/>
          <w:numId w:val="41"/>
        </w:numPr>
        <w:spacing w:line="276" w:lineRule="auto"/>
        <w:rPr>
          <w:rFonts w:cs="Segoe UI"/>
        </w:rPr>
      </w:pPr>
      <w:r w:rsidRPr="007C734C">
        <w:rPr>
          <w:rFonts w:cs="Segoe UI"/>
        </w:rPr>
        <w:t>explicitní určení konkrétních adaptačních opatření, pokud je výzva dostatečně homogenní co do typu projektů.</w:t>
      </w:r>
      <w:r w:rsidRPr="007C734C">
        <w:rPr>
          <w:rStyle w:val="Znakapoznpodarou"/>
          <w:rFonts w:cs="Segoe UI"/>
        </w:rPr>
        <w:footnoteReference w:id="52"/>
      </w:r>
    </w:p>
    <w:p w14:paraId="513817AE" w14:textId="6DA0550F" w:rsidR="00D82E82" w:rsidRDefault="00D82E82" w:rsidP="00D82E82">
      <w:pPr>
        <w:rPr>
          <w:rFonts w:cs="Segoe UI"/>
          <w:b/>
        </w:rPr>
      </w:pPr>
      <w:r w:rsidRPr="007C734C">
        <w:rPr>
          <w:rFonts w:cs="Segoe UI"/>
        </w:rPr>
        <w:t xml:space="preserve">Při určování relevantnosti, zda je nutné stanovovat podmínky nebo systémy hodnocení z pohledu přizpůsobování se změně klimatu (adaptace) vychází </w:t>
      </w:r>
      <w:r w:rsidR="00E441DD">
        <w:rPr>
          <w:rFonts w:cs="Segoe UI"/>
        </w:rPr>
        <w:t xml:space="preserve">administrátor zdrojů EU z </w:t>
      </w:r>
      <w:hyperlink w:anchor="_Hlavní_projevy_změny" w:history="1">
        <w:r w:rsidRPr="00356447">
          <w:rPr>
            <w:rStyle w:val="Hypertextovodkaz"/>
            <w:rFonts w:cs="Segoe UI"/>
          </w:rPr>
          <w:t>klasifikace projevů změny klimatu pro příslušné sektory</w:t>
        </w:r>
      </w:hyperlink>
      <w:r>
        <w:rPr>
          <w:rFonts w:cs="Segoe UI"/>
        </w:rPr>
        <w:t xml:space="preserve">. </w:t>
      </w:r>
      <w:r w:rsidRPr="007C734C">
        <w:rPr>
          <w:rFonts w:cs="Segoe UI"/>
          <w:b/>
        </w:rPr>
        <w:t xml:space="preserve">Jejich významnost pro konkrétní výzvy posuzuje </w:t>
      </w:r>
      <w:r w:rsidR="00E441DD">
        <w:rPr>
          <w:rFonts w:cs="Segoe UI"/>
          <w:b/>
        </w:rPr>
        <w:t>administrátor</w:t>
      </w:r>
      <w:r w:rsidRPr="007C734C">
        <w:rPr>
          <w:rFonts w:cs="Segoe UI"/>
          <w:b/>
        </w:rPr>
        <w:t xml:space="preserve"> podpůrně, zejm. dle fáze 1, kde je mimo jiné rozvedena závažnost expozice projevů na území ČR.</w:t>
      </w:r>
    </w:p>
    <w:p w14:paraId="696F153B" w14:textId="3AEC2200" w:rsidR="00D82E82" w:rsidRPr="00FA0FD5" w:rsidRDefault="00D82E82" w:rsidP="00D82E82">
      <w:pPr>
        <w:rPr>
          <w:rFonts w:cs="Segoe UI"/>
        </w:rPr>
      </w:pPr>
      <w:r>
        <w:rPr>
          <w:rFonts w:cs="Segoe UI"/>
        </w:rPr>
        <w:t xml:space="preserve">Po provedení analýzy zranitelnosti a identifikaci rizik, které jsou pro danou výzvu relevantní, stanoví </w:t>
      </w:r>
      <w:r w:rsidR="00E441DD">
        <w:rPr>
          <w:rFonts w:cs="Segoe UI"/>
        </w:rPr>
        <w:t>administrátor zdrojů</w:t>
      </w:r>
      <w:r>
        <w:rPr>
          <w:rFonts w:cs="Segoe UI"/>
        </w:rPr>
        <w:t xml:space="preserve"> povinná a / nebo doporučující adaptační opatření pro malé projekty či tam, kde lze ve vazbě na podporované typy projektů technologicky vymezit adaptační opatření. V tomto smyslu je nutné zajistit, že zavedená </w:t>
      </w:r>
      <w:r w:rsidRPr="00FA0FD5">
        <w:rPr>
          <w:rFonts w:cs="Segoe UI"/>
        </w:rPr>
        <w:t>adaptační řešení:</w:t>
      </w:r>
    </w:p>
    <w:p w14:paraId="658E66CD" w14:textId="77777777" w:rsidR="00D82E82" w:rsidRPr="00FA0FD5" w:rsidRDefault="00D82E82" w:rsidP="00D82E82">
      <w:pPr>
        <w:pStyle w:val="Odstavecseseznamem"/>
        <w:numPr>
          <w:ilvl w:val="0"/>
          <w:numId w:val="88"/>
        </w:numPr>
        <w:spacing w:after="160" w:line="276" w:lineRule="auto"/>
        <w:contextualSpacing/>
        <w:rPr>
          <w:rFonts w:cs="Segoe UI"/>
        </w:rPr>
      </w:pPr>
      <w:r w:rsidRPr="00FA0FD5">
        <w:rPr>
          <w:rFonts w:cs="Segoe UI"/>
        </w:rPr>
        <w:t>nemají nepříznivý vliv na adaptační úsilí ani míru odolnosti jiných osob, přírody, kulturního dědictví, aktiv a jiných hospodářských činností vůči fyzickým rizikům souvisejícím se změnou klimatu;</w:t>
      </w:r>
    </w:p>
    <w:p w14:paraId="230AB5AB" w14:textId="77777777" w:rsidR="00D82E82" w:rsidRPr="00FA0FD5" w:rsidRDefault="00D82E82" w:rsidP="00D82E82">
      <w:pPr>
        <w:pStyle w:val="Odstavecseseznamem"/>
        <w:numPr>
          <w:ilvl w:val="0"/>
          <w:numId w:val="88"/>
        </w:numPr>
        <w:spacing w:after="160" w:line="276" w:lineRule="auto"/>
        <w:contextualSpacing/>
        <w:rPr>
          <w:rFonts w:cs="Segoe UI"/>
        </w:rPr>
      </w:pPr>
      <w:r w:rsidRPr="00FA0FD5">
        <w:rPr>
          <w:rFonts w:cs="Segoe UI"/>
        </w:rPr>
        <w:t>upřednostňují přírodě blízká řešení nebo se v nejvyšší možné míře opírají o modrou nebo zelenou infrastrukturu;</w:t>
      </w:r>
    </w:p>
    <w:p w14:paraId="6CE829E0" w14:textId="77777777" w:rsidR="00D82E82" w:rsidRPr="00FA0FD5" w:rsidRDefault="00D82E82" w:rsidP="00D82E82">
      <w:pPr>
        <w:pStyle w:val="Odstavecseseznamem"/>
        <w:numPr>
          <w:ilvl w:val="0"/>
          <w:numId w:val="88"/>
        </w:numPr>
        <w:spacing w:after="160" w:line="276" w:lineRule="auto"/>
        <w:contextualSpacing/>
        <w:rPr>
          <w:rFonts w:cs="Segoe UI"/>
        </w:rPr>
      </w:pPr>
      <w:r w:rsidRPr="00FA0FD5">
        <w:rPr>
          <w:rFonts w:cs="Segoe UI"/>
        </w:rPr>
        <w:lastRenderedPageBreak/>
        <w:t>jsou v souladu s místními, odvětvovými, regionálními nebo vnitrostátními plány a strategiemi přizpůsobení se změně klimatu;</w:t>
      </w:r>
    </w:p>
    <w:p w14:paraId="219B5E87" w14:textId="77777777" w:rsidR="00D82E82" w:rsidRPr="00FA0FD5" w:rsidRDefault="00D82E82" w:rsidP="00D82E82">
      <w:pPr>
        <w:pStyle w:val="Odstavecseseznamem"/>
        <w:numPr>
          <w:ilvl w:val="0"/>
          <w:numId w:val="88"/>
        </w:numPr>
        <w:spacing w:after="160" w:line="276" w:lineRule="auto"/>
        <w:contextualSpacing/>
        <w:rPr>
          <w:rFonts w:cs="Segoe UI"/>
        </w:rPr>
      </w:pPr>
      <w:r w:rsidRPr="00FA0FD5">
        <w:rPr>
          <w:rFonts w:cs="Segoe UI"/>
        </w:rPr>
        <w:t>jsou monitorována a měřena na základě předem definovaných ukazatelů, a nejsou-li tyto ukazatele splněny, zváží se přijetí nápravných opatření</w:t>
      </w:r>
      <w:r>
        <w:rPr>
          <w:rFonts w:cs="Segoe UI"/>
        </w:rPr>
        <w:t>.</w:t>
      </w:r>
    </w:p>
    <w:p w14:paraId="60862719" w14:textId="4DE4CCE6" w:rsidR="00D82E82" w:rsidRPr="00FA0FD5" w:rsidRDefault="00D82E82" w:rsidP="00D82E82">
      <w:pPr>
        <w:rPr>
          <w:rFonts w:cs="Segoe UI"/>
        </w:rPr>
      </w:pPr>
      <w:r>
        <w:rPr>
          <w:rFonts w:cs="Segoe UI"/>
        </w:rPr>
        <w:t>V případně výstavby nebo renovace budov jsou p</w:t>
      </w:r>
      <w:r w:rsidRPr="00AB3B25">
        <w:rPr>
          <w:rFonts w:cs="Segoe UI"/>
        </w:rPr>
        <w:t xml:space="preserve">říklady vhodných opatření pro řešení jednotlivých rizik obsaženy v </w:t>
      </w:r>
      <w:hyperlink r:id="rId77" w:history="1">
        <w:r w:rsidRPr="00AB3B25">
          <w:rPr>
            <w:rStyle w:val="Hypertextovodkaz"/>
            <w:rFonts w:cs="Segoe UI"/>
          </w:rPr>
          <w:t>Průvodci udržitelností a zásadou DNSH pro budovy</w:t>
        </w:r>
      </w:hyperlink>
      <w:r w:rsidRPr="00AB3B25">
        <w:rPr>
          <w:rFonts w:cs="Segoe UI"/>
        </w:rPr>
        <w:t xml:space="preserve"> (str.</w:t>
      </w:r>
      <w:r w:rsidR="00BA7AEB">
        <w:rPr>
          <w:rFonts w:cs="Segoe UI"/>
        </w:rPr>
        <w:t> </w:t>
      </w:r>
      <w:r w:rsidRPr="00AB3B25">
        <w:rPr>
          <w:rFonts w:cs="Segoe UI"/>
        </w:rPr>
        <w:t>22</w:t>
      </w:r>
      <w:proofErr w:type="gramStart"/>
      <w:r w:rsidRPr="00AB3B25">
        <w:rPr>
          <w:rFonts w:cs="Segoe UI"/>
        </w:rPr>
        <w:t>).Jsou</w:t>
      </w:r>
      <w:proofErr w:type="gramEnd"/>
      <w:r w:rsidRPr="00AB3B25">
        <w:rPr>
          <w:rFonts w:cs="Segoe UI"/>
        </w:rPr>
        <w:t xml:space="preserve"> jimi například modrozelená infrastruktura, zachytávání srážkových vod nebo orientace budov vůči směru převládajících větrů.</w:t>
      </w:r>
    </w:p>
    <w:p w14:paraId="5878C5EF" w14:textId="26168D0B" w:rsidR="00D82E82" w:rsidRPr="006A45B6" w:rsidRDefault="00D82E82" w:rsidP="00D82E82">
      <w:pPr>
        <w:pStyle w:val="Nadpis4"/>
      </w:pPr>
      <w:r w:rsidRPr="006A45B6">
        <w:t xml:space="preserve">Zjednodušené posouzení </w:t>
      </w:r>
      <w:r>
        <w:t>CPA</w:t>
      </w:r>
      <w:r w:rsidRPr="006A45B6">
        <w:t xml:space="preserve"> na úrovni projektu</w:t>
      </w:r>
      <w:r>
        <w:t xml:space="preserve"> </w:t>
      </w:r>
    </w:p>
    <w:p w14:paraId="2C4E391E" w14:textId="08445F4C" w:rsidR="00D82E82" w:rsidRDefault="00D82E82" w:rsidP="00D82E82">
      <w:pPr>
        <w:rPr>
          <w:rFonts w:cs="Segoe UI"/>
        </w:rPr>
      </w:pPr>
      <w:r>
        <w:rPr>
          <w:rFonts w:cs="Segoe UI"/>
        </w:rPr>
        <w:t xml:space="preserve">V případě, že není možné stanovit adaptační opatření na úrovni výzvy (např. široké spektrum možných projektů, projekty velkého rozsahu) je možné přenést hodnocení na žadatele. V takovém případě žadatel zpracuje analýzu popsanou v části </w:t>
      </w:r>
      <w:hyperlink w:anchor="_Prověřování_–_analýza" w:history="1">
        <w:r w:rsidRPr="00E441DD">
          <w:rPr>
            <w:rStyle w:val="Hypertextovodkaz"/>
            <w:rFonts w:cs="Segoe UI"/>
          </w:rPr>
          <w:t>4.2.5.</w:t>
        </w:r>
        <w:r w:rsidR="00E441DD" w:rsidRPr="00E441DD">
          <w:rPr>
            <w:rStyle w:val="Hypertextovodkaz"/>
            <w:rFonts w:cs="Segoe UI"/>
          </w:rPr>
          <w:t>2</w:t>
        </w:r>
      </w:hyperlink>
      <w:r>
        <w:rPr>
          <w:rFonts w:cs="Segoe UI"/>
        </w:rPr>
        <w:t xml:space="preserve">. </w:t>
      </w:r>
      <w:r w:rsidRPr="00A32353">
        <w:rPr>
          <w:rFonts w:cs="Segoe UI"/>
        </w:rPr>
        <w:t xml:space="preserve">Posouzení a predikce se doporučuje provádět na období roků 2030 a 2050 a doporučujeme zpracování odborníkem na danou oblast s </w:t>
      </w:r>
      <w:proofErr w:type="gramStart"/>
      <w:r w:rsidRPr="00A32353">
        <w:rPr>
          <w:rFonts w:cs="Segoe UI"/>
        </w:rPr>
        <w:t>3-5letou</w:t>
      </w:r>
      <w:proofErr w:type="gramEnd"/>
      <w:r w:rsidRPr="00A32353">
        <w:rPr>
          <w:rFonts w:cs="Segoe UI"/>
        </w:rPr>
        <w:t xml:space="preserve"> relevantní prokazatelnou praxí (krajinný ekolog, ekolog, krajinářský architekt, architekt, odborník na udržitelnost apod.)</w:t>
      </w:r>
      <w:r>
        <w:rPr>
          <w:rFonts w:cs="Segoe UI"/>
        </w:rPr>
        <w:t xml:space="preserve"> </w:t>
      </w:r>
      <w:r w:rsidRPr="00A32353">
        <w:rPr>
          <w:rFonts w:cs="Segoe UI"/>
        </w:rPr>
        <w:t>Popis opatření, která minimalizují klimatická rizika, bude povinnou součástí projektové dokumentace předkládané v rámci žádosti o podporu</w:t>
      </w:r>
      <w:r>
        <w:rPr>
          <w:rFonts w:cs="Segoe UI"/>
        </w:rPr>
        <w:t>.</w:t>
      </w:r>
    </w:p>
    <w:p w14:paraId="4FF1FED3" w14:textId="77777777" w:rsidR="00D82E82" w:rsidRPr="00104606" w:rsidRDefault="00D82E82" w:rsidP="00D82E82">
      <w:pPr>
        <w:pStyle w:val="Odstavecseseznamem"/>
        <w:numPr>
          <w:ilvl w:val="0"/>
          <w:numId w:val="3"/>
        </w:numPr>
        <w:spacing w:before="120" w:line="276" w:lineRule="auto"/>
        <w:rPr>
          <w:rFonts w:cs="Segoe UI"/>
        </w:rPr>
      </w:pPr>
      <w:r w:rsidRPr="00104606">
        <w:rPr>
          <w:rFonts w:cs="Segoe UI"/>
          <w:b/>
        </w:rPr>
        <w:t>Pokud jsou identifikována pouze klimatická nebezpečí s nízkou úrovní zranitelnosti</w:t>
      </w:r>
      <w:r w:rsidRPr="00D3052F">
        <w:rPr>
          <w:rFonts w:cs="Segoe UI"/>
        </w:rPr>
        <w:t>,</w:t>
      </w:r>
      <w:r w:rsidRPr="00D3052F">
        <w:rPr>
          <w:rFonts w:cs="Segoe UI"/>
          <w:b/>
        </w:rPr>
        <w:t xml:space="preserve"> </w:t>
      </w:r>
      <w:r w:rsidRPr="00D3052F">
        <w:rPr>
          <w:rFonts w:cs="Segoe UI"/>
        </w:rPr>
        <w:t xml:space="preserve">prověřování projektu v pilíři přizpůsobení se změně klimatu končí analýzou zranitelnosti (fází 1), </w:t>
      </w:r>
      <w:r>
        <w:rPr>
          <w:rFonts w:cs="Segoe UI"/>
        </w:rPr>
        <w:t>a je možné dokončit vyhodnocení souladu se zásadou DNSH v tomto kroku.</w:t>
      </w:r>
    </w:p>
    <w:p w14:paraId="11C9D712" w14:textId="77777777" w:rsidR="00D82E82" w:rsidRPr="00D3052F" w:rsidRDefault="00D82E82" w:rsidP="00D82E82">
      <w:pPr>
        <w:pStyle w:val="Odstavecseseznamem"/>
        <w:numPr>
          <w:ilvl w:val="0"/>
          <w:numId w:val="43"/>
        </w:numPr>
        <w:spacing w:before="120" w:line="276" w:lineRule="auto"/>
        <w:rPr>
          <w:rFonts w:cs="Segoe UI"/>
        </w:rPr>
      </w:pPr>
      <w:r w:rsidRPr="00D3052F">
        <w:rPr>
          <w:rFonts w:cs="Segoe UI"/>
          <w:b/>
        </w:rPr>
        <w:t>Pokud jsou identifikována klimatická nebezpečí s vysokou nebo střední úrovní zranitelnosti alespoň v jednom klimatickému riziku</w:t>
      </w:r>
      <w:r w:rsidRPr="00D3052F">
        <w:rPr>
          <w:rFonts w:cs="Segoe UI"/>
        </w:rPr>
        <w:t>, je nutné</w:t>
      </w:r>
      <w:r>
        <w:rPr>
          <w:rFonts w:cs="Segoe UI"/>
        </w:rPr>
        <w:t xml:space="preserve"> provést plné posouzení DNSH na úrovni projektu a</w:t>
      </w:r>
      <w:r w:rsidRPr="00104606">
        <w:rPr>
          <w:rFonts w:cs="Segoe UI"/>
        </w:rPr>
        <w:t xml:space="preserve"> zpracovat podrobnou analýzu (fáze 2) pro tato (střední a vysoká) rizika.</w:t>
      </w:r>
    </w:p>
    <w:p w14:paraId="10CB7274" w14:textId="40617E64" w:rsidR="00D82E82" w:rsidRPr="006A45B6" w:rsidRDefault="00D82E82" w:rsidP="00D82E82">
      <w:pPr>
        <w:pStyle w:val="Nadpis4"/>
      </w:pPr>
      <w:r>
        <w:t>Plné</w:t>
      </w:r>
      <w:r w:rsidRPr="006A45B6">
        <w:t xml:space="preserve"> posouzení </w:t>
      </w:r>
      <w:r>
        <w:t>CPA</w:t>
      </w:r>
      <w:r w:rsidRPr="006A45B6">
        <w:t xml:space="preserve"> na úrovni projektu</w:t>
      </w:r>
      <w:r>
        <w:t xml:space="preserve"> </w:t>
      </w:r>
    </w:p>
    <w:p w14:paraId="509B9967" w14:textId="648753B1" w:rsidR="00F04B91" w:rsidRPr="007C734C" w:rsidRDefault="00D82E82" w:rsidP="000916D5">
      <w:pPr>
        <w:rPr>
          <w:rFonts w:cs="Segoe UI"/>
        </w:rPr>
      </w:pPr>
      <w:r>
        <w:rPr>
          <w:rFonts w:cs="Segoe UI"/>
        </w:rPr>
        <w:t>Tento postup je vhodný zejm. pro velké infrastrukturní projekty a předpokládá se odborné zpracování posudku s využitím individuálních dat klimatických projekcí a provedení adaptačních opatření, případně taktéž zavedení monitorovacího plánu a přehodnocení v čase nebo v případě změny rizik.</w:t>
      </w:r>
    </w:p>
    <w:bookmarkEnd w:id="111"/>
    <w:p w14:paraId="3F52FDA9" w14:textId="3C3A14CA" w:rsidR="00104606" w:rsidRPr="007C734C" w:rsidRDefault="000916D5" w:rsidP="000916D5">
      <w:pPr>
        <w:pStyle w:val="Nadpis3"/>
      </w:pPr>
      <w:r w:rsidRPr="000916D5">
        <w:t xml:space="preserve">Prověření projektů z hlediska klimatického dopadu – </w:t>
      </w:r>
      <w:r>
        <w:t>přizpůsobování se změně klimatu</w:t>
      </w:r>
    </w:p>
    <w:p w14:paraId="602F8903" w14:textId="7A3B0016" w:rsidR="00104606" w:rsidRDefault="00757F21" w:rsidP="00104606">
      <w:pPr>
        <w:rPr>
          <w:rFonts w:cs="Segoe UI"/>
        </w:rPr>
      </w:pPr>
      <w:r w:rsidRPr="00DB1A0B">
        <w:rPr>
          <w:rFonts w:cs="Segoe UI"/>
          <w:b/>
          <w:bCs/>
        </w:rPr>
        <w:t xml:space="preserve">Infrastrukturou s životností nad pět let se zpravidla rozumí stavby a stavební konstrukce různého účelu a typu, a to včetně dočasných konstrukcí. </w:t>
      </w:r>
      <w:r w:rsidRPr="00757F21">
        <w:rPr>
          <w:rFonts w:cs="Segoe UI"/>
        </w:rPr>
        <w:t>Na většinu z uvedených typů infrastruktury lze uplatnit projektovanou dobu životnosti dle eurokódů, která je vždy delší než pět let.</w:t>
      </w:r>
      <w:r w:rsidR="00FB2A0F">
        <w:rPr>
          <w:rFonts w:cs="Segoe UI"/>
        </w:rPr>
        <w:t xml:space="preserve"> </w:t>
      </w:r>
    </w:p>
    <w:p w14:paraId="55F19813" w14:textId="571EA253" w:rsidR="00757F21" w:rsidRPr="00DB1A0B" w:rsidRDefault="00757F21" w:rsidP="00104606">
      <w:pPr>
        <w:rPr>
          <w:rFonts w:cs="Segoe UI"/>
          <w:b/>
          <w:bCs/>
        </w:rPr>
      </w:pPr>
      <w:r w:rsidRPr="00DB1A0B">
        <w:rPr>
          <w:rFonts w:cs="Segoe UI"/>
          <w:b/>
          <w:bCs/>
        </w:rPr>
        <w:t>Orientační seznam</w:t>
      </w:r>
      <w:r w:rsidR="002069EB">
        <w:rPr>
          <w:rFonts w:cs="Segoe UI"/>
          <w:b/>
          <w:bCs/>
        </w:rPr>
        <w:t xml:space="preserve"> typů projektů splňující definici</w:t>
      </w:r>
      <w:r w:rsidRPr="00DB1A0B">
        <w:rPr>
          <w:rFonts w:cs="Segoe UI"/>
          <w:b/>
          <w:bCs/>
        </w:rPr>
        <w:t xml:space="preserve"> infrastruktury</w:t>
      </w:r>
    </w:p>
    <w:p w14:paraId="15C73101" w14:textId="3E33589D" w:rsidR="00757F21" w:rsidRDefault="00757F21" w:rsidP="00757F21">
      <w:r>
        <w:lastRenderedPageBreak/>
        <w:t>Níže je uveden orientační seznam infrastruktur</w:t>
      </w:r>
      <w:r w:rsidR="002069EB">
        <w:t>ních projektů</w:t>
      </w:r>
      <w:r>
        <w:t>. Jednotlivé kategorie se mohou v některých případech překrývat – např. třídírna odpadů je zároveň i budovou, nicméně pro přehlednost a vyjasnění jsou uvedeny některé kategorie infrastruktury samostatně.</w:t>
      </w:r>
    </w:p>
    <w:p w14:paraId="15AFAFC2" w14:textId="2FF99E56" w:rsidR="00757F21" w:rsidRDefault="002069EB" w:rsidP="00757F21">
      <w:r>
        <w:t>Relevantní jsou projekty v oblasti</w:t>
      </w:r>
      <w:r w:rsidR="00757F21">
        <w:t xml:space="preserve"> </w:t>
      </w:r>
      <w:r w:rsidR="00757F21">
        <w:rPr>
          <w:rStyle w:val="Zdraznn"/>
        </w:rPr>
        <w:t>budování nové</w:t>
      </w:r>
      <w:r w:rsidR="00757F21">
        <w:t xml:space="preserve"> infrastruktury ale i její </w:t>
      </w:r>
      <w:r w:rsidR="00757F21">
        <w:rPr>
          <w:rStyle w:val="Zdraznn"/>
        </w:rPr>
        <w:t>rozšiřování, modernizace a úpravy</w:t>
      </w:r>
      <w:r w:rsidR="00757F21">
        <w:t>. Smyslem je, aby veřejná podpora nesměřovala ani do stávající infrastruktury bez toho, že bude přizpůsobená klimatu.</w:t>
      </w:r>
    </w:p>
    <w:p w14:paraId="0FF66864" w14:textId="7F32F2F8" w:rsidR="00757F21" w:rsidRDefault="00757F21" w:rsidP="00DB1A0B">
      <w:pPr>
        <w:keepNext/>
        <w:rPr>
          <w:u w:val="single"/>
        </w:rPr>
      </w:pPr>
      <w:r>
        <w:rPr>
          <w:u w:val="single"/>
        </w:rPr>
        <w:t>Orientační seznam infrastruktur</w:t>
      </w:r>
      <w:r w:rsidR="002069EB">
        <w:rPr>
          <w:u w:val="single"/>
        </w:rPr>
        <w:t>ních projektů</w:t>
      </w:r>
      <w:r>
        <w:rPr>
          <w:u w:val="single"/>
        </w:rPr>
        <w:t>:</w:t>
      </w:r>
    </w:p>
    <w:p w14:paraId="7B0F7FAB" w14:textId="77777777" w:rsidR="00757F21" w:rsidRDefault="00757F21" w:rsidP="00DB1A0B">
      <w:pPr>
        <w:pStyle w:val="Odstavecseseznamem"/>
        <w:keepNext/>
        <w:numPr>
          <w:ilvl w:val="0"/>
          <w:numId w:val="37"/>
        </w:numPr>
        <w:spacing w:before="120" w:after="0"/>
        <w:ind w:left="714" w:hanging="357"/>
      </w:pPr>
      <w:r>
        <w:rPr>
          <w:b/>
        </w:rPr>
        <w:t>Dopravní infrastruktura</w:t>
      </w:r>
    </w:p>
    <w:p w14:paraId="1CA1BDEE" w14:textId="77777777" w:rsidR="00757F21" w:rsidRDefault="00757F21" w:rsidP="00757F21">
      <w:pPr>
        <w:pStyle w:val="Odstavecseseznamem"/>
        <w:numPr>
          <w:ilvl w:val="1"/>
          <w:numId w:val="37"/>
        </w:numPr>
        <w:spacing w:after="160" w:line="259" w:lineRule="auto"/>
        <w:contextualSpacing/>
      </w:pPr>
      <w:r>
        <w:t>silnice a dálnice</w:t>
      </w:r>
    </w:p>
    <w:p w14:paraId="04002237" w14:textId="77777777" w:rsidR="00757F21" w:rsidRDefault="00757F21" w:rsidP="00757F21">
      <w:pPr>
        <w:pStyle w:val="Odstavecseseznamem"/>
        <w:numPr>
          <w:ilvl w:val="1"/>
          <w:numId w:val="37"/>
        </w:numPr>
        <w:spacing w:after="160" w:line="259" w:lineRule="auto"/>
        <w:contextualSpacing/>
      </w:pPr>
      <w:r>
        <w:t>železnice</w:t>
      </w:r>
    </w:p>
    <w:p w14:paraId="142D47CA" w14:textId="77777777" w:rsidR="00757F21" w:rsidRDefault="00757F21" w:rsidP="00757F21">
      <w:pPr>
        <w:pStyle w:val="Odstavecseseznamem"/>
        <w:numPr>
          <w:ilvl w:val="1"/>
          <w:numId w:val="37"/>
        </w:numPr>
        <w:spacing w:after="160" w:line="259" w:lineRule="auto"/>
        <w:contextualSpacing/>
      </w:pPr>
      <w:r>
        <w:t>mosty a tunely</w:t>
      </w:r>
    </w:p>
    <w:p w14:paraId="2827BF84" w14:textId="77777777" w:rsidR="00757F21" w:rsidRDefault="00757F21" w:rsidP="00757F21">
      <w:pPr>
        <w:pStyle w:val="Odstavecseseznamem"/>
        <w:numPr>
          <w:ilvl w:val="1"/>
          <w:numId w:val="37"/>
        </w:numPr>
        <w:spacing w:after="160" w:line="259" w:lineRule="auto"/>
        <w:contextualSpacing/>
      </w:pPr>
      <w:r>
        <w:t>přístavy, plavební komory, jezy a další související stavby</w:t>
      </w:r>
    </w:p>
    <w:p w14:paraId="17EAE819" w14:textId="77777777" w:rsidR="00757F21" w:rsidRDefault="00757F21" w:rsidP="00757F21">
      <w:pPr>
        <w:pStyle w:val="Odstavecseseznamem"/>
        <w:numPr>
          <w:ilvl w:val="1"/>
          <w:numId w:val="37"/>
        </w:numPr>
        <w:spacing w:after="160" w:line="259" w:lineRule="auto"/>
        <w:contextualSpacing/>
      </w:pPr>
      <w:r>
        <w:t>letiště</w:t>
      </w:r>
    </w:p>
    <w:p w14:paraId="29D6C2F4" w14:textId="77777777" w:rsidR="00757F21" w:rsidRDefault="00757F21" w:rsidP="00757F21">
      <w:pPr>
        <w:pStyle w:val="Odstavecseseznamem"/>
        <w:numPr>
          <w:ilvl w:val="1"/>
          <w:numId w:val="37"/>
        </w:numPr>
        <w:spacing w:after="160" w:line="259" w:lineRule="auto"/>
        <w:contextualSpacing/>
      </w:pPr>
      <w:r>
        <w:t>cyklostezky a stezky pro pěší</w:t>
      </w:r>
    </w:p>
    <w:p w14:paraId="2F01C323" w14:textId="77777777" w:rsidR="00757F21" w:rsidRDefault="00757F21" w:rsidP="00757F21">
      <w:pPr>
        <w:pStyle w:val="Odstavecseseznamem"/>
        <w:numPr>
          <w:ilvl w:val="1"/>
          <w:numId w:val="37"/>
        </w:numPr>
        <w:spacing w:after="160" w:line="259" w:lineRule="auto"/>
        <w:contextualSpacing/>
      </w:pPr>
      <w:r>
        <w:t>parkoviště a parkovací domy</w:t>
      </w:r>
    </w:p>
    <w:p w14:paraId="71A7EDE7" w14:textId="77777777" w:rsidR="00757F21" w:rsidRDefault="00757F21" w:rsidP="00757F21">
      <w:pPr>
        <w:pStyle w:val="Odstavecseseznamem"/>
        <w:numPr>
          <w:ilvl w:val="1"/>
          <w:numId w:val="37"/>
        </w:numPr>
        <w:spacing w:after="160" w:line="259" w:lineRule="auto"/>
        <w:contextualSpacing/>
      </w:pPr>
      <w:r>
        <w:t>dobíjecí a plnící stanice</w:t>
      </w:r>
    </w:p>
    <w:p w14:paraId="525EAF1A" w14:textId="77777777" w:rsidR="00757F21" w:rsidRDefault="00757F21" w:rsidP="00757F21">
      <w:pPr>
        <w:pStyle w:val="Odstavecseseznamem"/>
        <w:numPr>
          <w:ilvl w:val="1"/>
          <w:numId w:val="37"/>
        </w:numPr>
        <w:spacing w:after="160" w:line="259" w:lineRule="auto"/>
        <w:contextualSpacing/>
      </w:pPr>
      <w:r>
        <w:t>vozidla veřejné dopravy (kolejová vozidla, autobusy)</w:t>
      </w:r>
    </w:p>
    <w:p w14:paraId="15705FC6" w14:textId="77777777" w:rsidR="00757F21" w:rsidRDefault="00757F21" w:rsidP="00757F21">
      <w:pPr>
        <w:pStyle w:val="Odstavecseseznamem"/>
        <w:numPr>
          <w:ilvl w:val="1"/>
          <w:numId w:val="37"/>
        </w:numPr>
        <w:spacing w:after="160" w:line="259" w:lineRule="auto"/>
        <w:contextualSpacing/>
      </w:pPr>
      <w:r>
        <w:t>pořizování lodí</w:t>
      </w:r>
    </w:p>
    <w:p w14:paraId="1316F4EA" w14:textId="77777777" w:rsidR="00757F21" w:rsidRDefault="00757F21" w:rsidP="00757F21">
      <w:pPr>
        <w:pStyle w:val="Odstavecseseznamem"/>
        <w:keepNext/>
        <w:numPr>
          <w:ilvl w:val="0"/>
          <w:numId w:val="37"/>
        </w:numPr>
        <w:spacing w:before="120" w:after="0"/>
        <w:ind w:left="714" w:hanging="357"/>
        <w:rPr>
          <w:b/>
        </w:rPr>
      </w:pPr>
      <w:r>
        <w:rPr>
          <w:b/>
        </w:rPr>
        <w:t>Energetická infrastruktura</w:t>
      </w:r>
    </w:p>
    <w:p w14:paraId="72BE8182" w14:textId="77777777" w:rsidR="00757F21" w:rsidRDefault="00757F21" w:rsidP="00757F21">
      <w:pPr>
        <w:pStyle w:val="Odstavecseseznamem"/>
        <w:numPr>
          <w:ilvl w:val="1"/>
          <w:numId w:val="37"/>
        </w:numPr>
        <w:spacing w:after="160" w:line="259" w:lineRule="auto"/>
        <w:contextualSpacing/>
      </w:pPr>
      <w:r>
        <w:t>zdroje energie (FVE, vodní elektrárny, větrné elektrárny, tepelná čerpadla, bioplynové stanice apod.)</w:t>
      </w:r>
    </w:p>
    <w:p w14:paraId="117B4387" w14:textId="77777777" w:rsidR="00757F21" w:rsidRDefault="00757F21" w:rsidP="00757F21">
      <w:pPr>
        <w:pStyle w:val="Odstavecseseznamem"/>
        <w:numPr>
          <w:ilvl w:val="1"/>
          <w:numId w:val="37"/>
        </w:numPr>
        <w:spacing w:after="160" w:line="259" w:lineRule="auto"/>
        <w:contextualSpacing/>
      </w:pPr>
      <w:r>
        <w:t>distribuční a přenosové sítě (elektřiny, plynu, tepla)</w:t>
      </w:r>
    </w:p>
    <w:p w14:paraId="40DA49B7" w14:textId="77777777" w:rsidR="00757F21" w:rsidRDefault="00757F21" w:rsidP="00757F21">
      <w:pPr>
        <w:pStyle w:val="Odstavecseseznamem"/>
        <w:numPr>
          <w:ilvl w:val="1"/>
          <w:numId w:val="37"/>
        </w:numPr>
        <w:spacing w:after="160" w:line="259" w:lineRule="auto"/>
        <w:contextualSpacing/>
      </w:pPr>
      <w:r>
        <w:t>zařízení pro skladování energie (zásobníky, baterie apod.)</w:t>
      </w:r>
    </w:p>
    <w:p w14:paraId="114AC9C0" w14:textId="77777777" w:rsidR="00757F21" w:rsidRDefault="00757F21" w:rsidP="00757F21">
      <w:pPr>
        <w:pStyle w:val="Odstavecseseznamem"/>
        <w:numPr>
          <w:ilvl w:val="0"/>
          <w:numId w:val="37"/>
        </w:numPr>
        <w:spacing w:before="120" w:after="0"/>
        <w:ind w:left="714" w:hanging="357"/>
        <w:rPr>
          <w:b/>
        </w:rPr>
      </w:pPr>
      <w:r>
        <w:rPr>
          <w:b/>
        </w:rPr>
        <w:t>Vodohospodářská infrastruktura</w:t>
      </w:r>
    </w:p>
    <w:p w14:paraId="7D2A7D2C" w14:textId="77777777" w:rsidR="00757F21" w:rsidRDefault="00757F21" w:rsidP="00757F21">
      <w:pPr>
        <w:pStyle w:val="Odstavecseseznamem"/>
        <w:numPr>
          <w:ilvl w:val="1"/>
          <w:numId w:val="37"/>
        </w:numPr>
        <w:spacing w:after="160" w:line="259" w:lineRule="auto"/>
        <w:contextualSpacing/>
      </w:pPr>
      <w:r>
        <w:t>vodovody, zdroje pitné vody, úpravny vody</w:t>
      </w:r>
    </w:p>
    <w:p w14:paraId="62110A8D" w14:textId="77777777" w:rsidR="00757F21" w:rsidRDefault="00757F21" w:rsidP="00757F21">
      <w:pPr>
        <w:pStyle w:val="Odstavecseseznamem"/>
        <w:numPr>
          <w:ilvl w:val="1"/>
          <w:numId w:val="37"/>
        </w:numPr>
        <w:spacing w:after="160" w:line="259" w:lineRule="auto"/>
        <w:contextualSpacing/>
      </w:pPr>
      <w:r>
        <w:t>vodojemy a nádrže na pitnou vodu</w:t>
      </w:r>
    </w:p>
    <w:p w14:paraId="42CEAFF2" w14:textId="77777777" w:rsidR="00757F21" w:rsidRDefault="00757F21" w:rsidP="00757F21">
      <w:pPr>
        <w:pStyle w:val="Odstavecseseznamem"/>
        <w:numPr>
          <w:ilvl w:val="1"/>
          <w:numId w:val="37"/>
        </w:numPr>
        <w:spacing w:after="160" w:line="259" w:lineRule="auto"/>
        <w:contextualSpacing/>
      </w:pPr>
      <w:r>
        <w:t>kanalizace, čistírny odpadních vod a další obdobné stavby</w:t>
      </w:r>
    </w:p>
    <w:p w14:paraId="0E409FE6" w14:textId="77777777" w:rsidR="00757F21" w:rsidRDefault="00757F21" w:rsidP="00757F21">
      <w:pPr>
        <w:pStyle w:val="Odstavecseseznamem"/>
        <w:numPr>
          <w:ilvl w:val="1"/>
          <w:numId w:val="37"/>
        </w:numPr>
        <w:spacing w:after="160" w:line="259" w:lineRule="auto"/>
        <w:contextualSpacing/>
      </w:pPr>
      <w:r>
        <w:t>rybníky a vodní nádrže</w:t>
      </w:r>
    </w:p>
    <w:p w14:paraId="6042EAE2" w14:textId="77777777" w:rsidR="00757F21" w:rsidRDefault="00757F21" w:rsidP="00757F21">
      <w:pPr>
        <w:pStyle w:val="Odstavecseseznamem"/>
        <w:numPr>
          <w:ilvl w:val="1"/>
          <w:numId w:val="37"/>
        </w:numPr>
        <w:spacing w:after="160" w:line="259" w:lineRule="auto"/>
        <w:contextualSpacing/>
      </w:pPr>
      <w:r>
        <w:t xml:space="preserve">protipovodňové stavby (hráze, poldry, </w:t>
      </w:r>
      <w:proofErr w:type="gramStart"/>
      <w:r>
        <w:t>nádrže,</w:t>
      </w:r>
      <w:proofErr w:type="gramEnd"/>
      <w:r>
        <w:t xml:space="preserve"> apod.)</w:t>
      </w:r>
    </w:p>
    <w:p w14:paraId="0239C004" w14:textId="77777777" w:rsidR="00757F21" w:rsidRDefault="00757F21" w:rsidP="00757F21">
      <w:pPr>
        <w:pStyle w:val="Odstavecseseznamem"/>
        <w:keepNext/>
        <w:numPr>
          <w:ilvl w:val="0"/>
          <w:numId w:val="37"/>
        </w:numPr>
        <w:spacing w:before="120" w:after="0"/>
        <w:ind w:left="714" w:hanging="357"/>
      </w:pPr>
      <w:r>
        <w:rPr>
          <w:b/>
        </w:rPr>
        <w:t>Infrastruktura pro nakládání s odpady</w:t>
      </w:r>
    </w:p>
    <w:p w14:paraId="7C87F9BE" w14:textId="77777777" w:rsidR="00757F21" w:rsidRDefault="00757F21" w:rsidP="00757F21">
      <w:pPr>
        <w:pStyle w:val="Odstavecseseznamem"/>
        <w:numPr>
          <w:ilvl w:val="1"/>
          <w:numId w:val="37"/>
        </w:numPr>
        <w:spacing w:after="160" w:line="259" w:lineRule="auto"/>
        <w:contextualSpacing/>
      </w:pPr>
      <w:r>
        <w:t>sběrné dvory</w:t>
      </w:r>
    </w:p>
    <w:p w14:paraId="0784F93F" w14:textId="77777777" w:rsidR="00757F21" w:rsidRDefault="00757F21" w:rsidP="00757F21">
      <w:pPr>
        <w:pStyle w:val="Odstavecseseznamem"/>
        <w:numPr>
          <w:ilvl w:val="1"/>
          <w:numId w:val="37"/>
        </w:numPr>
        <w:spacing w:after="160" w:line="259" w:lineRule="auto"/>
        <w:contextualSpacing/>
      </w:pPr>
      <w:r>
        <w:t>třídící a recyklační zařízení</w:t>
      </w:r>
    </w:p>
    <w:p w14:paraId="135A9CD0" w14:textId="77777777" w:rsidR="00757F21" w:rsidRDefault="00757F21" w:rsidP="00757F21">
      <w:pPr>
        <w:pStyle w:val="Odstavecseseznamem"/>
        <w:numPr>
          <w:ilvl w:val="1"/>
          <w:numId w:val="37"/>
        </w:numPr>
        <w:spacing w:after="160" w:line="259" w:lineRule="auto"/>
        <w:contextualSpacing/>
      </w:pPr>
      <w:r>
        <w:t>zařízení pro energetické využití odpadů</w:t>
      </w:r>
    </w:p>
    <w:p w14:paraId="163E9083" w14:textId="77777777" w:rsidR="00757F21" w:rsidRDefault="00757F21" w:rsidP="00757F21">
      <w:pPr>
        <w:pStyle w:val="Odstavecseseznamem"/>
        <w:numPr>
          <w:ilvl w:val="0"/>
          <w:numId w:val="37"/>
        </w:numPr>
        <w:spacing w:before="120" w:after="0"/>
        <w:ind w:left="714" w:hanging="357"/>
        <w:rPr>
          <w:b/>
        </w:rPr>
      </w:pPr>
      <w:r>
        <w:rPr>
          <w:b/>
        </w:rPr>
        <w:t>Telekomunikační infrastruktura</w:t>
      </w:r>
    </w:p>
    <w:p w14:paraId="793AA6DC" w14:textId="77777777" w:rsidR="00757F21" w:rsidRDefault="00757F21" w:rsidP="00757F21">
      <w:pPr>
        <w:pStyle w:val="Odstavecseseznamem"/>
        <w:numPr>
          <w:ilvl w:val="1"/>
          <w:numId w:val="37"/>
        </w:numPr>
        <w:spacing w:after="160" w:line="259" w:lineRule="auto"/>
        <w:contextualSpacing/>
      </w:pPr>
      <w:r>
        <w:t>sítě vysokorychlostního internetu</w:t>
      </w:r>
    </w:p>
    <w:p w14:paraId="5A204BBE" w14:textId="77777777" w:rsidR="00757F21" w:rsidRDefault="00757F21" w:rsidP="00757F21">
      <w:pPr>
        <w:pStyle w:val="Odstavecseseznamem"/>
        <w:numPr>
          <w:ilvl w:val="1"/>
          <w:numId w:val="37"/>
        </w:numPr>
        <w:spacing w:after="160" w:line="259" w:lineRule="auto"/>
        <w:contextualSpacing/>
      </w:pPr>
      <w:r>
        <w:t>mobilní telefonní sítě</w:t>
      </w:r>
    </w:p>
    <w:p w14:paraId="2406A1C0" w14:textId="77777777" w:rsidR="00757F21" w:rsidRDefault="00757F21" w:rsidP="00757F21">
      <w:pPr>
        <w:pStyle w:val="Odstavecseseznamem"/>
        <w:numPr>
          <w:ilvl w:val="1"/>
          <w:numId w:val="37"/>
        </w:numPr>
        <w:spacing w:after="160" w:line="259" w:lineRule="auto"/>
        <w:contextualSpacing/>
      </w:pPr>
      <w:r>
        <w:t>datová centra</w:t>
      </w:r>
    </w:p>
    <w:p w14:paraId="2D78018B" w14:textId="77777777" w:rsidR="00757F21" w:rsidRDefault="00757F21" w:rsidP="00757F21">
      <w:pPr>
        <w:pStyle w:val="Odstavecseseznamem"/>
        <w:keepNext/>
        <w:numPr>
          <w:ilvl w:val="0"/>
          <w:numId w:val="37"/>
        </w:numPr>
        <w:spacing w:before="120" w:after="0"/>
        <w:ind w:left="714" w:hanging="357"/>
        <w:rPr>
          <w:b/>
        </w:rPr>
      </w:pPr>
      <w:r>
        <w:rPr>
          <w:b/>
        </w:rPr>
        <w:t>Zemědělská infrastruktura</w:t>
      </w:r>
    </w:p>
    <w:p w14:paraId="6FDFED36" w14:textId="77777777" w:rsidR="00757F21" w:rsidRDefault="00757F21" w:rsidP="00757F21">
      <w:pPr>
        <w:pStyle w:val="Odstavecseseznamem"/>
        <w:numPr>
          <w:ilvl w:val="1"/>
          <w:numId w:val="37"/>
        </w:numPr>
        <w:spacing w:after="160" w:line="259" w:lineRule="auto"/>
        <w:contextualSpacing/>
      </w:pPr>
      <w:r>
        <w:t>zavlažovací nebo odvodňovací systémy</w:t>
      </w:r>
    </w:p>
    <w:p w14:paraId="7C9C27E6" w14:textId="77777777" w:rsidR="00757F21" w:rsidRDefault="00757F21" w:rsidP="00757F21">
      <w:pPr>
        <w:pStyle w:val="Odstavecseseznamem"/>
        <w:numPr>
          <w:ilvl w:val="1"/>
          <w:numId w:val="37"/>
        </w:numPr>
        <w:spacing w:after="160" w:line="259" w:lineRule="auto"/>
        <w:contextualSpacing/>
      </w:pPr>
      <w:r>
        <w:t>skleníky a jiné obdobné konstrukce</w:t>
      </w:r>
    </w:p>
    <w:p w14:paraId="0DB3A95B" w14:textId="77777777" w:rsidR="00757F21" w:rsidRDefault="00757F21" w:rsidP="00757F21">
      <w:pPr>
        <w:pStyle w:val="Odstavecseseznamem"/>
        <w:numPr>
          <w:ilvl w:val="0"/>
          <w:numId w:val="37"/>
        </w:numPr>
        <w:spacing w:before="120" w:after="0"/>
        <w:ind w:left="714" w:hanging="357"/>
        <w:rPr>
          <w:b/>
        </w:rPr>
      </w:pPr>
      <w:r>
        <w:rPr>
          <w:b/>
        </w:rPr>
        <w:t>Veřejná prostranství a zelená infrastruktura</w:t>
      </w:r>
    </w:p>
    <w:p w14:paraId="4074B2D8" w14:textId="77777777" w:rsidR="00757F21" w:rsidRDefault="00757F21" w:rsidP="00757F21">
      <w:pPr>
        <w:pStyle w:val="Odstavecseseznamem"/>
        <w:numPr>
          <w:ilvl w:val="1"/>
          <w:numId w:val="37"/>
        </w:numPr>
        <w:spacing w:after="160" w:line="259" w:lineRule="auto"/>
        <w:contextualSpacing/>
      </w:pPr>
      <w:r>
        <w:lastRenderedPageBreak/>
        <w:t>náměstí a obdobné prostory</w:t>
      </w:r>
    </w:p>
    <w:p w14:paraId="57FDD771" w14:textId="77777777" w:rsidR="00757F21" w:rsidRDefault="00757F21" w:rsidP="00757F21">
      <w:pPr>
        <w:pStyle w:val="Odstavecseseznamem"/>
        <w:numPr>
          <w:ilvl w:val="1"/>
          <w:numId w:val="37"/>
        </w:numPr>
        <w:spacing w:after="160" w:line="259" w:lineRule="auto"/>
        <w:contextualSpacing/>
      </w:pPr>
      <w:r>
        <w:t>uliční prostory</w:t>
      </w:r>
    </w:p>
    <w:p w14:paraId="403EF520" w14:textId="77777777" w:rsidR="00757F21" w:rsidRDefault="00757F21" w:rsidP="00757F21">
      <w:pPr>
        <w:pStyle w:val="Odstavecseseznamem"/>
        <w:numPr>
          <w:ilvl w:val="1"/>
          <w:numId w:val="37"/>
        </w:numPr>
        <w:spacing w:after="160" w:line="259" w:lineRule="auto"/>
        <w:contextualSpacing/>
      </w:pPr>
      <w:r>
        <w:t>modrozelená infrastruktura (parky, nábřeží, vodní a vegetační prvky, systémy pro hospodaření s dešťovou vodou apod.)</w:t>
      </w:r>
    </w:p>
    <w:p w14:paraId="4A4E95C1" w14:textId="77777777" w:rsidR="00757F21" w:rsidRDefault="00757F21" w:rsidP="00757F21">
      <w:pPr>
        <w:pStyle w:val="Odstavecseseznamem"/>
        <w:numPr>
          <w:ilvl w:val="1"/>
          <w:numId w:val="37"/>
        </w:numPr>
        <w:spacing w:after="160" w:line="259" w:lineRule="auto"/>
        <w:contextualSpacing/>
      </w:pPr>
      <w:r>
        <w:t>přírodě blízká opatření zaměřená na přizpůsobování se změně klimatu (adaptace) (revitalizace vodních toků, vodní nádrže apod.)</w:t>
      </w:r>
    </w:p>
    <w:p w14:paraId="43D3F1BE" w14:textId="77777777" w:rsidR="00757F21" w:rsidRDefault="00757F21" w:rsidP="00757F21">
      <w:pPr>
        <w:pStyle w:val="Odstavecseseznamem"/>
        <w:numPr>
          <w:ilvl w:val="0"/>
          <w:numId w:val="37"/>
        </w:numPr>
        <w:spacing w:before="120" w:after="0"/>
        <w:ind w:left="714" w:hanging="357"/>
        <w:rPr>
          <w:b/>
        </w:rPr>
      </w:pPr>
      <w:r>
        <w:rPr>
          <w:b/>
        </w:rPr>
        <w:t>Budovy</w:t>
      </w:r>
    </w:p>
    <w:p w14:paraId="34EDDDB1" w14:textId="77777777" w:rsidR="00757F21" w:rsidRDefault="00757F21" w:rsidP="00757F21">
      <w:pPr>
        <w:pStyle w:val="Odstavecseseznamem"/>
        <w:numPr>
          <w:ilvl w:val="1"/>
          <w:numId w:val="37"/>
        </w:numPr>
        <w:spacing w:after="160" w:line="259" w:lineRule="auto"/>
        <w:contextualSpacing/>
      </w:pPr>
      <w:r>
        <w:t>obytné budovy</w:t>
      </w:r>
    </w:p>
    <w:p w14:paraId="245E96B6" w14:textId="77777777" w:rsidR="00757F21" w:rsidRDefault="00757F21" w:rsidP="00757F21">
      <w:pPr>
        <w:pStyle w:val="Odstavecseseznamem"/>
        <w:numPr>
          <w:ilvl w:val="1"/>
          <w:numId w:val="37"/>
        </w:numPr>
        <w:spacing w:after="160" w:line="259" w:lineRule="auto"/>
        <w:contextualSpacing/>
      </w:pPr>
      <w:r>
        <w:t>budovy veřejného sektoru (např. školy, nemocnice, sociální služby, administrativní budovy)</w:t>
      </w:r>
    </w:p>
    <w:p w14:paraId="5BC87B90" w14:textId="77777777" w:rsidR="00757F21" w:rsidRDefault="00757F21" w:rsidP="00757F21">
      <w:pPr>
        <w:pStyle w:val="Odstavecseseznamem"/>
        <w:numPr>
          <w:ilvl w:val="1"/>
          <w:numId w:val="37"/>
        </w:numPr>
        <w:spacing w:after="160" w:line="259" w:lineRule="auto"/>
        <w:contextualSpacing/>
      </w:pPr>
      <w:r>
        <w:t>komerční budovy (např. výrobní haly, sklady, administrativní budovy)</w:t>
      </w:r>
    </w:p>
    <w:p w14:paraId="35392D0A" w14:textId="77777777" w:rsidR="00757F21" w:rsidRDefault="00757F21" w:rsidP="00757F21">
      <w:pPr>
        <w:pStyle w:val="Odstavecseseznamem"/>
        <w:numPr>
          <w:ilvl w:val="1"/>
          <w:numId w:val="37"/>
        </w:numPr>
        <w:spacing w:after="160" w:line="259" w:lineRule="auto"/>
        <w:contextualSpacing/>
      </w:pPr>
      <w:r>
        <w:t>systémy a konstrukce, které se stávají nedílnou součástí stavby (např. zelené střechy, rozvody, datové sítě uvnitř budov apod.)</w:t>
      </w:r>
    </w:p>
    <w:p w14:paraId="6EB872C1" w14:textId="22DDB999" w:rsidR="00757F21" w:rsidRPr="00DB1A0B" w:rsidRDefault="00757F21" w:rsidP="00104606">
      <w:pPr>
        <w:rPr>
          <w:rFonts w:cs="Segoe UI"/>
          <w:b/>
          <w:bCs/>
        </w:rPr>
      </w:pPr>
      <w:r w:rsidRPr="00DB1A0B">
        <w:rPr>
          <w:rFonts w:cs="Segoe UI"/>
          <w:b/>
          <w:bCs/>
        </w:rPr>
        <w:t xml:space="preserve">Orientační seznam infrastruktury, </w:t>
      </w:r>
      <w:r w:rsidR="002069EB" w:rsidRPr="00DB1A0B">
        <w:rPr>
          <w:b/>
          <w:bCs/>
        </w:rPr>
        <w:t>která se pro účely těchto vodítek obecně</w:t>
      </w:r>
      <w:r w:rsidR="002069EB">
        <w:t xml:space="preserve"> </w:t>
      </w:r>
      <w:r w:rsidR="002069EB">
        <w:rPr>
          <w:b/>
        </w:rPr>
        <w:t>samostatně nepovažují</w:t>
      </w:r>
      <w:r w:rsidR="002069EB">
        <w:t xml:space="preserve"> </w:t>
      </w:r>
      <w:r w:rsidR="002069EB">
        <w:rPr>
          <w:b/>
        </w:rPr>
        <w:t>za infrastrukturu</w:t>
      </w:r>
      <w:r w:rsidR="002069EB">
        <w:t xml:space="preserve"> </w:t>
      </w:r>
      <w:r w:rsidR="002069EB">
        <w:rPr>
          <w:rStyle w:val="Zdraznn"/>
        </w:rPr>
        <w:t>s životností alespoň pět let</w:t>
      </w:r>
    </w:p>
    <w:p w14:paraId="4A70E350" w14:textId="6105640F" w:rsidR="00757F21" w:rsidRDefault="00757F21" w:rsidP="00757F21">
      <w:pPr>
        <w:keepNext/>
      </w:pPr>
      <w:r>
        <w:t xml:space="preserve">Nejedná se </w:t>
      </w:r>
      <w:r w:rsidR="00E441DD">
        <w:t xml:space="preserve">o </w:t>
      </w:r>
      <w:r>
        <w:t xml:space="preserve">uzavřený výčet, z podstaty věci není možné postihnout všechny typy projektů, které se mohou v rámci podpory z fondů EU objevit. </w:t>
      </w:r>
    </w:p>
    <w:p w14:paraId="67CD5099" w14:textId="50C91650" w:rsidR="00757F21" w:rsidRDefault="00757F21" w:rsidP="00757F21">
      <w:pPr>
        <w:keepNext/>
        <w:rPr>
          <w:u w:val="single"/>
        </w:rPr>
      </w:pPr>
      <w:r>
        <w:rPr>
          <w:u w:val="single"/>
        </w:rPr>
        <w:t>Mezi projekty nesplňující definici infrastruktury s životnostní nad 5 let lze řadit:</w:t>
      </w:r>
    </w:p>
    <w:p w14:paraId="4A99E3EF" w14:textId="77777777" w:rsidR="00757F21" w:rsidRDefault="00757F21" w:rsidP="00757F21">
      <w:pPr>
        <w:pStyle w:val="Odstavecseseznamem"/>
        <w:numPr>
          <w:ilvl w:val="0"/>
          <w:numId w:val="32"/>
        </w:numPr>
        <w:spacing w:after="160" w:line="276" w:lineRule="auto"/>
        <w:contextualSpacing/>
      </w:pPr>
      <w:r>
        <w:t>neinvestiční projekty v oblasti vzdělávání, výzkumu, sociálního začleňování apod.</w:t>
      </w:r>
    </w:p>
    <w:p w14:paraId="0CCA2650" w14:textId="77777777" w:rsidR="00757F21" w:rsidRDefault="00757F21" w:rsidP="00757F21">
      <w:pPr>
        <w:pStyle w:val="Odstavecseseznamem"/>
        <w:numPr>
          <w:ilvl w:val="0"/>
          <w:numId w:val="32"/>
        </w:numPr>
        <w:spacing w:after="160" w:line="276" w:lineRule="auto"/>
        <w:contextualSpacing/>
      </w:pPr>
      <w:r>
        <w:t>plánovací aktivity (strategické dokumenty, projektové dokumentace)</w:t>
      </w:r>
    </w:p>
    <w:p w14:paraId="422C8069" w14:textId="77777777" w:rsidR="00757F21" w:rsidRDefault="00757F21" w:rsidP="00757F21">
      <w:pPr>
        <w:pStyle w:val="Odstavecseseznamem"/>
        <w:numPr>
          <w:ilvl w:val="0"/>
          <w:numId w:val="32"/>
        </w:numPr>
        <w:spacing w:after="160" w:line="276" w:lineRule="auto"/>
        <w:contextualSpacing/>
      </w:pPr>
      <w:r>
        <w:t>přírodu (lesy, přírodě blízká opatření zaměřená na ochranu biodiverzity)</w:t>
      </w:r>
    </w:p>
    <w:p w14:paraId="40472292" w14:textId="77777777" w:rsidR="00757F21" w:rsidRDefault="00757F21" w:rsidP="00757F21">
      <w:pPr>
        <w:pStyle w:val="Odstavecseseznamem"/>
        <w:numPr>
          <w:ilvl w:val="0"/>
          <w:numId w:val="32"/>
        </w:numPr>
        <w:spacing w:after="160" w:line="276" w:lineRule="auto"/>
        <w:contextualSpacing/>
        <w:rPr>
          <w:b/>
        </w:rPr>
      </w:pPr>
      <w:r>
        <w:t xml:space="preserve">pořízení vybavení do stávajících staveb, které není její nedílnou součástí, např. nákup výpočetní techniky, nákup nebo výměna strojů ve stávající výrobní hale. </w:t>
      </w:r>
      <w:r>
        <w:rPr>
          <w:b/>
          <w:u w:val="single"/>
        </w:rPr>
        <w:t xml:space="preserve">Za jako splňující definici infrastruktury je však nutné považovat zřízení nového provozu / celistvé rozšíření stávajícího provozu a renovace zejm. v sektorech zpracovatelského průmyslu, a dále obecně zdroje energie v sektorech zařazených na červeném seznamu. </w:t>
      </w:r>
    </w:p>
    <w:p w14:paraId="0406207F" w14:textId="77777777" w:rsidR="00757F21" w:rsidRDefault="00757F21" w:rsidP="00757F21">
      <w:pPr>
        <w:pStyle w:val="Odstavecseseznamem"/>
        <w:numPr>
          <w:ilvl w:val="0"/>
          <w:numId w:val="32"/>
        </w:numPr>
        <w:spacing w:after="160" w:line="276" w:lineRule="auto"/>
        <w:contextualSpacing/>
      </w:pPr>
      <w:r>
        <w:t>pořízení silničních vozidel (osobní a nákladní automobily)</w:t>
      </w:r>
    </w:p>
    <w:p w14:paraId="7A19595D" w14:textId="77777777" w:rsidR="00757F21" w:rsidRDefault="00757F21" w:rsidP="00757F21">
      <w:pPr>
        <w:pStyle w:val="Odstavecseseznamem"/>
        <w:numPr>
          <w:ilvl w:val="0"/>
          <w:numId w:val="32"/>
        </w:numPr>
        <w:spacing w:after="160" w:line="276" w:lineRule="auto"/>
        <w:contextualSpacing/>
      </w:pPr>
      <w:r>
        <w:t>sanaci kontaminovaných lokalit</w:t>
      </w:r>
    </w:p>
    <w:p w14:paraId="39862B96" w14:textId="77777777" w:rsidR="00757F21" w:rsidRDefault="00757F21" w:rsidP="00757F21">
      <w:pPr>
        <w:pStyle w:val="Odstavecseseznamem"/>
        <w:numPr>
          <w:ilvl w:val="0"/>
          <w:numId w:val="32"/>
        </w:numPr>
        <w:spacing w:after="160" w:line="276" w:lineRule="auto"/>
        <w:contextualSpacing/>
      </w:pPr>
      <w:r>
        <w:t>výkupy pozemků bez konkrétního využití</w:t>
      </w:r>
    </w:p>
    <w:p w14:paraId="6B42FB6C" w14:textId="77777777" w:rsidR="00757F21" w:rsidRDefault="00757F21" w:rsidP="00757F21">
      <w:pPr>
        <w:pStyle w:val="Odstavecseseznamem"/>
        <w:numPr>
          <w:ilvl w:val="0"/>
          <w:numId w:val="32"/>
        </w:numPr>
        <w:spacing w:after="160" w:line="276" w:lineRule="auto"/>
        <w:contextualSpacing/>
      </w:pPr>
      <w:r>
        <w:t>měřicí a hlásnou techniku (čidla, senzory apod.)</w:t>
      </w:r>
    </w:p>
    <w:p w14:paraId="03B44796" w14:textId="77777777" w:rsidR="00757F21" w:rsidRDefault="00757F21" w:rsidP="00757F21">
      <w:pPr>
        <w:pStyle w:val="Odstavecseseznamem"/>
        <w:numPr>
          <w:ilvl w:val="0"/>
          <w:numId w:val="32"/>
        </w:numPr>
        <w:spacing w:after="160" w:line="276" w:lineRule="auto"/>
        <w:contextualSpacing/>
      </w:pPr>
      <w:r>
        <w:t>elektronické systémy a technologie (on-line aplikace, databáze, informační systémy apod.)</w:t>
      </w:r>
    </w:p>
    <w:p w14:paraId="67CC4A72" w14:textId="77777777" w:rsidR="00757F21" w:rsidRDefault="00757F21" w:rsidP="00757F21">
      <w:pPr>
        <w:pStyle w:val="Odstavecseseznamem"/>
        <w:numPr>
          <w:ilvl w:val="0"/>
          <w:numId w:val="32"/>
        </w:numPr>
        <w:spacing w:after="160" w:line="276" w:lineRule="auto"/>
        <w:contextualSpacing/>
      </w:pPr>
      <w:r>
        <w:t>městský mobiliář (lavičky, odpadkové koše, kontejnery na odpad)</w:t>
      </w:r>
    </w:p>
    <w:p w14:paraId="3244615C" w14:textId="0275445D" w:rsidR="00757F21" w:rsidRDefault="00757F21" w:rsidP="00757F21">
      <w:pPr>
        <w:pStyle w:val="Odstavecseseznamem"/>
        <w:numPr>
          <w:ilvl w:val="0"/>
          <w:numId w:val="32"/>
        </w:numPr>
        <w:spacing w:after="160" w:line="276" w:lineRule="auto"/>
        <w:contextualSpacing/>
      </w:pPr>
      <w:r>
        <w:t>projekty technické pomoci programů</w:t>
      </w:r>
    </w:p>
    <w:p w14:paraId="66677FC9" w14:textId="3BD4FAC4" w:rsidR="00757F21" w:rsidRPr="00DB1A0B" w:rsidRDefault="00757F21" w:rsidP="00757F21">
      <w:pPr>
        <w:spacing w:after="160"/>
        <w:contextualSpacing/>
        <w:rPr>
          <w:b/>
          <w:bCs/>
        </w:rPr>
      </w:pPr>
      <w:r w:rsidRPr="00DB1A0B">
        <w:rPr>
          <w:b/>
          <w:bCs/>
        </w:rPr>
        <w:t xml:space="preserve">Obecná vodítka pro určení, zda se jedná o </w:t>
      </w:r>
      <w:r w:rsidR="002069EB">
        <w:rPr>
          <w:b/>
          <w:bCs/>
        </w:rPr>
        <w:t xml:space="preserve">projekt splňující definici </w:t>
      </w:r>
      <w:r w:rsidRPr="00DB1A0B">
        <w:rPr>
          <w:b/>
          <w:bCs/>
        </w:rPr>
        <w:t>infrastruktur</w:t>
      </w:r>
      <w:r w:rsidR="002069EB">
        <w:rPr>
          <w:b/>
          <w:bCs/>
        </w:rPr>
        <w:t>y</w:t>
      </w:r>
    </w:p>
    <w:p w14:paraId="3F9D7FA3" w14:textId="77777777" w:rsidR="00757F21" w:rsidRDefault="00757F21" w:rsidP="00757F21">
      <w:pPr>
        <w:keepNext/>
        <w:rPr>
          <w:u w:val="single"/>
        </w:rPr>
      </w:pPr>
      <w:r>
        <w:rPr>
          <w:u w:val="single"/>
        </w:rPr>
        <w:t>V případě projektů, které nezapadají do žádné z výše uvedených kategorií, se projekt z pohledu definice infrastruktury s životností nad 5 let posuzuje podle následujícího klíče:</w:t>
      </w:r>
    </w:p>
    <w:p w14:paraId="1836791E" w14:textId="77777777" w:rsidR="00757F21" w:rsidRDefault="00757F21" w:rsidP="00757F21">
      <w:pPr>
        <w:pStyle w:val="Odstavecseseznamem"/>
        <w:numPr>
          <w:ilvl w:val="0"/>
          <w:numId w:val="33"/>
        </w:numPr>
        <w:spacing w:after="160" w:line="259" w:lineRule="auto"/>
        <w:contextualSpacing/>
      </w:pPr>
      <w:r>
        <w:t>jedná se fyzické aktivum / stavbu / konstrukci?</w:t>
      </w:r>
    </w:p>
    <w:p w14:paraId="7CD132C3" w14:textId="77777777" w:rsidR="00757F21" w:rsidRDefault="00757F21" w:rsidP="00757F21">
      <w:pPr>
        <w:pStyle w:val="Odstavecseseznamem"/>
        <w:numPr>
          <w:ilvl w:val="0"/>
          <w:numId w:val="33"/>
        </w:numPr>
        <w:spacing w:after="160" w:line="259" w:lineRule="auto"/>
        <w:contextualSpacing/>
      </w:pPr>
      <w:r>
        <w:t>odpovídá projektovaná životnost některé z kategorií uvedených v tabulce níže?</w:t>
      </w:r>
    </w:p>
    <w:tbl>
      <w:tblPr>
        <w:tblStyle w:val="Mkatabulky"/>
        <w:tblpPr w:leftFromText="141" w:rightFromText="141" w:vertAnchor="text" w:horzAnchor="margin" w:tblpY="202"/>
        <w:tblW w:w="924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13"/>
        <w:gridCol w:w="2630"/>
        <w:gridCol w:w="5201"/>
      </w:tblGrid>
      <w:tr w:rsidR="00757F21" w14:paraId="15F9D37C" w14:textId="77777777" w:rsidTr="009B1BC4">
        <w:trPr>
          <w:trHeight w:val="454"/>
        </w:trPr>
        <w:tc>
          <w:tcPr>
            <w:tcW w:w="1413" w:type="dxa"/>
            <w:vAlign w:val="center"/>
          </w:tcPr>
          <w:p w14:paraId="00954BE5" w14:textId="77777777" w:rsidR="00757F21" w:rsidRDefault="00757F21" w:rsidP="009B1BC4">
            <w:pPr>
              <w:spacing w:after="0" w:line="240" w:lineRule="auto"/>
              <w:jc w:val="left"/>
              <w:rPr>
                <w:b/>
              </w:rPr>
            </w:pPr>
            <w:r>
              <w:rPr>
                <w:b/>
              </w:rPr>
              <w:lastRenderedPageBreak/>
              <w:t>Kategorie</w:t>
            </w:r>
          </w:p>
        </w:tc>
        <w:tc>
          <w:tcPr>
            <w:tcW w:w="2630" w:type="dxa"/>
            <w:vAlign w:val="center"/>
          </w:tcPr>
          <w:p w14:paraId="7A8D36C7" w14:textId="77777777" w:rsidR="00757F21" w:rsidRDefault="00757F21" w:rsidP="009B1BC4">
            <w:pPr>
              <w:spacing w:after="0" w:line="240" w:lineRule="auto"/>
              <w:jc w:val="left"/>
              <w:rPr>
                <w:b/>
              </w:rPr>
            </w:pPr>
            <w:r>
              <w:rPr>
                <w:b/>
              </w:rPr>
              <w:t>Projektovaná životnost</w:t>
            </w:r>
          </w:p>
        </w:tc>
        <w:tc>
          <w:tcPr>
            <w:tcW w:w="5201" w:type="dxa"/>
            <w:vAlign w:val="center"/>
          </w:tcPr>
          <w:p w14:paraId="167B5F0B" w14:textId="77777777" w:rsidR="00757F21" w:rsidRDefault="00757F21" w:rsidP="009B1BC4">
            <w:pPr>
              <w:spacing w:after="0" w:line="240" w:lineRule="auto"/>
              <w:jc w:val="left"/>
              <w:rPr>
                <w:b/>
              </w:rPr>
            </w:pPr>
            <w:r>
              <w:rPr>
                <w:b/>
              </w:rPr>
              <w:t>Příklady</w:t>
            </w:r>
          </w:p>
        </w:tc>
      </w:tr>
      <w:tr w:rsidR="00757F21" w14:paraId="21410835" w14:textId="77777777" w:rsidTr="009B1BC4">
        <w:trPr>
          <w:trHeight w:val="454"/>
        </w:trPr>
        <w:tc>
          <w:tcPr>
            <w:tcW w:w="1413" w:type="dxa"/>
            <w:vAlign w:val="center"/>
          </w:tcPr>
          <w:p w14:paraId="2C32EF26" w14:textId="77777777" w:rsidR="00757F21" w:rsidRDefault="00757F21" w:rsidP="009B1BC4">
            <w:pPr>
              <w:spacing w:after="0" w:line="240" w:lineRule="auto"/>
              <w:jc w:val="left"/>
            </w:pPr>
            <w:r>
              <w:t>1</w:t>
            </w:r>
          </w:p>
        </w:tc>
        <w:tc>
          <w:tcPr>
            <w:tcW w:w="2630" w:type="dxa"/>
            <w:vAlign w:val="center"/>
          </w:tcPr>
          <w:p w14:paraId="390D5A00" w14:textId="77777777" w:rsidR="00757F21" w:rsidRDefault="00757F21" w:rsidP="009B1BC4">
            <w:pPr>
              <w:spacing w:after="0" w:line="240" w:lineRule="auto"/>
              <w:jc w:val="center"/>
            </w:pPr>
            <w:r>
              <w:t>10 let</w:t>
            </w:r>
          </w:p>
        </w:tc>
        <w:tc>
          <w:tcPr>
            <w:tcW w:w="5201" w:type="dxa"/>
            <w:vAlign w:val="center"/>
          </w:tcPr>
          <w:p w14:paraId="504279A1" w14:textId="77777777" w:rsidR="00757F21" w:rsidRDefault="00757F21" w:rsidP="009B1BC4">
            <w:pPr>
              <w:spacing w:after="0" w:line="240" w:lineRule="auto"/>
              <w:jc w:val="left"/>
            </w:pPr>
            <w:r>
              <w:t>dočasné stavby a konstrukce</w:t>
            </w:r>
          </w:p>
        </w:tc>
      </w:tr>
      <w:tr w:rsidR="00757F21" w14:paraId="73B9CCC8" w14:textId="77777777" w:rsidTr="009B1BC4">
        <w:trPr>
          <w:trHeight w:val="454"/>
        </w:trPr>
        <w:tc>
          <w:tcPr>
            <w:tcW w:w="1413" w:type="dxa"/>
            <w:vAlign w:val="center"/>
          </w:tcPr>
          <w:p w14:paraId="56E49040" w14:textId="77777777" w:rsidR="00757F21" w:rsidRDefault="00757F21" w:rsidP="009B1BC4">
            <w:pPr>
              <w:spacing w:after="0" w:line="240" w:lineRule="auto"/>
              <w:jc w:val="left"/>
            </w:pPr>
            <w:r>
              <w:t>2</w:t>
            </w:r>
          </w:p>
        </w:tc>
        <w:tc>
          <w:tcPr>
            <w:tcW w:w="2630" w:type="dxa"/>
            <w:vAlign w:val="center"/>
          </w:tcPr>
          <w:p w14:paraId="197ECD88" w14:textId="77777777" w:rsidR="00757F21" w:rsidRDefault="00757F21" w:rsidP="009B1BC4">
            <w:pPr>
              <w:spacing w:after="0" w:line="240" w:lineRule="auto"/>
              <w:jc w:val="center"/>
            </w:pPr>
            <w:r>
              <w:t>10 až 25 let</w:t>
            </w:r>
          </w:p>
        </w:tc>
        <w:tc>
          <w:tcPr>
            <w:tcW w:w="5201" w:type="dxa"/>
            <w:vAlign w:val="center"/>
          </w:tcPr>
          <w:p w14:paraId="309F8B8F" w14:textId="77777777" w:rsidR="00757F21" w:rsidRDefault="00757F21" w:rsidP="009B1BC4">
            <w:pPr>
              <w:spacing w:after="0" w:line="240" w:lineRule="auto"/>
              <w:jc w:val="left"/>
            </w:pPr>
            <w:r>
              <w:t>vyměnitelné části stavby (nosné konstrukce apod.)</w:t>
            </w:r>
          </w:p>
        </w:tc>
      </w:tr>
      <w:tr w:rsidR="00757F21" w14:paraId="770B00E9" w14:textId="77777777" w:rsidTr="009B1BC4">
        <w:trPr>
          <w:trHeight w:val="454"/>
        </w:trPr>
        <w:tc>
          <w:tcPr>
            <w:tcW w:w="1413" w:type="dxa"/>
            <w:vAlign w:val="center"/>
          </w:tcPr>
          <w:p w14:paraId="39F1FAB6" w14:textId="77777777" w:rsidR="00757F21" w:rsidRDefault="00757F21" w:rsidP="009B1BC4">
            <w:pPr>
              <w:spacing w:after="0" w:line="240" w:lineRule="auto"/>
              <w:jc w:val="left"/>
            </w:pPr>
            <w:r>
              <w:t>3</w:t>
            </w:r>
          </w:p>
        </w:tc>
        <w:tc>
          <w:tcPr>
            <w:tcW w:w="2630" w:type="dxa"/>
            <w:vAlign w:val="center"/>
          </w:tcPr>
          <w:p w14:paraId="132BDAE2" w14:textId="77777777" w:rsidR="00757F21" w:rsidRDefault="00757F21" w:rsidP="009B1BC4">
            <w:pPr>
              <w:spacing w:after="0" w:line="240" w:lineRule="auto"/>
              <w:jc w:val="center"/>
            </w:pPr>
            <w:r>
              <w:t>15 až 30 let</w:t>
            </w:r>
          </w:p>
        </w:tc>
        <w:tc>
          <w:tcPr>
            <w:tcW w:w="5201" w:type="dxa"/>
            <w:vAlign w:val="center"/>
          </w:tcPr>
          <w:p w14:paraId="1478BD83" w14:textId="77777777" w:rsidR="00757F21" w:rsidRDefault="00757F21" w:rsidP="009B1BC4">
            <w:pPr>
              <w:spacing w:after="0" w:line="240" w:lineRule="auto"/>
              <w:jc w:val="left"/>
            </w:pPr>
            <w:r>
              <w:t>zemědělské a obdobné stavby</w:t>
            </w:r>
          </w:p>
        </w:tc>
      </w:tr>
      <w:tr w:rsidR="00757F21" w14:paraId="1B096979" w14:textId="77777777" w:rsidTr="009B1BC4">
        <w:trPr>
          <w:trHeight w:val="454"/>
        </w:trPr>
        <w:tc>
          <w:tcPr>
            <w:tcW w:w="1413" w:type="dxa"/>
            <w:vAlign w:val="center"/>
          </w:tcPr>
          <w:p w14:paraId="7C2EDEEE" w14:textId="77777777" w:rsidR="00757F21" w:rsidRDefault="00757F21" w:rsidP="009B1BC4">
            <w:pPr>
              <w:spacing w:after="0" w:line="240" w:lineRule="auto"/>
              <w:jc w:val="left"/>
            </w:pPr>
            <w:r>
              <w:t>4</w:t>
            </w:r>
          </w:p>
        </w:tc>
        <w:tc>
          <w:tcPr>
            <w:tcW w:w="2630" w:type="dxa"/>
            <w:vAlign w:val="center"/>
          </w:tcPr>
          <w:p w14:paraId="2D2B4D11" w14:textId="77777777" w:rsidR="00757F21" w:rsidRDefault="00757F21" w:rsidP="009B1BC4">
            <w:pPr>
              <w:spacing w:after="0" w:line="240" w:lineRule="auto"/>
              <w:jc w:val="center"/>
            </w:pPr>
            <w:r>
              <w:t>50 let</w:t>
            </w:r>
          </w:p>
        </w:tc>
        <w:tc>
          <w:tcPr>
            <w:tcW w:w="5201" w:type="dxa"/>
            <w:vAlign w:val="center"/>
          </w:tcPr>
          <w:p w14:paraId="713861B6" w14:textId="77777777" w:rsidR="00757F21" w:rsidRDefault="00757F21" w:rsidP="009B1BC4">
            <w:pPr>
              <w:spacing w:after="0" w:line="240" w:lineRule="auto"/>
              <w:jc w:val="left"/>
            </w:pPr>
            <w:r>
              <w:t>budovy a další běžné stavby</w:t>
            </w:r>
          </w:p>
        </w:tc>
      </w:tr>
      <w:tr w:rsidR="00757F21" w14:paraId="6204E4BE" w14:textId="77777777" w:rsidTr="009B1BC4">
        <w:trPr>
          <w:trHeight w:val="454"/>
        </w:trPr>
        <w:tc>
          <w:tcPr>
            <w:tcW w:w="1413" w:type="dxa"/>
            <w:vAlign w:val="center"/>
          </w:tcPr>
          <w:p w14:paraId="531FFF3A" w14:textId="77777777" w:rsidR="00757F21" w:rsidRDefault="00757F21" w:rsidP="009B1BC4">
            <w:pPr>
              <w:spacing w:after="0" w:line="240" w:lineRule="auto"/>
              <w:jc w:val="left"/>
            </w:pPr>
            <w:r>
              <w:t>5</w:t>
            </w:r>
          </w:p>
        </w:tc>
        <w:tc>
          <w:tcPr>
            <w:tcW w:w="2630" w:type="dxa"/>
            <w:vAlign w:val="center"/>
          </w:tcPr>
          <w:p w14:paraId="0D8F3DB9" w14:textId="77777777" w:rsidR="00757F21" w:rsidRDefault="00757F21" w:rsidP="009B1BC4">
            <w:pPr>
              <w:spacing w:after="0" w:line="240" w:lineRule="auto"/>
              <w:jc w:val="center"/>
            </w:pPr>
            <w:r>
              <w:t>100 let</w:t>
            </w:r>
          </w:p>
        </w:tc>
        <w:tc>
          <w:tcPr>
            <w:tcW w:w="5201" w:type="dxa"/>
            <w:vAlign w:val="center"/>
          </w:tcPr>
          <w:p w14:paraId="4B3F9A07" w14:textId="77777777" w:rsidR="00757F21" w:rsidRDefault="00757F21" w:rsidP="009B1BC4">
            <w:pPr>
              <w:spacing w:after="0" w:line="240" w:lineRule="auto"/>
              <w:jc w:val="left"/>
            </w:pPr>
            <w:r>
              <w:t>velké stavby, mosty a další stavební konstrukce</w:t>
            </w:r>
          </w:p>
        </w:tc>
      </w:tr>
    </w:tbl>
    <w:p w14:paraId="70C843EF" w14:textId="77777777" w:rsidR="00757F21" w:rsidRDefault="00757F21" w:rsidP="00757F21">
      <w:pPr>
        <w:pStyle w:val="Odstavecseseznamem"/>
        <w:spacing w:line="240" w:lineRule="auto"/>
        <w:ind w:left="720"/>
      </w:pPr>
    </w:p>
    <w:p w14:paraId="4F563560" w14:textId="61BB236B" w:rsidR="00757F21" w:rsidRPr="00757F21" w:rsidRDefault="00757F21" w:rsidP="00757F21">
      <w:r>
        <w:rPr>
          <w:b/>
        </w:rPr>
        <w:t xml:space="preserve">V případě splnění obou podmínek je nezbytné daný projekt považovat za splňující definici infrastruktury s životností nad 5 let. </w:t>
      </w:r>
      <w:r>
        <w:t>Případně analogií je možné přiřadit projekt k některé z přímo zmíněných kategorií infrastruktury.</w:t>
      </w:r>
    </w:p>
    <w:p w14:paraId="2B22DCF4" w14:textId="77777777" w:rsidR="003324BE" w:rsidRPr="00846A9A" w:rsidRDefault="003324BE" w:rsidP="00DB1A0B">
      <w:pPr>
        <w:pStyle w:val="Nadpis4"/>
      </w:pPr>
      <w:bookmarkStart w:id="112" w:name="_Hlavní_projevy_změny"/>
      <w:bookmarkEnd w:id="112"/>
      <w:r w:rsidRPr="00846A9A">
        <w:t>Hlavní projevy změny klimatu v ČR a související rizika</w:t>
      </w:r>
    </w:p>
    <w:p w14:paraId="73834B3D" w14:textId="77777777" w:rsidR="003324BE" w:rsidRPr="007C734C" w:rsidRDefault="003324BE" w:rsidP="003324BE">
      <w:pPr>
        <w:keepNext/>
        <w:numPr>
          <w:ilvl w:val="0"/>
          <w:numId w:val="10"/>
        </w:numPr>
        <w:ind w:left="1423" w:hanging="357"/>
        <w:rPr>
          <w:rFonts w:cs="Segoe UI"/>
          <w:b/>
        </w:rPr>
      </w:pPr>
      <w:r w:rsidRPr="007C734C">
        <w:rPr>
          <w:rFonts w:cs="Segoe UI"/>
          <w:b/>
        </w:rPr>
        <w:t xml:space="preserve">Dlouhodobé sucho </w:t>
      </w:r>
    </w:p>
    <w:tbl>
      <w:tblPr>
        <w:tblW w:w="9082" w:type="dxa"/>
        <w:tblLayout w:type="fixed"/>
        <w:tblLook w:val="04A0" w:firstRow="1" w:lastRow="0" w:firstColumn="1" w:lastColumn="0" w:noHBand="0" w:noVBand="1"/>
      </w:tblPr>
      <w:tblGrid>
        <w:gridCol w:w="6124"/>
        <w:gridCol w:w="2958"/>
      </w:tblGrid>
      <w:tr w:rsidR="003324BE" w:rsidRPr="007C734C" w14:paraId="4FF80596" w14:textId="77777777" w:rsidTr="009B1BC4">
        <w:tc>
          <w:tcPr>
            <w:tcW w:w="6124" w:type="dxa"/>
            <w:tcBorders>
              <w:top w:val="single" w:sz="4" w:space="0" w:color="auto"/>
              <w:left w:val="single" w:sz="4" w:space="0" w:color="auto"/>
              <w:bottom w:val="single" w:sz="4" w:space="0" w:color="auto"/>
              <w:right w:val="single" w:sz="4" w:space="0" w:color="auto"/>
            </w:tcBorders>
            <w:vAlign w:val="center"/>
          </w:tcPr>
          <w:p w14:paraId="0EEA51C2" w14:textId="77777777" w:rsidR="003324BE" w:rsidRPr="007C734C" w:rsidRDefault="003324BE" w:rsidP="009B1BC4">
            <w:pPr>
              <w:spacing w:before="60" w:after="60"/>
              <w:rPr>
                <w:rFonts w:cs="Segoe UI"/>
                <w:lang w:eastAsia="ar-SA"/>
              </w:rPr>
            </w:pPr>
            <w:r w:rsidRPr="007C734C">
              <w:rPr>
                <w:rFonts w:cs="Segoe UI"/>
                <w:lang w:eastAsia="ar-SA"/>
              </w:rPr>
              <w:t xml:space="preserve">Změny odtoku vody </w:t>
            </w:r>
          </w:p>
        </w:tc>
        <w:tc>
          <w:tcPr>
            <w:tcW w:w="2958" w:type="dxa"/>
            <w:tcBorders>
              <w:top w:val="single" w:sz="4" w:space="0" w:color="auto"/>
              <w:left w:val="single" w:sz="4" w:space="0" w:color="auto"/>
              <w:bottom w:val="single" w:sz="4" w:space="0" w:color="auto"/>
              <w:right w:val="single" w:sz="4" w:space="0" w:color="auto"/>
            </w:tcBorders>
          </w:tcPr>
          <w:p w14:paraId="4E4F36D9" w14:textId="77777777" w:rsidR="003324BE" w:rsidRPr="007C734C" w:rsidRDefault="003324BE" w:rsidP="009B1BC4">
            <w:pPr>
              <w:spacing w:before="60" w:after="60"/>
              <w:rPr>
                <w:rFonts w:cs="Segoe UI"/>
                <w:lang w:eastAsia="ar-SA"/>
              </w:rPr>
            </w:pPr>
            <w:r w:rsidRPr="007C734C">
              <w:rPr>
                <w:rFonts w:cs="Segoe UI"/>
                <w:lang w:eastAsia="ar-SA"/>
              </w:rPr>
              <w:t>zemědělství, vodní hospodářství, zdraví a hygiena, cestovní ruch, doprava, průmysl a energetika</w:t>
            </w:r>
          </w:p>
        </w:tc>
      </w:tr>
      <w:tr w:rsidR="003324BE" w:rsidRPr="007C734C" w14:paraId="7DA8D316" w14:textId="77777777" w:rsidTr="009B1BC4">
        <w:tc>
          <w:tcPr>
            <w:tcW w:w="6124" w:type="dxa"/>
            <w:tcBorders>
              <w:top w:val="single" w:sz="4" w:space="0" w:color="auto"/>
              <w:left w:val="single" w:sz="4" w:space="0" w:color="auto"/>
              <w:bottom w:val="single" w:sz="4" w:space="0" w:color="auto"/>
              <w:right w:val="single" w:sz="4" w:space="0" w:color="auto"/>
            </w:tcBorders>
            <w:vAlign w:val="center"/>
          </w:tcPr>
          <w:p w14:paraId="78FB34C3" w14:textId="77777777" w:rsidR="003324BE" w:rsidRPr="007C734C" w:rsidRDefault="003324BE" w:rsidP="009B1BC4">
            <w:pPr>
              <w:spacing w:before="60" w:after="60"/>
              <w:rPr>
                <w:rFonts w:cs="Segoe UI"/>
                <w:lang w:eastAsia="ar-SA"/>
              </w:rPr>
            </w:pPr>
            <w:r w:rsidRPr="007C734C">
              <w:rPr>
                <w:rFonts w:cs="Segoe UI"/>
                <w:lang w:eastAsia="ar-SA"/>
              </w:rPr>
              <w:t>Ohrožení zásob pitné vody (množství, kvalita, dostupnost)</w:t>
            </w:r>
          </w:p>
        </w:tc>
        <w:tc>
          <w:tcPr>
            <w:tcW w:w="2958" w:type="dxa"/>
            <w:tcBorders>
              <w:top w:val="single" w:sz="4" w:space="0" w:color="auto"/>
              <w:left w:val="single" w:sz="4" w:space="0" w:color="auto"/>
              <w:bottom w:val="single" w:sz="4" w:space="0" w:color="auto"/>
              <w:right w:val="single" w:sz="4" w:space="0" w:color="auto"/>
            </w:tcBorders>
          </w:tcPr>
          <w:p w14:paraId="582424E9" w14:textId="77777777" w:rsidR="003324BE" w:rsidRPr="007C734C" w:rsidRDefault="003324BE" w:rsidP="009B1BC4">
            <w:pPr>
              <w:spacing w:before="60" w:after="60"/>
              <w:rPr>
                <w:rFonts w:cs="Segoe UI"/>
                <w:lang w:eastAsia="ar-SA"/>
              </w:rPr>
            </w:pPr>
            <w:r w:rsidRPr="007C734C">
              <w:rPr>
                <w:rFonts w:cs="Segoe UI"/>
                <w:lang w:eastAsia="ar-SA"/>
              </w:rPr>
              <w:t>zdraví a hygiena, urbanizovaná krajina, bezpečnost, cestovní ruch, vodní hospodářství</w:t>
            </w:r>
          </w:p>
        </w:tc>
      </w:tr>
      <w:tr w:rsidR="003324BE" w:rsidRPr="007C734C" w14:paraId="045D872B" w14:textId="77777777" w:rsidTr="009B1BC4">
        <w:tc>
          <w:tcPr>
            <w:tcW w:w="6124" w:type="dxa"/>
            <w:tcBorders>
              <w:top w:val="single" w:sz="4" w:space="0" w:color="auto"/>
              <w:left w:val="single" w:sz="4" w:space="0" w:color="auto"/>
              <w:bottom w:val="single" w:sz="4" w:space="0" w:color="auto"/>
              <w:right w:val="single" w:sz="4" w:space="0" w:color="auto"/>
            </w:tcBorders>
            <w:vAlign w:val="center"/>
          </w:tcPr>
          <w:p w14:paraId="50B6E808" w14:textId="77777777" w:rsidR="003324BE" w:rsidRPr="007C734C" w:rsidRDefault="003324BE" w:rsidP="009B1BC4">
            <w:pPr>
              <w:spacing w:before="60" w:after="60"/>
              <w:rPr>
                <w:rFonts w:cs="Segoe UI"/>
                <w:lang w:eastAsia="ar-SA"/>
              </w:rPr>
            </w:pPr>
            <w:r w:rsidRPr="007C734C">
              <w:rPr>
                <w:rFonts w:cs="Segoe UI"/>
                <w:lang w:eastAsia="ar-SA"/>
              </w:rPr>
              <w:t>Nedostatek vody pro průmysl, energetiku</w:t>
            </w:r>
          </w:p>
        </w:tc>
        <w:tc>
          <w:tcPr>
            <w:tcW w:w="2958" w:type="dxa"/>
            <w:tcBorders>
              <w:top w:val="single" w:sz="4" w:space="0" w:color="auto"/>
              <w:left w:val="single" w:sz="4" w:space="0" w:color="auto"/>
              <w:bottom w:val="single" w:sz="4" w:space="0" w:color="auto"/>
              <w:right w:val="single" w:sz="4" w:space="0" w:color="auto"/>
            </w:tcBorders>
          </w:tcPr>
          <w:p w14:paraId="13F04A42" w14:textId="77777777" w:rsidR="003324BE" w:rsidRPr="007C734C" w:rsidRDefault="003324BE" w:rsidP="009B1BC4">
            <w:pPr>
              <w:spacing w:before="60" w:after="60"/>
              <w:rPr>
                <w:rFonts w:cs="Segoe UI"/>
                <w:lang w:eastAsia="ar-SA"/>
              </w:rPr>
            </w:pPr>
            <w:r w:rsidRPr="007C734C">
              <w:rPr>
                <w:rFonts w:cs="Segoe UI"/>
                <w:lang w:eastAsia="ar-SA"/>
              </w:rPr>
              <w:t>průmysl a energetika, urbanizovaná krajina, vodní hospodářství, bezpečnost</w:t>
            </w:r>
          </w:p>
        </w:tc>
      </w:tr>
      <w:tr w:rsidR="003324BE" w:rsidRPr="007C734C" w14:paraId="590C8FF9" w14:textId="77777777" w:rsidTr="009B1BC4">
        <w:tc>
          <w:tcPr>
            <w:tcW w:w="6124" w:type="dxa"/>
            <w:tcBorders>
              <w:top w:val="single" w:sz="4" w:space="0" w:color="auto"/>
              <w:left w:val="single" w:sz="4" w:space="0" w:color="auto"/>
              <w:bottom w:val="single" w:sz="4" w:space="0" w:color="auto"/>
              <w:right w:val="single" w:sz="4" w:space="0" w:color="auto"/>
            </w:tcBorders>
            <w:vAlign w:val="center"/>
          </w:tcPr>
          <w:p w14:paraId="13173126" w14:textId="77777777" w:rsidR="003324BE" w:rsidRPr="007C734C" w:rsidRDefault="003324BE" w:rsidP="009B1BC4">
            <w:pPr>
              <w:spacing w:before="60" w:after="60"/>
              <w:rPr>
                <w:rFonts w:cs="Segoe UI"/>
                <w:lang w:eastAsia="ar-SA"/>
              </w:rPr>
            </w:pPr>
            <w:r w:rsidRPr="007C734C">
              <w:rPr>
                <w:rFonts w:cs="Segoe UI"/>
                <w:lang w:eastAsia="ar-SA"/>
              </w:rPr>
              <w:t>Ohrožení funkčnosti kritické infrastruktury</w:t>
            </w:r>
          </w:p>
        </w:tc>
        <w:tc>
          <w:tcPr>
            <w:tcW w:w="2958" w:type="dxa"/>
            <w:tcBorders>
              <w:top w:val="single" w:sz="4" w:space="0" w:color="auto"/>
              <w:left w:val="single" w:sz="4" w:space="0" w:color="auto"/>
              <w:bottom w:val="single" w:sz="4" w:space="0" w:color="auto"/>
              <w:right w:val="single" w:sz="4" w:space="0" w:color="auto"/>
            </w:tcBorders>
          </w:tcPr>
          <w:p w14:paraId="7BC53EF1" w14:textId="77777777" w:rsidR="003324BE" w:rsidRPr="007C734C" w:rsidRDefault="003324BE" w:rsidP="009B1BC4">
            <w:pPr>
              <w:spacing w:before="60" w:after="60"/>
              <w:rPr>
                <w:rFonts w:cs="Segoe UI"/>
                <w:lang w:eastAsia="ar-SA"/>
              </w:rPr>
            </w:pPr>
            <w:r w:rsidRPr="007C734C">
              <w:rPr>
                <w:rFonts w:cs="Segoe UI"/>
                <w:lang w:eastAsia="ar-SA"/>
              </w:rPr>
              <w:t>bezpečnost, zemědělství, vodní hospodářství</w:t>
            </w:r>
          </w:p>
        </w:tc>
      </w:tr>
      <w:tr w:rsidR="003324BE" w:rsidRPr="007C734C" w14:paraId="7F01EABA" w14:textId="77777777" w:rsidTr="009B1BC4">
        <w:tc>
          <w:tcPr>
            <w:tcW w:w="6124" w:type="dxa"/>
            <w:tcBorders>
              <w:top w:val="single" w:sz="4" w:space="0" w:color="auto"/>
              <w:left w:val="single" w:sz="4" w:space="0" w:color="auto"/>
              <w:bottom w:val="single" w:sz="4" w:space="0" w:color="auto"/>
              <w:right w:val="single" w:sz="4" w:space="0" w:color="auto"/>
            </w:tcBorders>
            <w:vAlign w:val="center"/>
          </w:tcPr>
          <w:p w14:paraId="51FC1700" w14:textId="77777777" w:rsidR="003324BE" w:rsidRPr="007C734C" w:rsidRDefault="003324BE" w:rsidP="009B1BC4">
            <w:pPr>
              <w:spacing w:before="60" w:after="60"/>
              <w:rPr>
                <w:rFonts w:cs="Segoe UI"/>
                <w:lang w:eastAsia="ar-SA"/>
              </w:rPr>
            </w:pPr>
            <w:r w:rsidRPr="007C734C">
              <w:rPr>
                <w:rFonts w:cs="Segoe UI"/>
                <w:lang w:eastAsia="ar-SA"/>
              </w:rPr>
              <w:t xml:space="preserve">Úbytek vody ve vodních tocích a nádržích </w:t>
            </w:r>
          </w:p>
        </w:tc>
        <w:tc>
          <w:tcPr>
            <w:tcW w:w="2958" w:type="dxa"/>
            <w:tcBorders>
              <w:top w:val="single" w:sz="4" w:space="0" w:color="auto"/>
              <w:left w:val="single" w:sz="4" w:space="0" w:color="auto"/>
              <w:bottom w:val="single" w:sz="4" w:space="0" w:color="auto"/>
              <w:right w:val="single" w:sz="4" w:space="0" w:color="auto"/>
            </w:tcBorders>
          </w:tcPr>
          <w:p w14:paraId="4F0B4925" w14:textId="77777777" w:rsidR="003324BE" w:rsidRPr="007C734C" w:rsidRDefault="003324BE" w:rsidP="009B1BC4">
            <w:pPr>
              <w:spacing w:before="60" w:after="60"/>
              <w:rPr>
                <w:rFonts w:cs="Segoe UI"/>
                <w:lang w:eastAsia="ar-SA"/>
              </w:rPr>
            </w:pPr>
            <w:r w:rsidRPr="007C734C">
              <w:rPr>
                <w:rFonts w:cs="Segoe UI"/>
                <w:lang w:eastAsia="ar-SA"/>
              </w:rPr>
              <w:t>cestovní ruch, vodní hospodářství</w:t>
            </w:r>
          </w:p>
        </w:tc>
      </w:tr>
      <w:tr w:rsidR="003324BE" w:rsidRPr="007C734C" w14:paraId="5D60F039" w14:textId="77777777" w:rsidTr="009B1BC4">
        <w:tc>
          <w:tcPr>
            <w:tcW w:w="6124" w:type="dxa"/>
            <w:tcBorders>
              <w:top w:val="single" w:sz="4" w:space="0" w:color="auto"/>
              <w:left w:val="single" w:sz="4" w:space="0" w:color="auto"/>
              <w:bottom w:val="single" w:sz="4" w:space="0" w:color="auto"/>
              <w:right w:val="single" w:sz="4" w:space="0" w:color="auto"/>
            </w:tcBorders>
            <w:vAlign w:val="center"/>
          </w:tcPr>
          <w:p w14:paraId="0796DD0E" w14:textId="77777777" w:rsidR="003324BE" w:rsidRPr="007C734C" w:rsidRDefault="003324BE" w:rsidP="009B1BC4">
            <w:pPr>
              <w:spacing w:before="60" w:after="60"/>
              <w:rPr>
                <w:rFonts w:cs="Segoe UI"/>
                <w:lang w:eastAsia="ar-SA"/>
              </w:rPr>
            </w:pPr>
            <w:r w:rsidRPr="007C734C">
              <w:rPr>
                <w:rFonts w:cs="Segoe UI"/>
                <w:lang w:eastAsia="ar-SA"/>
              </w:rPr>
              <w:t>Zvýšení rizika nesplavnosti úseků vodních cest</w:t>
            </w:r>
          </w:p>
        </w:tc>
        <w:tc>
          <w:tcPr>
            <w:tcW w:w="2958" w:type="dxa"/>
            <w:tcBorders>
              <w:top w:val="single" w:sz="4" w:space="0" w:color="auto"/>
              <w:left w:val="single" w:sz="4" w:space="0" w:color="auto"/>
              <w:bottom w:val="single" w:sz="4" w:space="0" w:color="auto"/>
              <w:right w:val="single" w:sz="4" w:space="0" w:color="auto"/>
            </w:tcBorders>
          </w:tcPr>
          <w:p w14:paraId="41AB22C0" w14:textId="77777777" w:rsidR="003324BE" w:rsidRPr="007C734C" w:rsidRDefault="003324BE" w:rsidP="009B1BC4">
            <w:pPr>
              <w:spacing w:before="60" w:after="60"/>
              <w:rPr>
                <w:rFonts w:cs="Segoe UI"/>
                <w:lang w:eastAsia="ar-SA"/>
              </w:rPr>
            </w:pPr>
            <w:r w:rsidRPr="007C734C">
              <w:rPr>
                <w:rFonts w:cs="Segoe UI"/>
                <w:lang w:eastAsia="ar-SA"/>
              </w:rPr>
              <w:t>doprava, cestovní ruch</w:t>
            </w:r>
          </w:p>
        </w:tc>
      </w:tr>
      <w:tr w:rsidR="003324BE" w:rsidRPr="007C734C" w14:paraId="1B41EA35" w14:textId="77777777" w:rsidTr="009B1BC4">
        <w:tc>
          <w:tcPr>
            <w:tcW w:w="6124" w:type="dxa"/>
            <w:tcBorders>
              <w:top w:val="single" w:sz="4" w:space="0" w:color="auto"/>
              <w:left w:val="single" w:sz="4" w:space="0" w:color="auto"/>
              <w:bottom w:val="single" w:sz="4" w:space="0" w:color="auto"/>
              <w:right w:val="single" w:sz="4" w:space="0" w:color="auto"/>
            </w:tcBorders>
            <w:vAlign w:val="center"/>
          </w:tcPr>
          <w:p w14:paraId="6AEC97B1" w14:textId="77777777" w:rsidR="003324BE" w:rsidRPr="007C734C" w:rsidRDefault="003324BE" w:rsidP="009B1BC4">
            <w:pPr>
              <w:spacing w:before="60" w:after="60"/>
              <w:rPr>
                <w:rFonts w:cs="Segoe UI"/>
                <w:lang w:eastAsia="ar-SA"/>
              </w:rPr>
            </w:pPr>
            <w:r w:rsidRPr="007C734C">
              <w:rPr>
                <w:rFonts w:cs="Segoe UI"/>
                <w:lang w:eastAsia="ar-SA"/>
              </w:rPr>
              <w:t>Nedostatek hasební vody pro požární ochranu</w:t>
            </w:r>
          </w:p>
        </w:tc>
        <w:tc>
          <w:tcPr>
            <w:tcW w:w="2958" w:type="dxa"/>
            <w:tcBorders>
              <w:top w:val="single" w:sz="4" w:space="0" w:color="auto"/>
              <w:left w:val="single" w:sz="4" w:space="0" w:color="auto"/>
              <w:bottom w:val="single" w:sz="4" w:space="0" w:color="auto"/>
              <w:right w:val="single" w:sz="4" w:space="0" w:color="auto"/>
            </w:tcBorders>
          </w:tcPr>
          <w:p w14:paraId="11844B1A" w14:textId="77777777" w:rsidR="003324BE" w:rsidRPr="007C734C" w:rsidRDefault="003324BE" w:rsidP="009B1BC4">
            <w:pPr>
              <w:spacing w:before="60" w:after="60"/>
              <w:rPr>
                <w:rFonts w:cs="Segoe UI"/>
                <w:lang w:eastAsia="ar-SA"/>
              </w:rPr>
            </w:pPr>
            <w:r w:rsidRPr="007C734C">
              <w:rPr>
                <w:rFonts w:cs="Segoe UI"/>
                <w:lang w:eastAsia="ar-SA"/>
              </w:rPr>
              <w:t>bezpečnost, urbanizovaná krajina</w:t>
            </w:r>
          </w:p>
        </w:tc>
      </w:tr>
      <w:tr w:rsidR="003324BE" w:rsidRPr="007C734C" w14:paraId="7B6744AE" w14:textId="77777777" w:rsidTr="009B1BC4">
        <w:tc>
          <w:tcPr>
            <w:tcW w:w="6124" w:type="dxa"/>
            <w:tcBorders>
              <w:top w:val="single" w:sz="4" w:space="0" w:color="auto"/>
              <w:left w:val="single" w:sz="4" w:space="0" w:color="auto"/>
              <w:bottom w:val="single" w:sz="4" w:space="0" w:color="auto"/>
              <w:right w:val="single" w:sz="4" w:space="0" w:color="auto"/>
            </w:tcBorders>
            <w:vAlign w:val="center"/>
          </w:tcPr>
          <w:p w14:paraId="4AC2AADA" w14:textId="77777777" w:rsidR="003324BE" w:rsidRPr="007C734C" w:rsidRDefault="003324BE" w:rsidP="009B1BC4">
            <w:pPr>
              <w:spacing w:before="60" w:after="60"/>
              <w:rPr>
                <w:rFonts w:cs="Segoe UI"/>
                <w:lang w:eastAsia="ar-SA"/>
              </w:rPr>
            </w:pPr>
            <w:r w:rsidRPr="007C734C">
              <w:rPr>
                <w:rFonts w:cs="Segoe UI"/>
                <w:lang w:eastAsia="ar-SA"/>
              </w:rPr>
              <w:t>Ohrožení a ztížení údržby přírodních ploch v sídlech</w:t>
            </w:r>
          </w:p>
        </w:tc>
        <w:tc>
          <w:tcPr>
            <w:tcW w:w="2958" w:type="dxa"/>
            <w:tcBorders>
              <w:top w:val="single" w:sz="4" w:space="0" w:color="auto"/>
              <w:left w:val="single" w:sz="4" w:space="0" w:color="auto"/>
              <w:bottom w:val="single" w:sz="4" w:space="0" w:color="auto"/>
              <w:right w:val="single" w:sz="4" w:space="0" w:color="auto"/>
            </w:tcBorders>
          </w:tcPr>
          <w:p w14:paraId="29213E7F" w14:textId="77777777" w:rsidR="003324BE" w:rsidRPr="007C734C" w:rsidRDefault="003324BE" w:rsidP="009B1BC4">
            <w:pPr>
              <w:spacing w:before="60" w:after="60"/>
              <w:rPr>
                <w:rFonts w:cs="Segoe UI"/>
                <w:lang w:eastAsia="ar-SA"/>
              </w:rPr>
            </w:pPr>
            <w:r w:rsidRPr="007C734C">
              <w:rPr>
                <w:rFonts w:cs="Segoe UI"/>
                <w:lang w:eastAsia="ar-SA"/>
              </w:rPr>
              <w:t>urbanizovaná krajina, biodiverzita, zdraví a hygiena</w:t>
            </w:r>
          </w:p>
        </w:tc>
      </w:tr>
      <w:tr w:rsidR="003324BE" w:rsidRPr="007C734C" w14:paraId="6216E3D9" w14:textId="77777777" w:rsidTr="009B1BC4">
        <w:tc>
          <w:tcPr>
            <w:tcW w:w="6124" w:type="dxa"/>
            <w:tcBorders>
              <w:top w:val="single" w:sz="4" w:space="0" w:color="auto"/>
              <w:left w:val="single" w:sz="4" w:space="0" w:color="auto"/>
              <w:bottom w:val="single" w:sz="4" w:space="0" w:color="auto"/>
              <w:right w:val="single" w:sz="4" w:space="0" w:color="auto"/>
            </w:tcBorders>
            <w:vAlign w:val="center"/>
          </w:tcPr>
          <w:p w14:paraId="43C2D068" w14:textId="77777777" w:rsidR="003324BE" w:rsidRPr="007C734C" w:rsidRDefault="003324BE" w:rsidP="009B1BC4">
            <w:pPr>
              <w:spacing w:before="60" w:after="60"/>
              <w:rPr>
                <w:rFonts w:cs="Segoe UI"/>
                <w:lang w:eastAsia="ar-SA"/>
              </w:rPr>
            </w:pPr>
            <w:r w:rsidRPr="007C734C">
              <w:rPr>
                <w:rFonts w:cs="Segoe UI"/>
                <w:lang w:eastAsia="ar-SA"/>
              </w:rPr>
              <w:lastRenderedPageBreak/>
              <w:t>Zhoršení kvality povrchových a koupacích vod</w:t>
            </w:r>
          </w:p>
        </w:tc>
        <w:tc>
          <w:tcPr>
            <w:tcW w:w="2958" w:type="dxa"/>
            <w:tcBorders>
              <w:top w:val="single" w:sz="4" w:space="0" w:color="auto"/>
              <w:left w:val="single" w:sz="4" w:space="0" w:color="auto"/>
              <w:bottom w:val="single" w:sz="4" w:space="0" w:color="auto"/>
              <w:right w:val="single" w:sz="4" w:space="0" w:color="auto"/>
            </w:tcBorders>
          </w:tcPr>
          <w:p w14:paraId="23C1EFBD" w14:textId="77777777" w:rsidR="003324BE" w:rsidRPr="007C734C" w:rsidRDefault="003324BE" w:rsidP="009B1BC4">
            <w:pPr>
              <w:spacing w:before="60" w:after="60"/>
              <w:rPr>
                <w:rFonts w:cs="Segoe UI"/>
                <w:lang w:eastAsia="ar-SA"/>
              </w:rPr>
            </w:pPr>
            <w:r w:rsidRPr="007C734C">
              <w:rPr>
                <w:rFonts w:cs="Segoe UI"/>
                <w:lang w:eastAsia="ar-SA"/>
              </w:rPr>
              <w:t>vodní hospodářství, biodiverzita, zdraví a hygiena, ces</w:t>
            </w:r>
            <w:r>
              <w:rPr>
                <w:rFonts w:cs="Segoe UI"/>
                <w:lang w:eastAsia="ar-SA"/>
              </w:rPr>
              <w:t>tovní ruch</w:t>
            </w:r>
          </w:p>
        </w:tc>
      </w:tr>
      <w:tr w:rsidR="003324BE" w:rsidRPr="007C734C" w14:paraId="0DBC9E48" w14:textId="77777777" w:rsidTr="009B1BC4">
        <w:tc>
          <w:tcPr>
            <w:tcW w:w="6124" w:type="dxa"/>
            <w:tcBorders>
              <w:top w:val="single" w:sz="4" w:space="0" w:color="auto"/>
              <w:left w:val="single" w:sz="4" w:space="0" w:color="auto"/>
              <w:bottom w:val="single" w:sz="4" w:space="0" w:color="auto"/>
              <w:right w:val="single" w:sz="4" w:space="0" w:color="auto"/>
            </w:tcBorders>
            <w:vAlign w:val="center"/>
          </w:tcPr>
          <w:p w14:paraId="232FF2E5" w14:textId="77777777" w:rsidR="003324BE" w:rsidRPr="007C734C" w:rsidRDefault="003324BE" w:rsidP="009B1BC4">
            <w:pPr>
              <w:spacing w:before="60" w:after="60"/>
              <w:rPr>
                <w:rFonts w:cs="Segoe UI"/>
                <w:lang w:eastAsia="ar-SA"/>
              </w:rPr>
            </w:pPr>
            <w:r w:rsidRPr="007C734C">
              <w:rPr>
                <w:rFonts w:cs="Segoe UI"/>
                <w:lang w:eastAsia="ar-SA"/>
              </w:rPr>
              <w:t>Nebezpečí porušení funkce vodohospodářské infrastruktury</w:t>
            </w:r>
          </w:p>
        </w:tc>
        <w:tc>
          <w:tcPr>
            <w:tcW w:w="2958" w:type="dxa"/>
            <w:tcBorders>
              <w:top w:val="single" w:sz="4" w:space="0" w:color="auto"/>
              <w:left w:val="single" w:sz="4" w:space="0" w:color="auto"/>
              <w:bottom w:val="single" w:sz="4" w:space="0" w:color="auto"/>
              <w:right w:val="single" w:sz="4" w:space="0" w:color="auto"/>
            </w:tcBorders>
          </w:tcPr>
          <w:p w14:paraId="018606B9" w14:textId="77777777" w:rsidR="003324BE" w:rsidRPr="007C734C" w:rsidRDefault="003324BE" w:rsidP="009B1BC4">
            <w:pPr>
              <w:spacing w:before="60" w:after="60"/>
              <w:rPr>
                <w:rFonts w:cs="Segoe UI"/>
                <w:lang w:eastAsia="ar-SA"/>
              </w:rPr>
            </w:pPr>
            <w:r w:rsidRPr="007C734C">
              <w:rPr>
                <w:rFonts w:cs="Segoe UI"/>
                <w:lang w:eastAsia="ar-SA"/>
              </w:rPr>
              <w:t>vodní hospodářství, urbanizovaná krajina, zdr</w:t>
            </w:r>
            <w:r>
              <w:rPr>
                <w:rFonts w:cs="Segoe UI"/>
                <w:lang w:eastAsia="ar-SA"/>
              </w:rPr>
              <w:t>aví a hygiena</w:t>
            </w:r>
          </w:p>
        </w:tc>
      </w:tr>
      <w:tr w:rsidR="003324BE" w:rsidRPr="007C734C" w14:paraId="45FA3EE6" w14:textId="77777777" w:rsidTr="009B1BC4">
        <w:tc>
          <w:tcPr>
            <w:tcW w:w="6124" w:type="dxa"/>
            <w:tcBorders>
              <w:top w:val="single" w:sz="4" w:space="0" w:color="auto"/>
              <w:left w:val="single" w:sz="4" w:space="0" w:color="auto"/>
              <w:bottom w:val="single" w:sz="4" w:space="0" w:color="auto"/>
              <w:right w:val="single" w:sz="4" w:space="0" w:color="auto"/>
            </w:tcBorders>
            <w:vAlign w:val="center"/>
          </w:tcPr>
          <w:p w14:paraId="1810F70B" w14:textId="77777777" w:rsidR="003324BE" w:rsidRPr="007C734C" w:rsidRDefault="003324BE" w:rsidP="009B1BC4">
            <w:pPr>
              <w:spacing w:before="60" w:after="60"/>
              <w:rPr>
                <w:rFonts w:cs="Segoe UI"/>
                <w:lang w:eastAsia="ar-SA"/>
              </w:rPr>
            </w:pPr>
            <w:r w:rsidRPr="007C734C">
              <w:rPr>
                <w:rFonts w:cs="Segoe UI"/>
                <w:lang w:eastAsia="ar-SA"/>
              </w:rPr>
              <w:t>Chřadnutí lesních porostů</w:t>
            </w:r>
          </w:p>
        </w:tc>
        <w:tc>
          <w:tcPr>
            <w:tcW w:w="2958" w:type="dxa"/>
            <w:tcBorders>
              <w:top w:val="single" w:sz="4" w:space="0" w:color="auto"/>
              <w:left w:val="single" w:sz="4" w:space="0" w:color="auto"/>
              <w:bottom w:val="single" w:sz="4" w:space="0" w:color="auto"/>
              <w:right w:val="single" w:sz="4" w:space="0" w:color="auto"/>
            </w:tcBorders>
          </w:tcPr>
          <w:p w14:paraId="5DE21987" w14:textId="77777777" w:rsidR="003324BE" w:rsidRPr="007C734C" w:rsidRDefault="003324BE" w:rsidP="009B1BC4">
            <w:pPr>
              <w:spacing w:before="60" w:after="60"/>
              <w:rPr>
                <w:rFonts w:cs="Segoe UI"/>
                <w:lang w:eastAsia="ar-SA"/>
              </w:rPr>
            </w:pPr>
            <w:r w:rsidRPr="007C734C">
              <w:rPr>
                <w:rFonts w:cs="Segoe UI"/>
                <w:lang w:eastAsia="ar-SA"/>
              </w:rPr>
              <w:t>lesní hospodářství, cestovní ruch</w:t>
            </w:r>
          </w:p>
        </w:tc>
      </w:tr>
      <w:tr w:rsidR="003324BE" w:rsidRPr="007C734C" w14:paraId="680948F1" w14:textId="77777777" w:rsidTr="009B1BC4">
        <w:tc>
          <w:tcPr>
            <w:tcW w:w="6124" w:type="dxa"/>
            <w:tcBorders>
              <w:top w:val="single" w:sz="4" w:space="0" w:color="auto"/>
              <w:left w:val="single" w:sz="4" w:space="0" w:color="auto"/>
              <w:bottom w:val="single" w:sz="4" w:space="0" w:color="auto"/>
              <w:right w:val="single" w:sz="4" w:space="0" w:color="auto"/>
            </w:tcBorders>
            <w:vAlign w:val="center"/>
          </w:tcPr>
          <w:p w14:paraId="2C4BE076" w14:textId="77777777" w:rsidR="003324BE" w:rsidRPr="007C734C" w:rsidRDefault="003324BE" w:rsidP="009B1BC4">
            <w:pPr>
              <w:spacing w:before="60" w:after="60"/>
              <w:rPr>
                <w:rFonts w:cs="Segoe UI"/>
                <w:lang w:eastAsia="ar-SA"/>
              </w:rPr>
            </w:pPr>
            <w:r w:rsidRPr="007C734C">
              <w:rPr>
                <w:rFonts w:cs="Segoe UI"/>
                <w:lang w:eastAsia="ar-SA"/>
              </w:rPr>
              <w:t xml:space="preserve">Zvýšení rizika šíření škodlivých </w:t>
            </w:r>
            <w:proofErr w:type="gramStart"/>
            <w:r w:rsidRPr="007C734C">
              <w:rPr>
                <w:rFonts w:cs="Segoe UI"/>
                <w:lang w:eastAsia="ar-SA"/>
              </w:rPr>
              <w:t>organizmů</w:t>
            </w:r>
            <w:proofErr w:type="gramEnd"/>
            <w:r w:rsidRPr="007C734C">
              <w:rPr>
                <w:rFonts w:cs="Segoe UI"/>
                <w:lang w:eastAsia="ar-SA"/>
              </w:rPr>
              <w:t xml:space="preserve"> rostlin</w:t>
            </w:r>
          </w:p>
        </w:tc>
        <w:tc>
          <w:tcPr>
            <w:tcW w:w="2958" w:type="dxa"/>
            <w:tcBorders>
              <w:top w:val="single" w:sz="4" w:space="0" w:color="auto"/>
              <w:left w:val="single" w:sz="4" w:space="0" w:color="auto"/>
              <w:bottom w:val="single" w:sz="4" w:space="0" w:color="auto"/>
              <w:right w:val="single" w:sz="4" w:space="0" w:color="auto"/>
            </w:tcBorders>
          </w:tcPr>
          <w:p w14:paraId="75EEDFB6" w14:textId="77777777" w:rsidR="003324BE" w:rsidRPr="007C734C" w:rsidRDefault="003324BE" w:rsidP="009B1BC4">
            <w:pPr>
              <w:spacing w:before="60" w:after="60"/>
              <w:rPr>
                <w:rFonts w:cs="Segoe UI"/>
                <w:lang w:eastAsia="ar-SA"/>
              </w:rPr>
            </w:pPr>
            <w:r w:rsidRPr="007C734C">
              <w:rPr>
                <w:rFonts w:cs="Segoe UI"/>
                <w:lang w:eastAsia="ar-SA"/>
              </w:rPr>
              <w:t>lesní hospodářství, zemědělství, biodiverzita, zdraví a hygiena</w:t>
            </w:r>
          </w:p>
        </w:tc>
      </w:tr>
      <w:tr w:rsidR="003324BE" w:rsidRPr="007C734C" w14:paraId="3248FCF8" w14:textId="77777777" w:rsidTr="009B1BC4">
        <w:tc>
          <w:tcPr>
            <w:tcW w:w="6124" w:type="dxa"/>
            <w:tcBorders>
              <w:top w:val="single" w:sz="4" w:space="0" w:color="auto"/>
              <w:left w:val="single" w:sz="4" w:space="0" w:color="auto"/>
              <w:bottom w:val="single" w:sz="4" w:space="0" w:color="auto"/>
              <w:right w:val="single" w:sz="4" w:space="0" w:color="auto"/>
            </w:tcBorders>
            <w:vAlign w:val="center"/>
          </w:tcPr>
          <w:p w14:paraId="47404142" w14:textId="77777777" w:rsidR="003324BE" w:rsidRPr="007C734C" w:rsidRDefault="003324BE" w:rsidP="009B1BC4">
            <w:pPr>
              <w:spacing w:before="60" w:after="60"/>
              <w:rPr>
                <w:rFonts w:cs="Segoe UI"/>
                <w:lang w:eastAsia="ar-SA"/>
              </w:rPr>
            </w:pPr>
            <w:r w:rsidRPr="007C734C">
              <w:rPr>
                <w:rFonts w:cs="Segoe UI"/>
                <w:lang w:eastAsia="ar-SA"/>
              </w:rPr>
              <w:t>Ovlivnění velikosti a kvality výnosů plodin a rozšiřování suchých půdně vlhkostních režimů v nejnižších polohách</w:t>
            </w:r>
          </w:p>
        </w:tc>
        <w:tc>
          <w:tcPr>
            <w:tcW w:w="2958" w:type="dxa"/>
            <w:tcBorders>
              <w:top w:val="single" w:sz="4" w:space="0" w:color="auto"/>
              <w:left w:val="single" w:sz="4" w:space="0" w:color="auto"/>
              <w:bottom w:val="single" w:sz="4" w:space="0" w:color="auto"/>
              <w:right w:val="single" w:sz="4" w:space="0" w:color="auto"/>
            </w:tcBorders>
          </w:tcPr>
          <w:p w14:paraId="0714568C" w14:textId="77777777" w:rsidR="003324BE" w:rsidRPr="007C734C" w:rsidRDefault="003324BE" w:rsidP="009B1BC4">
            <w:pPr>
              <w:spacing w:before="60" w:after="60"/>
              <w:rPr>
                <w:rFonts w:cs="Segoe UI"/>
                <w:lang w:eastAsia="ar-SA"/>
              </w:rPr>
            </w:pPr>
            <w:r w:rsidRPr="007C734C">
              <w:rPr>
                <w:rFonts w:cs="Segoe UI"/>
                <w:lang w:eastAsia="ar-SA"/>
              </w:rPr>
              <w:t>zemědělství</w:t>
            </w:r>
          </w:p>
        </w:tc>
      </w:tr>
      <w:tr w:rsidR="003324BE" w:rsidRPr="007C734C" w14:paraId="794C964A" w14:textId="77777777" w:rsidTr="009B1BC4">
        <w:tc>
          <w:tcPr>
            <w:tcW w:w="6124" w:type="dxa"/>
            <w:tcBorders>
              <w:top w:val="single" w:sz="4" w:space="0" w:color="auto"/>
              <w:left w:val="single" w:sz="4" w:space="0" w:color="auto"/>
              <w:bottom w:val="single" w:sz="4" w:space="0" w:color="auto"/>
              <w:right w:val="single" w:sz="4" w:space="0" w:color="auto"/>
            </w:tcBorders>
            <w:vAlign w:val="center"/>
          </w:tcPr>
          <w:p w14:paraId="351D9434" w14:textId="77777777" w:rsidR="003324BE" w:rsidRPr="007C734C" w:rsidRDefault="003324BE" w:rsidP="009B1BC4">
            <w:pPr>
              <w:spacing w:before="60" w:after="60"/>
              <w:rPr>
                <w:rFonts w:cs="Segoe UI"/>
                <w:lang w:eastAsia="ar-SA"/>
              </w:rPr>
            </w:pPr>
            <w:r w:rsidRPr="007C734C">
              <w:rPr>
                <w:rFonts w:cs="Segoe UI"/>
                <w:lang w:eastAsia="ar-SA"/>
              </w:rPr>
              <w:t>Změna areálu druhů, ekologické stability krajiny, ekologických vazeb a druhové skladby</w:t>
            </w:r>
          </w:p>
        </w:tc>
        <w:tc>
          <w:tcPr>
            <w:tcW w:w="2958" w:type="dxa"/>
            <w:tcBorders>
              <w:top w:val="single" w:sz="4" w:space="0" w:color="auto"/>
              <w:left w:val="single" w:sz="4" w:space="0" w:color="auto"/>
              <w:bottom w:val="single" w:sz="4" w:space="0" w:color="auto"/>
              <w:right w:val="single" w:sz="4" w:space="0" w:color="auto"/>
            </w:tcBorders>
          </w:tcPr>
          <w:p w14:paraId="4ACB6E20" w14:textId="77777777" w:rsidR="003324BE" w:rsidRPr="007C734C" w:rsidRDefault="003324BE" w:rsidP="009B1BC4">
            <w:pPr>
              <w:spacing w:before="60" w:after="60"/>
              <w:rPr>
                <w:rFonts w:cs="Segoe UI"/>
                <w:lang w:eastAsia="ar-SA"/>
              </w:rPr>
            </w:pPr>
            <w:r w:rsidRPr="007C734C">
              <w:rPr>
                <w:rFonts w:cs="Segoe UI"/>
                <w:lang w:eastAsia="ar-SA"/>
              </w:rPr>
              <w:t>lesní hospodářství, biodiverzita</w:t>
            </w:r>
          </w:p>
        </w:tc>
      </w:tr>
      <w:tr w:rsidR="003324BE" w:rsidRPr="007C734C" w14:paraId="61A77ECD" w14:textId="77777777" w:rsidTr="009B1BC4">
        <w:tc>
          <w:tcPr>
            <w:tcW w:w="6124" w:type="dxa"/>
            <w:tcBorders>
              <w:top w:val="single" w:sz="4" w:space="0" w:color="auto"/>
              <w:left w:val="single" w:sz="4" w:space="0" w:color="auto"/>
              <w:bottom w:val="single" w:sz="4" w:space="0" w:color="auto"/>
              <w:right w:val="single" w:sz="4" w:space="0" w:color="auto"/>
            </w:tcBorders>
            <w:vAlign w:val="center"/>
          </w:tcPr>
          <w:p w14:paraId="0A2E9ED4" w14:textId="77777777" w:rsidR="003324BE" w:rsidRPr="007C734C" w:rsidRDefault="003324BE" w:rsidP="009B1BC4">
            <w:pPr>
              <w:spacing w:before="60" w:after="60"/>
              <w:rPr>
                <w:rFonts w:cs="Segoe UI"/>
                <w:lang w:eastAsia="ar-SA"/>
              </w:rPr>
            </w:pPr>
            <w:r w:rsidRPr="007C734C">
              <w:rPr>
                <w:rFonts w:cs="Segoe UI"/>
                <w:lang w:eastAsia="ar-SA"/>
              </w:rPr>
              <w:t>Zvýšení schopnosti šíření nepůvodních invazních druhů</w:t>
            </w:r>
          </w:p>
        </w:tc>
        <w:tc>
          <w:tcPr>
            <w:tcW w:w="2958" w:type="dxa"/>
            <w:tcBorders>
              <w:top w:val="single" w:sz="4" w:space="0" w:color="auto"/>
              <w:left w:val="single" w:sz="4" w:space="0" w:color="auto"/>
              <w:bottom w:val="single" w:sz="4" w:space="0" w:color="auto"/>
              <w:right w:val="single" w:sz="4" w:space="0" w:color="auto"/>
            </w:tcBorders>
          </w:tcPr>
          <w:p w14:paraId="398FEDED" w14:textId="77777777" w:rsidR="003324BE" w:rsidRPr="007C734C" w:rsidRDefault="003324BE" w:rsidP="009B1BC4">
            <w:pPr>
              <w:spacing w:before="60" w:after="60"/>
              <w:rPr>
                <w:rFonts w:cs="Segoe UI"/>
                <w:lang w:eastAsia="ar-SA"/>
              </w:rPr>
            </w:pPr>
            <w:r w:rsidRPr="007C734C">
              <w:rPr>
                <w:rFonts w:cs="Segoe UI"/>
                <w:lang w:eastAsia="ar-SA"/>
              </w:rPr>
              <w:t>lesní hospodářství, biodiverzita, urbanizovaná krajina, zemědělství</w:t>
            </w:r>
          </w:p>
        </w:tc>
      </w:tr>
      <w:tr w:rsidR="003324BE" w:rsidRPr="007C734C" w14:paraId="357AF3BB" w14:textId="77777777" w:rsidTr="009B1BC4">
        <w:tc>
          <w:tcPr>
            <w:tcW w:w="6124" w:type="dxa"/>
            <w:tcBorders>
              <w:top w:val="single" w:sz="4" w:space="0" w:color="auto"/>
              <w:left w:val="single" w:sz="4" w:space="0" w:color="auto"/>
              <w:bottom w:val="single" w:sz="4" w:space="0" w:color="auto"/>
              <w:right w:val="single" w:sz="4" w:space="0" w:color="auto"/>
            </w:tcBorders>
            <w:vAlign w:val="center"/>
          </w:tcPr>
          <w:p w14:paraId="71B87947" w14:textId="77777777" w:rsidR="003324BE" w:rsidRPr="007C734C" w:rsidRDefault="003324BE" w:rsidP="009B1BC4">
            <w:pPr>
              <w:spacing w:before="60" w:after="60"/>
              <w:rPr>
                <w:rFonts w:cs="Segoe UI"/>
                <w:lang w:eastAsia="ar-SA"/>
              </w:rPr>
            </w:pPr>
            <w:r w:rsidRPr="007C734C">
              <w:rPr>
                <w:rFonts w:cs="Segoe UI"/>
                <w:lang w:eastAsia="ar-SA"/>
              </w:rPr>
              <w:t>Ohrožení původních druhů vodních a mokřadních organismů a biotopů</w:t>
            </w:r>
          </w:p>
        </w:tc>
        <w:tc>
          <w:tcPr>
            <w:tcW w:w="2958" w:type="dxa"/>
            <w:tcBorders>
              <w:top w:val="single" w:sz="4" w:space="0" w:color="auto"/>
              <w:left w:val="single" w:sz="4" w:space="0" w:color="auto"/>
              <w:bottom w:val="single" w:sz="4" w:space="0" w:color="auto"/>
              <w:right w:val="single" w:sz="4" w:space="0" w:color="auto"/>
            </w:tcBorders>
          </w:tcPr>
          <w:p w14:paraId="4D118DD5" w14:textId="77777777" w:rsidR="003324BE" w:rsidRPr="007C734C" w:rsidRDefault="003324BE" w:rsidP="009B1BC4">
            <w:pPr>
              <w:spacing w:before="60" w:after="60"/>
              <w:rPr>
                <w:rFonts w:cs="Segoe UI"/>
                <w:lang w:eastAsia="ar-SA"/>
              </w:rPr>
            </w:pPr>
            <w:r w:rsidRPr="007C734C">
              <w:rPr>
                <w:rFonts w:cs="Segoe UI"/>
                <w:lang w:eastAsia="ar-SA"/>
              </w:rPr>
              <w:t>biodiverzita</w:t>
            </w:r>
          </w:p>
        </w:tc>
      </w:tr>
      <w:tr w:rsidR="003324BE" w:rsidRPr="007C734C" w14:paraId="529C164E" w14:textId="77777777" w:rsidTr="009B1BC4">
        <w:tc>
          <w:tcPr>
            <w:tcW w:w="6124" w:type="dxa"/>
            <w:tcBorders>
              <w:top w:val="single" w:sz="4" w:space="0" w:color="auto"/>
              <w:left w:val="single" w:sz="4" w:space="0" w:color="auto"/>
              <w:bottom w:val="single" w:sz="4" w:space="0" w:color="auto"/>
              <w:right w:val="single" w:sz="4" w:space="0" w:color="auto"/>
            </w:tcBorders>
            <w:vAlign w:val="center"/>
          </w:tcPr>
          <w:p w14:paraId="48E50E1F" w14:textId="77777777" w:rsidR="003324BE" w:rsidRPr="007C734C" w:rsidRDefault="003324BE" w:rsidP="009B1BC4">
            <w:pPr>
              <w:spacing w:before="60" w:after="60"/>
              <w:rPr>
                <w:rFonts w:cs="Segoe UI"/>
                <w:lang w:eastAsia="ar-SA"/>
              </w:rPr>
            </w:pPr>
            <w:r w:rsidRPr="007C734C">
              <w:rPr>
                <w:rFonts w:cs="Segoe UI"/>
                <w:lang w:eastAsia="ar-SA"/>
              </w:rPr>
              <w:t xml:space="preserve">Zvýšené nebezpečí poškození </w:t>
            </w:r>
            <w:proofErr w:type="gramStart"/>
            <w:r w:rsidRPr="007C734C">
              <w:rPr>
                <w:rFonts w:cs="Segoe UI"/>
                <w:lang w:eastAsia="ar-SA"/>
              </w:rPr>
              <w:t>organizmu</w:t>
            </w:r>
            <w:proofErr w:type="gramEnd"/>
            <w:r w:rsidRPr="007C734C">
              <w:rPr>
                <w:rFonts w:cs="Segoe UI"/>
                <w:lang w:eastAsia="ar-SA"/>
              </w:rPr>
              <w:t>, zhoršení zdraví, úmrtí nebo poškození majetku</w:t>
            </w:r>
          </w:p>
        </w:tc>
        <w:tc>
          <w:tcPr>
            <w:tcW w:w="2958" w:type="dxa"/>
            <w:tcBorders>
              <w:top w:val="single" w:sz="4" w:space="0" w:color="auto"/>
              <w:left w:val="single" w:sz="4" w:space="0" w:color="auto"/>
              <w:bottom w:val="single" w:sz="4" w:space="0" w:color="auto"/>
              <w:right w:val="single" w:sz="4" w:space="0" w:color="auto"/>
            </w:tcBorders>
          </w:tcPr>
          <w:p w14:paraId="165B9627" w14:textId="77777777" w:rsidR="003324BE" w:rsidRPr="007C734C" w:rsidRDefault="003324BE" w:rsidP="009B1BC4">
            <w:pPr>
              <w:spacing w:before="60" w:after="60"/>
              <w:rPr>
                <w:rFonts w:cs="Segoe UI"/>
                <w:lang w:eastAsia="ar-SA"/>
              </w:rPr>
            </w:pPr>
            <w:r w:rsidRPr="007C734C">
              <w:rPr>
                <w:rFonts w:cs="Segoe UI"/>
                <w:lang w:eastAsia="ar-SA"/>
              </w:rPr>
              <w:t>zdraví a hygiena, urbanizovaná krajina, zemědělství, bezpečnost</w:t>
            </w:r>
          </w:p>
        </w:tc>
      </w:tr>
      <w:tr w:rsidR="003324BE" w:rsidRPr="007C734C" w14:paraId="37224617" w14:textId="77777777" w:rsidTr="009B1BC4">
        <w:tc>
          <w:tcPr>
            <w:tcW w:w="6124" w:type="dxa"/>
            <w:tcBorders>
              <w:top w:val="single" w:sz="4" w:space="0" w:color="auto"/>
              <w:left w:val="single" w:sz="4" w:space="0" w:color="auto"/>
              <w:bottom w:val="single" w:sz="4" w:space="0" w:color="auto"/>
              <w:right w:val="single" w:sz="4" w:space="0" w:color="auto"/>
            </w:tcBorders>
            <w:vAlign w:val="center"/>
          </w:tcPr>
          <w:p w14:paraId="49109AC2" w14:textId="77777777" w:rsidR="003324BE" w:rsidRPr="007C734C" w:rsidRDefault="003324BE" w:rsidP="009B1BC4">
            <w:pPr>
              <w:spacing w:before="60" w:after="60"/>
              <w:rPr>
                <w:rFonts w:cs="Segoe UI"/>
                <w:lang w:eastAsia="ar-SA"/>
              </w:rPr>
            </w:pPr>
            <w:r w:rsidRPr="007C734C">
              <w:rPr>
                <w:rFonts w:cs="Segoe UI"/>
                <w:lang w:eastAsia="ar-SA"/>
              </w:rPr>
              <w:t>Zhoršení kvality ovzduší v sídlech (vlhkost, prašnost, koncentrace přízemního ozónu a aerosolových částic)</w:t>
            </w:r>
          </w:p>
        </w:tc>
        <w:tc>
          <w:tcPr>
            <w:tcW w:w="2958" w:type="dxa"/>
            <w:tcBorders>
              <w:top w:val="single" w:sz="4" w:space="0" w:color="auto"/>
              <w:left w:val="single" w:sz="4" w:space="0" w:color="auto"/>
              <w:bottom w:val="single" w:sz="4" w:space="0" w:color="auto"/>
              <w:right w:val="single" w:sz="4" w:space="0" w:color="auto"/>
            </w:tcBorders>
          </w:tcPr>
          <w:p w14:paraId="1D0DD7F3" w14:textId="77777777" w:rsidR="003324BE" w:rsidRPr="007C734C" w:rsidRDefault="003324BE" w:rsidP="009B1BC4">
            <w:pPr>
              <w:spacing w:before="60" w:after="60"/>
              <w:rPr>
                <w:rFonts w:cs="Segoe UI"/>
                <w:lang w:eastAsia="ar-SA"/>
              </w:rPr>
            </w:pPr>
            <w:r w:rsidRPr="007C734C">
              <w:rPr>
                <w:rFonts w:cs="Segoe UI"/>
                <w:lang w:eastAsia="ar-SA"/>
              </w:rPr>
              <w:t>zdraví a hygiena, urbanizovaná krajina</w:t>
            </w:r>
          </w:p>
        </w:tc>
      </w:tr>
      <w:tr w:rsidR="003324BE" w:rsidRPr="007C734C" w14:paraId="4451E376" w14:textId="77777777" w:rsidTr="009B1BC4">
        <w:tc>
          <w:tcPr>
            <w:tcW w:w="6124" w:type="dxa"/>
            <w:tcBorders>
              <w:top w:val="single" w:sz="4" w:space="0" w:color="auto"/>
              <w:left w:val="single" w:sz="4" w:space="0" w:color="auto"/>
              <w:bottom w:val="single" w:sz="4" w:space="0" w:color="auto"/>
              <w:right w:val="single" w:sz="4" w:space="0" w:color="auto"/>
            </w:tcBorders>
            <w:vAlign w:val="center"/>
          </w:tcPr>
          <w:p w14:paraId="38E7BEC4" w14:textId="77777777" w:rsidR="003324BE" w:rsidRPr="007C734C" w:rsidRDefault="003324BE" w:rsidP="009B1BC4">
            <w:pPr>
              <w:spacing w:before="60" w:after="60"/>
              <w:rPr>
                <w:rFonts w:cs="Segoe UI"/>
                <w:lang w:eastAsia="ar-SA"/>
              </w:rPr>
            </w:pPr>
            <w:r w:rsidRPr="007C734C">
              <w:rPr>
                <w:rFonts w:cs="Segoe UI"/>
                <w:lang w:eastAsia="ar-SA"/>
              </w:rPr>
              <w:t xml:space="preserve">Zvýšení střetů zimního cestovního ruchu s jinými veřejnými zájmy, </w:t>
            </w:r>
            <w:r w:rsidRPr="007C734C">
              <w:rPr>
                <w:rFonts w:cs="Segoe UI"/>
              </w:rPr>
              <w:t>zvýšený tlak na diverzifikaci činností podnikatelů v zimních střediscích</w:t>
            </w:r>
            <w:r w:rsidRPr="007C734C">
              <w:rPr>
                <w:rFonts w:cs="Segoe UI"/>
                <w:lang w:eastAsia="ar-SA"/>
              </w:rPr>
              <w:t xml:space="preserve"> </w:t>
            </w:r>
          </w:p>
        </w:tc>
        <w:tc>
          <w:tcPr>
            <w:tcW w:w="2958" w:type="dxa"/>
            <w:tcBorders>
              <w:top w:val="single" w:sz="4" w:space="0" w:color="auto"/>
              <w:left w:val="single" w:sz="4" w:space="0" w:color="auto"/>
              <w:bottom w:val="single" w:sz="4" w:space="0" w:color="auto"/>
              <w:right w:val="single" w:sz="4" w:space="0" w:color="auto"/>
            </w:tcBorders>
          </w:tcPr>
          <w:p w14:paraId="2D8E39F3" w14:textId="77777777" w:rsidR="003324BE" w:rsidRPr="007C734C" w:rsidRDefault="003324BE" w:rsidP="009B1BC4">
            <w:pPr>
              <w:spacing w:before="60" w:after="60"/>
              <w:rPr>
                <w:rFonts w:cs="Segoe UI"/>
                <w:lang w:eastAsia="ar-SA"/>
              </w:rPr>
            </w:pPr>
            <w:r w:rsidRPr="007C734C">
              <w:rPr>
                <w:rFonts w:cs="Segoe UI"/>
                <w:lang w:eastAsia="ar-SA"/>
              </w:rPr>
              <w:t>cestovní ruch, biodiverzita</w:t>
            </w:r>
          </w:p>
        </w:tc>
      </w:tr>
      <w:tr w:rsidR="003324BE" w:rsidRPr="007C734C" w14:paraId="38F9FE96" w14:textId="77777777" w:rsidTr="009B1BC4">
        <w:tc>
          <w:tcPr>
            <w:tcW w:w="6124" w:type="dxa"/>
            <w:tcBorders>
              <w:top w:val="single" w:sz="4" w:space="0" w:color="auto"/>
              <w:left w:val="single" w:sz="4" w:space="0" w:color="auto"/>
              <w:bottom w:val="single" w:sz="4" w:space="0" w:color="auto"/>
              <w:right w:val="single" w:sz="4" w:space="0" w:color="auto"/>
            </w:tcBorders>
            <w:vAlign w:val="center"/>
          </w:tcPr>
          <w:p w14:paraId="14900AF3" w14:textId="77777777" w:rsidR="003324BE" w:rsidRPr="007C734C" w:rsidRDefault="003324BE" w:rsidP="009B1BC4">
            <w:pPr>
              <w:spacing w:before="60" w:after="60"/>
              <w:rPr>
                <w:rFonts w:cs="Segoe UI"/>
                <w:lang w:eastAsia="ar-SA"/>
              </w:rPr>
            </w:pPr>
            <w:r w:rsidRPr="007C734C">
              <w:rPr>
                <w:rFonts w:cs="Segoe UI"/>
                <w:lang w:eastAsia="ar-SA"/>
              </w:rPr>
              <w:t>Zvýšené riziko poškození nebo zničení flóry v historických zahradách a jiné sídelní zeleně nebo přírodních památek v důsledku sucha</w:t>
            </w:r>
          </w:p>
        </w:tc>
        <w:tc>
          <w:tcPr>
            <w:tcW w:w="2958" w:type="dxa"/>
            <w:tcBorders>
              <w:top w:val="single" w:sz="4" w:space="0" w:color="auto"/>
              <w:left w:val="single" w:sz="4" w:space="0" w:color="auto"/>
              <w:bottom w:val="single" w:sz="4" w:space="0" w:color="auto"/>
              <w:right w:val="single" w:sz="4" w:space="0" w:color="auto"/>
            </w:tcBorders>
          </w:tcPr>
          <w:p w14:paraId="7500C106" w14:textId="77777777" w:rsidR="003324BE" w:rsidRPr="007C734C" w:rsidRDefault="003324BE" w:rsidP="009B1BC4">
            <w:pPr>
              <w:spacing w:before="60" w:after="60"/>
              <w:rPr>
                <w:rFonts w:cs="Segoe UI"/>
                <w:lang w:eastAsia="ar-SA"/>
              </w:rPr>
            </w:pPr>
            <w:r w:rsidRPr="007C734C">
              <w:rPr>
                <w:rFonts w:cs="Segoe UI"/>
                <w:lang w:eastAsia="ar-SA"/>
              </w:rPr>
              <w:t>cestovní ruch, urbanizovaná krajina, kulturní dědictví</w:t>
            </w:r>
          </w:p>
        </w:tc>
      </w:tr>
      <w:tr w:rsidR="003324BE" w:rsidRPr="007C734C" w14:paraId="42AC396E" w14:textId="77777777" w:rsidTr="009B1BC4">
        <w:tc>
          <w:tcPr>
            <w:tcW w:w="6124" w:type="dxa"/>
            <w:tcBorders>
              <w:top w:val="single" w:sz="4" w:space="0" w:color="auto"/>
              <w:left w:val="single" w:sz="4" w:space="0" w:color="auto"/>
              <w:bottom w:val="single" w:sz="4" w:space="0" w:color="auto"/>
              <w:right w:val="single" w:sz="4" w:space="0" w:color="auto"/>
            </w:tcBorders>
            <w:vAlign w:val="center"/>
          </w:tcPr>
          <w:p w14:paraId="69A8A09F" w14:textId="77777777" w:rsidR="003324BE" w:rsidRPr="007C734C" w:rsidRDefault="003324BE" w:rsidP="009B1BC4">
            <w:pPr>
              <w:spacing w:before="60" w:after="60"/>
              <w:rPr>
                <w:rFonts w:cs="Segoe UI"/>
                <w:lang w:eastAsia="ar-SA"/>
              </w:rPr>
            </w:pPr>
            <w:r w:rsidRPr="007C734C">
              <w:rPr>
                <w:rFonts w:cs="Segoe UI"/>
                <w:lang w:eastAsia="ar-SA"/>
              </w:rPr>
              <w:t>Snížení podílu funkční sídelní zeleně, narušení vazeb a zánik prvků v rámci zelené infrastruktury, neplnění ekosystémových služeb</w:t>
            </w:r>
          </w:p>
        </w:tc>
        <w:tc>
          <w:tcPr>
            <w:tcW w:w="2958" w:type="dxa"/>
            <w:tcBorders>
              <w:top w:val="single" w:sz="4" w:space="0" w:color="auto"/>
              <w:left w:val="single" w:sz="4" w:space="0" w:color="auto"/>
              <w:bottom w:val="single" w:sz="4" w:space="0" w:color="auto"/>
              <w:right w:val="single" w:sz="4" w:space="0" w:color="auto"/>
            </w:tcBorders>
          </w:tcPr>
          <w:p w14:paraId="0526F5B1" w14:textId="77777777" w:rsidR="003324BE" w:rsidRPr="007C734C" w:rsidRDefault="003324BE" w:rsidP="009B1BC4">
            <w:pPr>
              <w:spacing w:before="60" w:after="60"/>
              <w:rPr>
                <w:rFonts w:cs="Segoe UI"/>
                <w:lang w:eastAsia="ar-SA"/>
              </w:rPr>
            </w:pPr>
            <w:r w:rsidRPr="007C734C">
              <w:rPr>
                <w:rFonts w:cs="Segoe UI"/>
                <w:lang w:eastAsia="ar-SA"/>
              </w:rPr>
              <w:t>urbanizovaná krajina, zdraví a hygiena, biodiverzita</w:t>
            </w:r>
          </w:p>
        </w:tc>
      </w:tr>
    </w:tbl>
    <w:p w14:paraId="6423F84A" w14:textId="77777777" w:rsidR="003324BE" w:rsidRPr="007C734C" w:rsidRDefault="003324BE" w:rsidP="003324BE">
      <w:pPr>
        <w:rPr>
          <w:rFonts w:cs="Segoe UI"/>
          <w:b/>
        </w:rPr>
      </w:pPr>
    </w:p>
    <w:p w14:paraId="52F92C16" w14:textId="77777777" w:rsidR="003324BE" w:rsidRPr="007C734C" w:rsidRDefault="003324BE" w:rsidP="003324BE">
      <w:pPr>
        <w:numPr>
          <w:ilvl w:val="0"/>
          <w:numId w:val="10"/>
        </w:numPr>
        <w:rPr>
          <w:rFonts w:cs="Segoe UI"/>
          <w:b/>
        </w:rPr>
      </w:pPr>
      <w:r w:rsidRPr="007C734C">
        <w:rPr>
          <w:rFonts w:cs="Segoe UI"/>
          <w:b/>
        </w:rPr>
        <w:t>Povodně a přívalové povodně</w:t>
      </w:r>
    </w:p>
    <w:tbl>
      <w:tblPr>
        <w:tblW w:w="9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4"/>
        <w:gridCol w:w="2958"/>
      </w:tblGrid>
      <w:tr w:rsidR="003324BE" w:rsidRPr="007C734C" w14:paraId="7509CEEB" w14:textId="77777777" w:rsidTr="009B1BC4">
        <w:tc>
          <w:tcPr>
            <w:tcW w:w="6124" w:type="dxa"/>
            <w:tcMar>
              <w:top w:w="28" w:type="dxa"/>
              <w:left w:w="28" w:type="dxa"/>
              <w:bottom w:w="28" w:type="dxa"/>
              <w:right w:w="28" w:type="dxa"/>
            </w:tcMar>
            <w:vAlign w:val="center"/>
          </w:tcPr>
          <w:p w14:paraId="3C1D35D6" w14:textId="77777777" w:rsidR="003324BE" w:rsidRPr="007C734C" w:rsidRDefault="003324BE" w:rsidP="009B1BC4">
            <w:pPr>
              <w:spacing w:before="60" w:after="60"/>
              <w:rPr>
                <w:rFonts w:cs="Segoe UI"/>
                <w:lang w:eastAsia="ar-SA"/>
              </w:rPr>
            </w:pPr>
            <w:r w:rsidRPr="007C734C">
              <w:rPr>
                <w:rFonts w:cs="Segoe UI"/>
                <w:lang w:eastAsia="ar-SA"/>
              </w:rPr>
              <w:lastRenderedPageBreak/>
              <w:t>Ohrožení lidských životů, zdraví a majetku obyvatel, psychický a fyzický stres, ohrožení zdraví při likvidaci povodňových škod a šíření nemocí po povodni</w:t>
            </w:r>
          </w:p>
        </w:tc>
        <w:tc>
          <w:tcPr>
            <w:tcW w:w="2958" w:type="dxa"/>
          </w:tcPr>
          <w:p w14:paraId="47A73785" w14:textId="77777777" w:rsidR="003324BE" w:rsidRPr="007C734C" w:rsidRDefault="003324BE" w:rsidP="009B1BC4">
            <w:pPr>
              <w:spacing w:before="60" w:after="60"/>
              <w:rPr>
                <w:rFonts w:cs="Segoe UI"/>
                <w:lang w:eastAsia="ar-SA"/>
              </w:rPr>
            </w:pPr>
            <w:r w:rsidRPr="007C734C">
              <w:rPr>
                <w:rFonts w:cs="Segoe UI"/>
                <w:bCs/>
                <w:lang w:eastAsia="ar-SA"/>
              </w:rPr>
              <w:t>zdraví a hygiena, urbanizovaná krajina, mimořádné události, bezpečnost, ces</w:t>
            </w:r>
            <w:r>
              <w:rPr>
                <w:rFonts w:cs="Segoe UI"/>
                <w:bCs/>
                <w:lang w:eastAsia="ar-SA"/>
              </w:rPr>
              <w:t>tovní ruch</w:t>
            </w:r>
          </w:p>
        </w:tc>
      </w:tr>
      <w:tr w:rsidR="003324BE" w:rsidRPr="007C734C" w14:paraId="7F9D5B15" w14:textId="77777777" w:rsidTr="009B1BC4">
        <w:tc>
          <w:tcPr>
            <w:tcW w:w="6124" w:type="dxa"/>
            <w:tcMar>
              <w:top w:w="28" w:type="dxa"/>
              <w:left w:w="28" w:type="dxa"/>
              <w:bottom w:w="28" w:type="dxa"/>
              <w:right w:w="28" w:type="dxa"/>
            </w:tcMar>
            <w:vAlign w:val="center"/>
          </w:tcPr>
          <w:p w14:paraId="1453F2E7" w14:textId="77777777" w:rsidR="003324BE" w:rsidRPr="007C734C" w:rsidRDefault="003324BE" w:rsidP="009B1BC4">
            <w:pPr>
              <w:spacing w:before="60" w:after="60"/>
              <w:rPr>
                <w:rFonts w:cs="Segoe UI"/>
                <w:lang w:eastAsia="ar-SA"/>
              </w:rPr>
            </w:pPr>
            <w:r w:rsidRPr="007C734C">
              <w:rPr>
                <w:rFonts w:cs="Segoe UI"/>
                <w:lang w:eastAsia="ar-SA"/>
              </w:rPr>
              <w:t>Ohrožení funkčnosti kritické infrastruktury (zejména energetika, zásobování vodou)</w:t>
            </w:r>
          </w:p>
        </w:tc>
        <w:tc>
          <w:tcPr>
            <w:tcW w:w="2958" w:type="dxa"/>
          </w:tcPr>
          <w:p w14:paraId="739A4030" w14:textId="77777777" w:rsidR="003324BE" w:rsidRPr="007C734C" w:rsidRDefault="003324BE" w:rsidP="009B1BC4">
            <w:pPr>
              <w:spacing w:before="60" w:after="60"/>
              <w:rPr>
                <w:rFonts w:cs="Segoe UI"/>
                <w:lang w:eastAsia="ar-SA"/>
              </w:rPr>
            </w:pPr>
            <w:r w:rsidRPr="007C734C">
              <w:rPr>
                <w:rFonts w:cs="Segoe UI"/>
                <w:lang w:eastAsia="ar-SA"/>
              </w:rPr>
              <w:t>průmysl a energetika, zdraví a hygiena, bez</w:t>
            </w:r>
            <w:r>
              <w:rPr>
                <w:rFonts w:cs="Segoe UI"/>
                <w:lang w:eastAsia="ar-SA"/>
              </w:rPr>
              <w:t>pečnost</w:t>
            </w:r>
          </w:p>
        </w:tc>
      </w:tr>
      <w:tr w:rsidR="003324BE" w:rsidRPr="007C734C" w14:paraId="2B09FA6D" w14:textId="77777777" w:rsidTr="009B1BC4">
        <w:tc>
          <w:tcPr>
            <w:tcW w:w="6124" w:type="dxa"/>
            <w:tcMar>
              <w:top w:w="28" w:type="dxa"/>
              <w:left w:w="28" w:type="dxa"/>
              <w:bottom w:w="28" w:type="dxa"/>
              <w:right w:w="28" w:type="dxa"/>
            </w:tcMar>
            <w:vAlign w:val="center"/>
          </w:tcPr>
          <w:p w14:paraId="52BC3953" w14:textId="77777777" w:rsidR="003324BE" w:rsidRPr="007C734C" w:rsidRDefault="003324BE" w:rsidP="009B1BC4">
            <w:pPr>
              <w:spacing w:before="60" w:after="60"/>
              <w:rPr>
                <w:rFonts w:cs="Segoe UI"/>
                <w:lang w:eastAsia="ar-SA"/>
              </w:rPr>
            </w:pPr>
            <w:r w:rsidRPr="007C734C">
              <w:rPr>
                <w:rFonts w:cs="Segoe UI"/>
                <w:lang w:eastAsia="ar-SA"/>
              </w:rPr>
              <w:t>Škody na hospodářství a veřejné infrastruktuře, přerušení služeb a dodávek (dopravní a technické sítě)</w:t>
            </w:r>
          </w:p>
        </w:tc>
        <w:tc>
          <w:tcPr>
            <w:tcW w:w="2958" w:type="dxa"/>
          </w:tcPr>
          <w:p w14:paraId="19F0195E" w14:textId="77777777" w:rsidR="003324BE" w:rsidRPr="007C734C" w:rsidRDefault="003324BE" w:rsidP="009B1BC4">
            <w:pPr>
              <w:spacing w:before="60" w:after="60"/>
              <w:rPr>
                <w:rFonts w:cs="Segoe UI"/>
                <w:lang w:eastAsia="ar-SA"/>
              </w:rPr>
            </w:pPr>
            <w:r w:rsidRPr="007C734C">
              <w:rPr>
                <w:rFonts w:cs="Segoe UI"/>
                <w:bCs/>
                <w:lang w:eastAsia="ar-SA"/>
              </w:rPr>
              <w:t>průmysl a energetika, urbanizovaná krajina, doprava, cestovní ruch</w:t>
            </w:r>
          </w:p>
        </w:tc>
      </w:tr>
      <w:tr w:rsidR="003324BE" w:rsidRPr="007C734C" w14:paraId="28C3CFF4" w14:textId="77777777" w:rsidTr="009B1BC4">
        <w:tc>
          <w:tcPr>
            <w:tcW w:w="6124" w:type="dxa"/>
            <w:tcMar>
              <w:top w:w="28" w:type="dxa"/>
              <w:left w:w="28" w:type="dxa"/>
              <w:bottom w:w="28" w:type="dxa"/>
              <w:right w:w="28" w:type="dxa"/>
            </w:tcMar>
            <w:vAlign w:val="center"/>
          </w:tcPr>
          <w:p w14:paraId="38D8E1D1" w14:textId="77777777" w:rsidR="003324BE" w:rsidRPr="007C734C" w:rsidRDefault="003324BE" w:rsidP="009B1BC4">
            <w:pPr>
              <w:spacing w:before="60" w:after="60"/>
              <w:rPr>
                <w:rFonts w:cs="Segoe UI"/>
                <w:lang w:eastAsia="ar-SA"/>
              </w:rPr>
            </w:pPr>
            <w:r w:rsidRPr="007C734C">
              <w:rPr>
                <w:rFonts w:cs="Segoe UI"/>
                <w:lang w:eastAsia="ar-SA"/>
              </w:rPr>
              <w:t xml:space="preserve">Ohrožení vodohospodářské infrastruktury, zvýšení nákladů na údržbu a likvidaci škod, kontaminace zdrojů pitné vody </w:t>
            </w:r>
          </w:p>
        </w:tc>
        <w:tc>
          <w:tcPr>
            <w:tcW w:w="2958" w:type="dxa"/>
          </w:tcPr>
          <w:p w14:paraId="735BEDEF" w14:textId="77777777" w:rsidR="003324BE" w:rsidRPr="007C734C" w:rsidRDefault="003324BE" w:rsidP="009B1BC4">
            <w:pPr>
              <w:spacing w:before="60" w:after="60"/>
              <w:rPr>
                <w:rFonts w:cs="Segoe UI"/>
                <w:lang w:eastAsia="ar-SA"/>
              </w:rPr>
            </w:pPr>
            <w:r w:rsidRPr="007C734C">
              <w:rPr>
                <w:rFonts w:cs="Segoe UI"/>
                <w:lang w:eastAsia="ar-SA"/>
              </w:rPr>
              <w:t>vodní hospodářství</w:t>
            </w:r>
          </w:p>
        </w:tc>
      </w:tr>
      <w:tr w:rsidR="003324BE" w:rsidRPr="007C734C" w14:paraId="5B24A937" w14:textId="77777777" w:rsidTr="009B1BC4">
        <w:tc>
          <w:tcPr>
            <w:tcW w:w="6124" w:type="dxa"/>
            <w:tcMar>
              <w:top w:w="28" w:type="dxa"/>
              <w:left w:w="28" w:type="dxa"/>
              <w:bottom w:w="28" w:type="dxa"/>
              <w:right w:w="28" w:type="dxa"/>
            </w:tcMar>
            <w:vAlign w:val="center"/>
          </w:tcPr>
          <w:p w14:paraId="7B0D8D4B" w14:textId="77777777" w:rsidR="003324BE" w:rsidRPr="007C734C" w:rsidRDefault="003324BE" w:rsidP="009B1BC4">
            <w:pPr>
              <w:spacing w:before="60" w:after="60"/>
              <w:rPr>
                <w:rFonts w:cs="Segoe UI"/>
                <w:lang w:eastAsia="ar-SA"/>
              </w:rPr>
            </w:pPr>
            <w:r w:rsidRPr="007C734C">
              <w:rPr>
                <w:rFonts w:cs="Segoe UI"/>
                <w:lang w:eastAsia="ar-SA"/>
              </w:rPr>
              <w:t>Riziko eroze a odnosu půdy na svažitých pozemcích bez patřičných protierozních opatření, riziko vyplavování živin z půdy</w:t>
            </w:r>
          </w:p>
        </w:tc>
        <w:tc>
          <w:tcPr>
            <w:tcW w:w="2958" w:type="dxa"/>
          </w:tcPr>
          <w:p w14:paraId="51F2654A" w14:textId="77777777" w:rsidR="003324BE" w:rsidRPr="007C734C" w:rsidRDefault="003324BE" w:rsidP="009B1BC4">
            <w:pPr>
              <w:spacing w:before="60" w:after="60"/>
              <w:rPr>
                <w:rFonts w:cs="Segoe UI"/>
                <w:lang w:eastAsia="ar-SA"/>
              </w:rPr>
            </w:pPr>
            <w:r w:rsidRPr="007C734C">
              <w:rPr>
                <w:rFonts w:cs="Segoe UI"/>
                <w:bCs/>
                <w:lang w:eastAsia="ar-SA"/>
              </w:rPr>
              <w:t>lesní hospodářství, zemědělství, urbanizovaná krajina</w:t>
            </w:r>
          </w:p>
        </w:tc>
      </w:tr>
      <w:tr w:rsidR="003324BE" w:rsidRPr="007C734C" w14:paraId="7D87407D" w14:textId="77777777" w:rsidTr="009B1BC4">
        <w:tc>
          <w:tcPr>
            <w:tcW w:w="6124" w:type="dxa"/>
            <w:tcMar>
              <w:top w:w="28" w:type="dxa"/>
              <w:left w:w="28" w:type="dxa"/>
              <w:bottom w:w="28" w:type="dxa"/>
              <w:right w:w="28" w:type="dxa"/>
            </w:tcMar>
            <w:vAlign w:val="center"/>
          </w:tcPr>
          <w:p w14:paraId="287C7AF3" w14:textId="77777777" w:rsidR="003324BE" w:rsidRPr="007C734C" w:rsidRDefault="003324BE" w:rsidP="009B1BC4">
            <w:pPr>
              <w:spacing w:before="60" w:after="60"/>
              <w:rPr>
                <w:rFonts w:cs="Segoe UI"/>
                <w:bCs/>
                <w:lang w:eastAsia="ar-SA"/>
              </w:rPr>
            </w:pPr>
            <w:r w:rsidRPr="007C734C">
              <w:rPr>
                <w:rFonts w:cs="Segoe UI"/>
                <w:lang w:eastAsia="cs-CZ"/>
              </w:rPr>
              <w:t>Zmenšení jarních povodní jako zdroje pro plnění nádrží a mělkých podzemních vod</w:t>
            </w:r>
          </w:p>
        </w:tc>
        <w:tc>
          <w:tcPr>
            <w:tcW w:w="2958" w:type="dxa"/>
          </w:tcPr>
          <w:p w14:paraId="4A857932" w14:textId="77777777" w:rsidR="003324BE" w:rsidRPr="007C734C" w:rsidRDefault="003324BE" w:rsidP="009B1BC4">
            <w:pPr>
              <w:spacing w:before="60" w:after="60"/>
              <w:rPr>
                <w:rFonts w:cs="Segoe UI"/>
                <w:lang w:eastAsia="ar-SA"/>
              </w:rPr>
            </w:pPr>
            <w:r w:rsidRPr="007C734C">
              <w:rPr>
                <w:rFonts w:cs="Segoe UI"/>
                <w:lang w:eastAsia="ar-SA"/>
              </w:rPr>
              <w:t>vodní hospodářství</w:t>
            </w:r>
          </w:p>
        </w:tc>
      </w:tr>
      <w:tr w:rsidR="003324BE" w:rsidRPr="007C734C" w14:paraId="5B0812A1" w14:textId="77777777" w:rsidTr="009B1BC4">
        <w:tc>
          <w:tcPr>
            <w:tcW w:w="6124" w:type="dxa"/>
            <w:tcMar>
              <w:top w:w="28" w:type="dxa"/>
              <w:left w:w="28" w:type="dxa"/>
              <w:bottom w:w="28" w:type="dxa"/>
              <w:right w:w="28" w:type="dxa"/>
            </w:tcMar>
            <w:vAlign w:val="center"/>
          </w:tcPr>
          <w:p w14:paraId="48C1E6A2" w14:textId="77777777" w:rsidR="003324BE" w:rsidRPr="007C734C" w:rsidRDefault="003324BE" w:rsidP="009B1BC4">
            <w:pPr>
              <w:spacing w:before="60" w:after="60"/>
              <w:rPr>
                <w:rFonts w:cs="Segoe UI"/>
                <w:lang w:eastAsia="ar-SA"/>
              </w:rPr>
            </w:pPr>
            <w:r w:rsidRPr="007C734C">
              <w:rPr>
                <w:rFonts w:cs="Segoe UI"/>
                <w:lang w:eastAsia="ar-SA"/>
              </w:rPr>
              <w:t>Poškození porostů v důsledku krátkodobého i dlouhodobého zaplavení pozemků a snížení přístupnosti pozemků s dopady na produkci.</w:t>
            </w:r>
          </w:p>
        </w:tc>
        <w:tc>
          <w:tcPr>
            <w:tcW w:w="2958" w:type="dxa"/>
          </w:tcPr>
          <w:p w14:paraId="51B9ABFE" w14:textId="77777777" w:rsidR="003324BE" w:rsidRPr="007C734C" w:rsidRDefault="003324BE" w:rsidP="009B1BC4">
            <w:pPr>
              <w:spacing w:before="60" w:after="60"/>
              <w:rPr>
                <w:rFonts w:cs="Segoe UI"/>
                <w:lang w:eastAsia="ar-SA"/>
              </w:rPr>
            </w:pPr>
            <w:r w:rsidRPr="007C734C">
              <w:rPr>
                <w:rFonts w:cs="Segoe UI"/>
                <w:lang w:eastAsia="ar-SA"/>
              </w:rPr>
              <w:t>zemědělství</w:t>
            </w:r>
          </w:p>
        </w:tc>
      </w:tr>
      <w:tr w:rsidR="003324BE" w:rsidRPr="007C734C" w14:paraId="6636DAEA" w14:textId="77777777" w:rsidTr="009B1BC4">
        <w:tc>
          <w:tcPr>
            <w:tcW w:w="6124" w:type="dxa"/>
            <w:tcMar>
              <w:top w:w="28" w:type="dxa"/>
              <w:left w:w="28" w:type="dxa"/>
              <w:bottom w:w="28" w:type="dxa"/>
              <w:right w:w="28" w:type="dxa"/>
            </w:tcMar>
            <w:vAlign w:val="center"/>
          </w:tcPr>
          <w:p w14:paraId="5FBF7EC8" w14:textId="77777777" w:rsidR="003324BE" w:rsidRPr="007C734C" w:rsidRDefault="003324BE" w:rsidP="009B1BC4">
            <w:pPr>
              <w:spacing w:before="60" w:after="60"/>
              <w:rPr>
                <w:rFonts w:cs="Segoe UI"/>
                <w:lang w:eastAsia="ar-SA"/>
              </w:rPr>
            </w:pPr>
            <w:r w:rsidRPr="007C734C">
              <w:rPr>
                <w:rFonts w:cs="Segoe UI"/>
                <w:lang w:eastAsia="ar-SA"/>
              </w:rPr>
              <w:t>Ohrožení ekosystémů a jakosti vod a půdy při úniku nebezpečných chemických látek a erozním splachu</w:t>
            </w:r>
          </w:p>
        </w:tc>
        <w:tc>
          <w:tcPr>
            <w:tcW w:w="2958" w:type="dxa"/>
          </w:tcPr>
          <w:p w14:paraId="506FA5C2" w14:textId="77777777" w:rsidR="003324BE" w:rsidRPr="007C734C" w:rsidRDefault="003324BE" w:rsidP="009B1BC4">
            <w:pPr>
              <w:spacing w:before="60" w:after="60"/>
              <w:rPr>
                <w:rFonts w:cs="Segoe UI"/>
                <w:lang w:eastAsia="ar-SA"/>
              </w:rPr>
            </w:pPr>
            <w:r w:rsidRPr="007C734C">
              <w:rPr>
                <w:rFonts w:cs="Segoe UI"/>
                <w:lang w:eastAsia="ar-SA"/>
              </w:rPr>
              <w:t>vodní hospodářství biodiverzita, zdraví a hygiena, cestovní ruch</w:t>
            </w:r>
          </w:p>
        </w:tc>
      </w:tr>
    </w:tbl>
    <w:p w14:paraId="6179423C" w14:textId="77777777" w:rsidR="003324BE" w:rsidRPr="007C734C" w:rsidRDefault="003324BE" w:rsidP="003324BE">
      <w:pPr>
        <w:rPr>
          <w:rFonts w:cs="Segoe UI"/>
          <w:b/>
        </w:rPr>
      </w:pPr>
    </w:p>
    <w:p w14:paraId="03EEE1F9" w14:textId="77777777" w:rsidR="003324BE" w:rsidRPr="007C734C" w:rsidRDefault="003324BE" w:rsidP="003324BE">
      <w:pPr>
        <w:keepNext/>
        <w:numPr>
          <w:ilvl w:val="0"/>
          <w:numId w:val="10"/>
        </w:numPr>
        <w:ind w:left="1423" w:hanging="357"/>
        <w:rPr>
          <w:rFonts w:cs="Segoe UI"/>
          <w:b/>
        </w:rPr>
      </w:pPr>
      <w:r w:rsidRPr="007C734C">
        <w:rPr>
          <w:rFonts w:cs="Segoe UI"/>
          <w:b/>
        </w:rPr>
        <w:t>Vydatné srážky</w:t>
      </w:r>
    </w:p>
    <w:tbl>
      <w:tblPr>
        <w:tblW w:w="9082"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4"/>
        <w:gridCol w:w="2958"/>
      </w:tblGrid>
      <w:tr w:rsidR="003324BE" w:rsidRPr="007C734C" w14:paraId="39F3F810" w14:textId="77777777" w:rsidTr="009B1BC4">
        <w:tc>
          <w:tcPr>
            <w:tcW w:w="6124" w:type="dxa"/>
            <w:tcMar>
              <w:top w:w="28" w:type="dxa"/>
              <w:left w:w="28" w:type="dxa"/>
              <w:bottom w:w="28" w:type="dxa"/>
              <w:right w:w="28" w:type="dxa"/>
            </w:tcMar>
            <w:vAlign w:val="center"/>
          </w:tcPr>
          <w:p w14:paraId="7E5FCFB1" w14:textId="77777777" w:rsidR="003324BE" w:rsidRPr="007C734C" w:rsidRDefault="003324BE" w:rsidP="009B1BC4">
            <w:pPr>
              <w:spacing w:before="60" w:after="60"/>
              <w:rPr>
                <w:rFonts w:cs="Segoe UI"/>
                <w:lang w:eastAsia="cs-CZ"/>
              </w:rPr>
            </w:pPr>
            <w:r w:rsidRPr="007C734C">
              <w:rPr>
                <w:rFonts w:cs="Segoe UI"/>
                <w:lang w:eastAsia="cs-CZ"/>
              </w:rPr>
              <w:t xml:space="preserve">Ohrožení funkčnosti kritické infrastruktury (zejména energetika) </w:t>
            </w:r>
          </w:p>
        </w:tc>
        <w:tc>
          <w:tcPr>
            <w:tcW w:w="2958" w:type="dxa"/>
          </w:tcPr>
          <w:p w14:paraId="3CAFA905" w14:textId="77777777" w:rsidR="003324BE" w:rsidRPr="007C734C" w:rsidRDefault="003324BE" w:rsidP="009B1BC4">
            <w:pPr>
              <w:spacing w:before="60" w:after="60"/>
              <w:rPr>
                <w:rFonts w:cs="Segoe UI"/>
                <w:lang w:eastAsia="cs-CZ"/>
              </w:rPr>
            </w:pPr>
            <w:r w:rsidRPr="007C734C">
              <w:rPr>
                <w:rFonts w:cs="Segoe UI"/>
                <w:lang w:eastAsia="cs-CZ"/>
              </w:rPr>
              <w:t>průmysl a energetika, bezpečnost</w:t>
            </w:r>
          </w:p>
        </w:tc>
      </w:tr>
      <w:tr w:rsidR="003324BE" w:rsidRPr="007C734C" w14:paraId="3920E30A" w14:textId="77777777" w:rsidTr="009B1BC4">
        <w:tc>
          <w:tcPr>
            <w:tcW w:w="6124" w:type="dxa"/>
            <w:tcMar>
              <w:top w:w="28" w:type="dxa"/>
              <w:left w:w="28" w:type="dxa"/>
              <w:bottom w:w="28" w:type="dxa"/>
              <w:right w:w="28" w:type="dxa"/>
            </w:tcMar>
            <w:vAlign w:val="center"/>
          </w:tcPr>
          <w:p w14:paraId="5F805015" w14:textId="77777777" w:rsidR="003324BE" w:rsidRPr="007C734C" w:rsidRDefault="003324BE" w:rsidP="009B1BC4">
            <w:pPr>
              <w:spacing w:before="60" w:after="60"/>
              <w:rPr>
                <w:rFonts w:cs="Segoe UI"/>
                <w:lang w:eastAsia="cs-CZ"/>
              </w:rPr>
            </w:pPr>
            <w:r w:rsidRPr="007C734C">
              <w:rPr>
                <w:rFonts w:cs="Segoe UI"/>
                <w:lang w:eastAsia="cs-CZ"/>
              </w:rPr>
              <w:t>Ohrožení infrastruktury v intravilánu (stokové sítě, omezení zásobování pitnou vodou)</w:t>
            </w:r>
          </w:p>
        </w:tc>
        <w:tc>
          <w:tcPr>
            <w:tcW w:w="2958" w:type="dxa"/>
          </w:tcPr>
          <w:p w14:paraId="588D2067" w14:textId="77777777" w:rsidR="003324BE" w:rsidRPr="007C734C" w:rsidRDefault="003324BE" w:rsidP="009B1BC4">
            <w:pPr>
              <w:spacing w:before="60" w:after="60"/>
              <w:rPr>
                <w:rFonts w:cs="Segoe UI"/>
                <w:lang w:eastAsia="cs-CZ"/>
              </w:rPr>
            </w:pPr>
            <w:r w:rsidRPr="007C734C">
              <w:rPr>
                <w:rFonts w:cs="Segoe UI"/>
                <w:lang w:eastAsia="cs-CZ"/>
              </w:rPr>
              <w:t>vodní hospodářství urbanizovaná krajina, bezpečnost</w:t>
            </w:r>
          </w:p>
        </w:tc>
      </w:tr>
      <w:tr w:rsidR="003324BE" w:rsidRPr="007C734C" w14:paraId="71B5590F" w14:textId="77777777" w:rsidTr="009B1BC4">
        <w:tc>
          <w:tcPr>
            <w:tcW w:w="6124" w:type="dxa"/>
            <w:tcMar>
              <w:top w:w="28" w:type="dxa"/>
              <w:left w:w="28" w:type="dxa"/>
              <w:bottom w:w="28" w:type="dxa"/>
              <w:right w:w="28" w:type="dxa"/>
            </w:tcMar>
            <w:vAlign w:val="center"/>
          </w:tcPr>
          <w:p w14:paraId="3DB2C562" w14:textId="77777777" w:rsidR="003324BE" w:rsidRPr="007C734C" w:rsidRDefault="003324BE" w:rsidP="009B1BC4">
            <w:pPr>
              <w:spacing w:before="60" w:after="60"/>
              <w:rPr>
                <w:rFonts w:cs="Segoe UI"/>
                <w:lang w:eastAsia="cs-CZ"/>
              </w:rPr>
            </w:pPr>
            <w:r w:rsidRPr="007C734C">
              <w:rPr>
                <w:rFonts w:cs="Segoe UI"/>
                <w:lang w:eastAsia="cs-CZ"/>
              </w:rPr>
              <w:t>Ohrožení dopravní infrastruktury (silniční, letecká, železniční)</w:t>
            </w:r>
          </w:p>
        </w:tc>
        <w:tc>
          <w:tcPr>
            <w:tcW w:w="2958" w:type="dxa"/>
          </w:tcPr>
          <w:p w14:paraId="0E4B16C6" w14:textId="77777777" w:rsidR="003324BE" w:rsidRPr="007C734C" w:rsidRDefault="003324BE" w:rsidP="009B1BC4">
            <w:pPr>
              <w:spacing w:before="60" w:after="60"/>
              <w:rPr>
                <w:rFonts w:cs="Segoe UI"/>
                <w:lang w:eastAsia="cs-CZ"/>
              </w:rPr>
            </w:pPr>
            <w:r w:rsidRPr="007C734C">
              <w:rPr>
                <w:rFonts w:cs="Segoe UI"/>
                <w:lang w:eastAsia="cs-CZ"/>
              </w:rPr>
              <w:t>doprava, bezpečnost, cestovní ruch</w:t>
            </w:r>
          </w:p>
        </w:tc>
      </w:tr>
      <w:tr w:rsidR="003324BE" w:rsidRPr="007C734C" w14:paraId="5D1F22DF" w14:textId="77777777" w:rsidTr="009B1BC4">
        <w:tc>
          <w:tcPr>
            <w:tcW w:w="612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552677F4" w14:textId="77777777" w:rsidR="003324BE" w:rsidRPr="007C734C" w:rsidRDefault="003324BE" w:rsidP="009B1BC4">
            <w:pPr>
              <w:spacing w:before="60" w:after="60"/>
              <w:rPr>
                <w:rFonts w:cs="Segoe UI"/>
                <w:lang w:eastAsia="cs-CZ"/>
              </w:rPr>
            </w:pPr>
            <w:r w:rsidRPr="007C734C">
              <w:rPr>
                <w:rFonts w:cs="Segoe UI"/>
                <w:lang w:eastAsia="cs-CZ"/>
              </w:rPr>
              <w:t>Zvýšené nebezpečí zaplavení objektů (níže položených prostor) a ohrožení osob proudící vodou</w:t>
            </w:r>
          </w:p>
        </w:tc>
        <w:tc>
          <w:tcPr>
            <w:tcW w:w="2958" w:type="dxa"/>
            <w:tcBorders>
              <w:top w:val="single" w:sz="4" w:space="0" w:color="auto"/>
              <w:left w:val="single" w:sz="4" w:space="0" w:color="auto"/>
              <w:bottom w:val="single" w:sz="4" w:space="0" w:color="auto"/>
              <w:right w:val="single" w:sz="4" w:space="0" w:color="auto"/>
            </w:tcBorders>
          </w:tcPr>
          <w:p w14:paraId="3FD4ADDF" w14:textId="77777777" w:rsidR="003324BE" w:rsidRPr="007C734C" w:rsidRDefault="003324BE" w:rsidP="009B1BC4">
            <w:pPr>
              <w:spacing w:before="60" w:after="60"/>
              <w:rPr>
                <w:rFonts w:cs="Segoe UI"/>
                <w:lang w:eastAsia="cs-CZ"/>
              </w:rPr>
            </w:pPr>
            <w:r w:rsidRPr="007C734C">
              <w:rPr>
                <w:rFonts w:cs="Segoe UI"/>
                <w:lang w:eastAsia="cs-CZ"/>
              </w:rPr>
              <w:t>cestovní ruch, urbanizovaná krajina</w:t>
            </w:r>
          </w:p>
        </w:tc>
      </w:tr>
      <w:tr w:rsidR="003324BE" w:rsidRPr="007C734C" w14:paraId="26C21E72" w14:textId="77777777" w:rsidTr="009B1BC4">
        <w:tc>
          <w:tcPr>
            <w:tcW w:w="612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0E899D35" w14:textId="77777777" w:rsidR="003324BE" w:rsidRPr="007C734C" w:rsidRDefault="003324BE" w:rsidP="009B1BC4">
            <w:pPr>
              <w:spacing w:before="60" w:after="60"/>
              <w:rPr>
                <w:rFonts w:cs="Segoe UI"/>
                <w:lang w:eastAsia="cs-CZ"/>
              </w:rPr>
            </w:pPr>
            <w:r w:rsidRPr="007C734C">
              <w:rPr>
                <w:rFonts w:cs="Segoe UI"/>
                <w:lang w:eastAsia="cs-CZ"/>
              </w:rPr>
              <w:t>Ohrožení obytných a veřejných budov</w:t>
            </w:r>
          </w:p>
        </w:tc>
        <w:tc>
          <w:tcPr>
            <w:tcW w:w="2958" w:type="dxa"/>
            <w:tcBorders>
              <w:top w:val="single" w:sz="4" w:space="0" w:color="auto"/>
              <w:left w:val="single" w:sz="4" w:space="0" w:color="auto"/>
              <w:bottom w:val="single" w:sz="4" w:space="0" w:color="auto"/>
              <w:right w:val="single" w:sz="4" w:space="0" w:color="auto"/>
            </w:tcBorders>
          </w:tcPr>
          <w:p w14:paraId="5060A5B6" w14:textId="77777777" w:rsidR="003324BE" w:rsidRPr="007C734C" w:rsidRDefault="003324BE" w:rsidP="009B1BC4">
            <w:pPr>
              <w:spacing w:before="60" w:after="60"/>
              <w:rPr>
                <w:rFonts w:cs="Segoe UI"/>
                <w:lang w:eastAsia="cs-CZ"/>
              </w:rPr>
            </w:pPr>
            <w:r w:rsidRPr="007C734C">
              <w:rPr>
                <w:rFonts w:cs="Segoe UI"/>
                <w:lang w:eastAsia="cs-CZ"/>
              </w:rPr>
              <w:t>bezpečnost</w:t>
            </w:r>
          </w:p>
        </w:tc>
      </w:tr>
      <w:tr w:rsidR="003324BE" w:rsidRPr="007C734C" w14:paraId="7CCE5CE2" w14:textId="77777777" w:rsidTr="009B1BC4">
        <w:tc>
          <w:tcPr>
            <w:tcW w:w="612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0016C167" w14:textId="77777777" w:rsidR="003324BE" w:rsidRPr="007C734C" w:rsidRDefault="003324BE" w:rsidP="009B1BC4">
            <w:pPr>
              <w:spacing w:before="60" w:after="60"/>
              <w:rPr>
                <w:rFonts w:cs="Segoe UI"/>
                <w:lang w:eastAsia="cs-CZ"/>
              </w:rPr>
            </w:pPr>
            <w:r w:rsidRPr="007C734C">
              <w:rPr>
                <w:rFonts w:cs="Segoe UI"/>
                <w:color w:val="000000"/>
              </w:rPr>
              <w:lastRenderedPageBreak/>
              <w:t>Riziko eroze a odnosu půdy na pozemcích bez patřičných protierozních opatření, riziko vyplavování živin z půdy, riziko ztráty organické hmoty z půdy"</w:t>
            </w:r>
          </w:p>
        </w:tc>
        <w:tc>
          <w:tcPr>
            <w:tcW w:w="2958" w:type="dxa"/>
            <w:tcBorders>
              <w:top w:val="single" w:sz="4" w:space="0" w:color="auto"/>
              <w:left w:val="single" w:sz="4" w:space="0" w:color="auto"/>
              <w:bottom w:val="single" w:sz="4" w:space="0" w:color="auto"/>
              <w:right w:val="single" w:sz="4" w:space="0" w:color="auto"/>
            </w:tcBorders>
          </w:tcPr>
          <w:p w14:paraId="0406328F" w14:textId="77777777" w:rsidR="003324BE" w:rsidRPr="007C734C" w:rsidRDefault="003324BE" w:rsidP="009B1BC4">
            <w:pPr>
              <w:spacing w:before="60" w:after="60"/>
              <w:rPr>
                <w:rFonts w:cs="Segoe UI"/>
                <w:lang w:eastAsia="cs-CZ"/>
              </w:rPr>
            </w:pPr>
            <w:r w:rsidRPr="007C734C">
              <w:rPr>
                <w:rFonts w:cs="Segoe UI"/>
                <w:lang w:eastAsia="cs-CZ"/>
              </w:rPr>
              <w:t>lesní hospodářství, zemědělství, urbanizovaná krajina</w:t>
            </w:r>
          </w:p>
        </w:tc>
      </w:tr>
    </w:tbl>
    <w:p w14:paraId="13CE35CC" w14:textId="77777777" w:rsidR="003324BE" w:rsidRPr="007C734C" w:rsidRDefault="003324BE" w:rsidP="003324BE">
      <w:pPr>
        <w:rPr>
          <w:rFonts w:cs="Segoe UI"/>
          <w:b/>
        </w:rPr>
      </w:pPr>
    </w:p>
    <w:p w14:paraId="68F27F8A" w14:textId="77777777" w:rsidR="003324BE" w:rsidRPr="007C734C" w:rsidRDefault="003324BE" w:rsidP="003324BE">
      <w:pPr>
        <w:numPr>
          <w:ilvl w:val="0"/>
          <w:numId w:val="10"/>
        </w:numPr>
        <w:rPr>
          <w:rFonts w:cs="Segoe UI"/>
          <w:b/>
        </w:rPr>
      </w:pPr>
      <w:r w:rsidRPr="007C734C">
        <w:rPr>
          <w:rFonts w:cs="Segoe UI"/>
          <w:b/>
        </w:rPr>
        <w:t>Zvyšování teplot</w:t>
      </w:r>
    </w:p>
    <w:tbl>
      <w:tblPr>
        <w:tblW w:w="9082" w:type="dxa"/>
        <w:tblInd w:w="-33" w:type="dxa"/>
        <w:tblLayout w:type="fixed"/>
        <w:tblLook w:val="04A0" w:firstRow="1" w:lastRow="0" w:firstColumn="1" w:lastColumn="0" w:noHBand="0" w:noVBand="1"/>
      </w:tblPr>
      <w:tblGrid>
        <w:gridCol w:w="6124"/>
        <w:gridCol w:w="2958"/>
      </w:tblGrid>
      <w:tr w:rsidR="003324BE" w:rsidRPr="007C734C" w14:paraId="1BAB9979" w14:textId="77777777" w:rsidTr="009B1BC4">
        <w:tc>
          <w:tcPr>
            <w:tcW w:w="6124" w:type="dxa"/>
            <w:tcBorders>
              <w:top w:val="single" w:sz="4" w:space="0" w:color="auto"/>
              <w:left w:val="single" w:sz="4" w:space="0" w:color="auto"/>
              <w:bottom w:val="single" w:sz="4" w:space="0" w:color="auto"/>
              <w:right w:val="single" w:sz="4" w:space="0" w:color="auto"/>
            </w:tcBorders>
            <w:vAlign w:val="center"/>
          </w:tcPr>
          <w:p w14:paraId="3A13C652" w14:textId="77777777" w:rsidR="003324BE" w:rsidRPr="007C734C" w:rsidRDefault="003324BE" w:rsidP="009B1BC4">
            <w:pPr>
              <w:spacing w:before="60" w:after="60"/>
              <w:rPr>
                <w:rFonts w:cs="Segoe UI"/>
                <w:lang w:eastAsia="ar-SA"/>
              </w:rPr>
            </w:pPr>
            <w:r w:rsidRPr="007C734C">
              <w:rPr>
                <w:rFonts w:cs="Segoe UI"/>
                <w:lang w:eastAsia="ar-SA"/>
              </w:rPr>
              <w:t>Potenciální posun vegetačních stupňů</w:t>
            </w:r>
          </w:p>
        </w:tc>
        <w:tc>
          <w:tcPr>
            <w:tcW w:w="2958" w:type="dxa"/>
            <w:tcBorders>
              <w:top w:val="single" w:sz="4" w:space="0" w:color="auto"/>
              <w:left w:val="single" w:sz="4" w:space="0" w:color="auto"/>
              <w:bottom w:val="single" w:sz="4" w:space="0" w:color="auto"/>
              <w:right w:val="single" w:sz="4" w:space="0" w:color="auto"/>
            </w:tcBorders>
          </w:tcPr>
          <w:p w14:paraId="23AC14ED" w14:textId="77777777" w:rsidR="003324BE" w:rsidRPr="007C734C" w:rsidRDefault="003324BE" w:rsidP="009B1BC4">
            <w:pPr>
              <w:spacing w:before="60" w:after="60"/>
              <w:rPr>
                <w:rFonts w:cs="Segoe UI"/>
                <w:lang w:eastAsia="ar-SA"/>
              </w:rPr>
            </w:pPr>
            <w:r w:rsidRPr="007C734C">
              <w:rPr>
                <w:rFonts w:cs="Segoe UI"/>
                <w:lang w:eastAsia="ar-SA"/>
              </w:rPr>
              <w:t>lesní hospodářství, biodiverzita, zemědělství</w:t>
            </w:r>
          </w:p>
        </w:tc>
      </w:tr>
      <w:tr w:rsidR="003324BE" w:rsidRPr="007C734C" w14:paraId="3B2B7E60" w14:textId="77777777" w:rsidTr="009B1BC4">
        <w:tc>
          <w:tcPr>
            <w:tcW w:w="6124" w:type="dxa"/>
            <w:tcBorders>
              <w:top w:val="single" w:sz="4" w:space="0" w:color="auto"/>
              <w:left w:val="single" w:sz="4" w:space="0" w:color="auto"/>
              <w:bottom w:val="single" w:sz="4" w:space="0" w:color="auto"/>
              <w:right w:val="single" w:sz="4" w:space="0" w:color="auto"/>
            </w:tcBorders>
            <w:vAlign w:val="center"/>
          </w:tcPr>
          <w:p w14:paraId="212B747A" w14:textId="77777777" w:rsidR="003324BE" w:rsidRPr="007C734C" w:rsidRDefault="003324BE" w:rsidP="009B1BC4">
            <w:pPr>
              <w:spacing w:before="60" w:after="60"/>
              <w:rPr>
                <w:rFonts w:cs="Segoe UI"/>
                <w:lang w:eastAsia="ar-SA"/>
              </w:rPr>
            </w:pPr>
            <w:r w:rsidRPr="007C734C">
              <w:rPr>
                <w:rFonts w:cs="Segoe UI"/>
                <w:lang w:eastAsia="ar-SA"/>
              </w:rPr>
              <w:t>Ohrožení funkčnosti kritické infrastruktury</w:t>
            </w:r>
          </w:p>
        </w:tc>
        <w:tc>
          <w:tcPr>
            <w:tcW w:w="2958" w:type="dxa"/>
            <w:tcBorders>
              <w:top w:val="single" w:sz="4" w:space="0" w:color="auto"/>
              <w:left w:val="single" w:sz="4" w:space="0" w:color="auto"/>
              <w:bottom w:val="single" w:sz="4" w:space="0" w:color="auto"/>
              <w:right w:val="single" w:sz="4" w:space="0" w:color="auto"/>
            </w:tcBorders>
          </w:tcPr>
          <w:p w14:paraId="1B2024AB" w14:textId="77777777" w:rsidR="003324BE" w:rsidRPr="007C734C" w:rsidRDefault="003324BE" w:rsidP="009B1BC4">
            <w:pPr>
              <w:spacing w:before="60" w:after="60"/>
              <w:rPr>
                <w:rFonts w:cs="Segoe UI"/>
                <w:lang w:eastAsia="ar-SA"/>
              </w:rPr>
            </w:pPr>
            <w:r w:rsidRPr="007C734C">
              <w:rPr>
                <w:rFonts w:cs="Segoe UI"/>
                <w:lang w:eastAsia="ar-SA"/>
              </w:rPr>
              <w:t>průmysl a energetika, bezpečnost</w:t>
            </w:r>
          </w:p>
        </w:tc>
      </w:tr>
      <w:tr w:rsidR="003324BE" w:rsidRPr="007C734C" w14:paraId="60B0073A" w14:textId="77777777" w:rsidTr="009B1BC4">
        <w:tc>
          <w:tcPr>
            <w:tcW w:w="6124" w:type="dxa"/>
            <w:tcBorders>
              <w:top w:val="single" w:sz="4" w:space="0" w:color="auto"/>
              <w:left w:val="single" w:sz="4" w:space="0" w:color="auto"/>
              <w:bottom w:val="single" w:sz="4" w:space="0" w:color="auto"/>
              <w:right w:val="single" w:sz="4" w:space="0" w:color="auto"/>
            </w:tcBorders>
            <w:vAlign w:val="center"/>
          </w:tcPr>
          <w:p w14:paraId="0E9C02F1" w14:textId="77777777" w:rsidR="003324BE" w:rsidRPr="007C734C" w:rsidRDefault="003324BE" w:rsidP="009B1BC4">
            <w:pPr>
              <w:spacing w:before="60" w:after="60"/>
              <w:rPr>
                <w:rFonts w:cs="Segoe UI"/>
                <w:lang w:eastAsia="ar-SA"/>
              </w:rPr>
            </w:pPr>
            <w:r w:rsidRPr="007C734C">
              <w:rPr>
                <w:rFonts w:cs="Segoe UI"/>
                <w:lang w:eastAsia="ar-SA"/>
              </w:rPr>
              <w:t>Chřadnutí lesních porostů</w:t>
            </w:r>
          </w:p>
        </w:tc>
        <w:tc>
          <w:tcPr>
            <w:tcW w:w="2958" w:type="dxa"/>
            <w:tcBorders>
              <w:top w:val="single" w:sz="4" w:space="0" w:color="auto"/>
              <w:left w:val="single" w:sz="4" w:space="0" w:color="auto"/>
              <w:bottom w:val="single" w:sz="4" w:space="0" w:color="auto"/>
              <w:right w:val="single" w:sz="4" w:space="0" w:color="auto"/>
            </w:tcBorders>
          </w:tcPr>
          <w:p w14:paraId="122997C4" w14:textId="77777777" w:rsidR="003324BE" w:rsidRPr="007C734C" w:rsidRDefault="003324BE" w:rsidP="009B1BC4">
            <w:pPr>
              <w:spacing w:before="60" w:after="60"/>
              <w:rPr>
                <w:rFonts w:cs="Segoe UI"/>
                <w:lang w:eastAsia="ar-SA"/>
              </w:rPr>
            </w:pPr>
            <w:r w:rsidRPr="007C734C">
              <w:rPr>
                <w:rFonts w:cs="Segoe UI"/>
                <w:lang w:eastAsia="ar-SA"/>
              </w:rPr>
              <w:t>lesní hospodářství, cestovní ruch</w:t>
            </w:r>
          </w:p>
        </w:tc>
      </w:tr>
      <w:tr w:rsidR="003324BE" w:rsidRPr="007C734C" w14:paraId="1E5DA525" w14:textId="77777777" w:rsidTr="009B1BC4">
        <w:tc>
          <w:tcPr>
            <w:tcW w:w="6124" w:type="dxa"/>
            <w:tcBorders>
              <w:top w:val="single" w:sz="4" w:space="0" w:color="auto"/>
              <w:left w:val="single" w:sz="4" w:space="0" w:color="auto"/>
              <w:bottom w:val="single" w:sz="4" w:space="0" w:color="auto"/>
              <w:right w:val="single" w:sz="4" w:space="0" w:color="auto"/>
            </w:tcBorders>
            <w:vAlign w:val="center"/>
          </w:tcPr>
          <w:p w14:paraId="5C1231C8" w14:textId="77777777" w:rsidR="003324BE" w:rsidRPr="007C734C" w:rsidRDefault="003324BE" w:rsidP="009B1BC4">
            <w:pPr>
              <w:spacing w:before="60" w:after="60"/>
              <w:rPr>
                <w:rFonts w:cs="Segoe UI"/>
                <w:lang w:eastAsia="ar-SA"/>
              </w:rPr>
            </w:pPr>
            <w:r w:rsidRPr="007C734C">
              <w:rPr>
                <w:rFonts w:cs="Segoe UI"/>
                <w:lang w:eastAsia="ar-SA"/>
              </w:rPr>
              <w:t>Zvýšení rizika šíření nepůvodních invazních druhů, přenašečů infekcí, škodlivých organismů rostlin a dalších patogenů</w:t>
            </w:r>
          </w:p>
        </w:tc>
        <w:tc>
          <w:tcPr>
            <w:tcW w:w="2958" w:type="dxa"/>
            <w:tcBorders>
              <w:top w:val="single" w:sz="4" w:space="0" w:color="auto"/>
              <w:left w:val="single" w:sz="4" w:space="0" w:color="auto"/>
              <w:bottom w:val="single" w:sz="4" w:space="0" w:color="auto"/>
              <w:right w:val="single" w:sz="4" w:space="0" w:color="auto"/>
            </w:tcBorders>
          </w:tcPr>
          <w:p w14:paraId="410CAD35" w14:textId="77777777" w:rsidR="003324BE" w:rsidRPr="007C734C" w:rsidRDefault="003324BE" w:rsidP="009B1BC4">
            <w:pPr>
              <w:spacing w:before="60" w:after="60"/>
              <w:rPr>
                <w:rFonts w:cs="Segoe UI"/>
                <w:lang w:eastAsia="ar-SA"/>
              </w:rPr>
            </w:pPr>
            <w:r w:rsidRPr="007C734C">
              <w:rPr>
                <w:rFonts w:cs="Segoe UI"/>
                <w:lang w:eastAsia="ar-SA"/>
              </w:rPr>
              <w:t>lesní hospodářství, zemědělství, biodiverzita, zdraví a hygiena, urbanizovaná krajina, vodní hospodářství</w:t>
            </w:r>
          </w:p>
        </w:tc>
      </w:tr>
      <w:tr w:rsidR="003324BE" w:rsidRPr="007C734C" w14:paraId="242892E9" w14:textId="77777777" w:rsidTr="009B1BC4">
        <w:tc>
          <w:tcPr>
            <w:tcW w:w="6124" w:type="dxa"/>
            <w:tcBorders>
              <w:top w:val="single" w:sz="4" w:space="0" w:color="auto"/>
              <w:left w:val="single" w:sz="4" w:space="0" w:color="auto"/>
              <w:bottom w:val="single" w:sz="4" w:space="0" w:color="auto"/>
              <w:right w:val="single" w:sz="4" w:space="0" w:color="auto"/>
            </w:tcBorders>
            <w:vAlign w:val="center"/>
          </w:tcPr>
          <w:p w14:paraId="09953C95" w14:textId="77777777" w:rsidR="003324BE" w:rsidRPr="007C734C" w:rsidRDefault="003324BE" w:rsidP="009B1BC4">
            <w:pPr>
              <w:spacing w:before="60" w:after="60"/>
              <w:rPr>
                <w:rFonts w:cs="Segoe UI"/>
                <w:lang w:eastAsia="ar-SA"/>
              </w:rPr>
            </w:pPr>
            <w:r w:rsidRPr="007C734C">
              <w:rPr>
                <w:rFonts w:cs="Segoe UI"/>
                <w:lang w:eastAsia="ar-SA"/>
              </w:rPr>
              <w:t>Ohrožení původních druhů organismů a biotopů</w:t>
            </w:r>
          </w:p>
        </w:tc>
        <w:tc>
          <w:tcPr>
            <w:tcW w:w="2958" w:type="dxa"/>
            <w:tcBorders>
              <w:top w:val="single" w:sz="4" w:space="0" w:color="auto"/>
              <w:left w:val="single" w:sz="4" w:space="0" w:color="auto"/>
              <w:bottom w:val="single" w:sz="4" w:space="0" w:color="auto"/>
              <w:right w:val="single" w:sz="4" w:space="0" w:color="auto"/>
            </w:tcBorders>
          </w:tcPr>
          <w:p w14:paraId="3D41E630" w14:textId="77777777" w:rsidR="003324BE" w:rsidRPr="007C734C" w:rsidRDefault="003324BE" w:rsidP="009B1BC4">
            <w:pPr>
              <w:spacing w:before="60" w:after="60"/>
              <w:rPr>
                <w:rFonts w:cs="Segoe UI"/>
                <w:lang w:eastAsia="ar-SA"/>
              </w:rPr>
            </w:pPr>
            <w:r w:rsidRPr="007C734C">
              <w:rPr>
                <w:rFonts w:cs="Segoe UI"/>
                <w:lang w:eastAsia="ar-SA"/>
              </w:rPr>
              <w:t>biodiverzita</w:t>
            </w:r>
          </w:p>
        </w:tc>
      </w:tr>
      <w:tr w:rsidR="003324BE" w:rsidRPr="007C734C" w14:paraId="53E610C0" w14:textId="77777777" w:rsidTr="009B1BC4">
        <w:tc>
          <w:tcPr>
            <w:tcW w:w="6124" w:type="dxa"/>
            <w:tcBorders>
              <w:top w:val="single" w:sz="4" w:space="0" w:color="auto"/>
              <w:left w:val="single" w:sz="4" w:space="0" w:color="auto"/>
              <w:bottom w:val="single" w:sz="4" w:space="0" w:color="auto"/>
              <w:right w:val="single" w:sz="4" w:space="0" w:color="auto"/>
            </w:tcBorders>
            <w:vAlign w:val="center"/>
          </w:tcPr>
          <w:p w14:paraId="4398B575" w14:textId="77777777" w:rsidR="003324BE" w:rsidRPr="007C734C" w:rsidRDefault="003324BE" w:rsidP="009B1BC4">
            <w:pPr>
              <w:spacing w:before="60" w:after="60"/>
              <w:rPr>
                <w:rFonts w:cs="Segoe UI"/>
                <w:lang w:eastAsia="ar-SA"/>
              </w:rPr>
            </w:pPr>
            <w:r w:rsidRPr="007C734C">
              <w:rPr>
                <w:rFonts w:cs="Segoe UI"/>
                <w:lang w:eastAsia="ar-SA"/>
              </w:rPr>
              <w:t>Ovlivnění velikosti a kvality výnosů plodin</w:t>
            </w:r>
          </w:p>
        </w:tc>
        <w:tc>
          <w:tcPr>
            <w:tcW w:w="2958" w:type="dxa"/>
            <w:tcBorders>
              <w:top w:val="single" w:sz="4" w:space="0" w:color="auto"/>
              <w:left w:val="single" w:sz="4" w:space="0" w:color="auto"/>
              <w:bottom w:val="single" w:sz="4" w:space="0" w:color="auto"/>
              <w:right w:val="single" w:sz="4" w:space="0" w:color="auto"/>
            </w:tcBorders>
          </w:tcPr>
          <w:p w14:paraId="547627EA" w14:textId="77777777" w:rsidR="003324BE" w:rsidRPr="007C734C" w:rsidRDefault="003324BE" w:rsidP="009B1BC4">
            <w:pPr>
              <w:spacing w:before="60" w:after="60"/>
              <w:rPr>
                <w:rFonts w:cs="Segoe UI"/>
                <w:lang w:eastAsia="ar-SA"/>
              </w:rPr>
            </w:pPr>
            <w:r w:rsidRPr="007C734C">
              <w:rPr>
                <w:rFonts w:cs="Segoe UI"/>
                <w:lang w:eastAsia="ar-SA"/>
              </w:rPr>
              <w:t>zemědělství</w:t>
            </w:r>
          </w:p>
        </w:tc>
      </w:tr>
      <w:tr w:rsidR="003324BE" w:rsidRPr="007C734C" w14:paraId="0852E30E" w14:textId="77777777" w:rsidTr="009B1BC4">
        <w:tc>
          <w:tcPr>
            <w:tcW w:w="6124" w:type="dxa"/>
            <w:tcBorders>
              <w:top w:val="single" w:sz="4" w:space="0" w:color="auto"/>
              <w:left w:val="single" w:sz="4" w:space="0" w:color="auto"/>
              <w:bottom w:val="single" w:sz="4" w:space="0" w:color="auto"/>
              <w:right w:val="single" w:sz="4" w:space="0" w:color="auto"/>
            </w:tcBorders>
            <w:vAlign w:val="center"/>
          </w:tcPr>
          <w:p w14:paraId="3C1D804C" w14:textId="77777777" w:rsidR="003324BE" w:rsidRPr="007C734C" w:rsidRDefault="003324BE" w:rsidP="009B1BC4">
            <w:pPr>
              <w:spacing w:before="60" w:after="60"/>
              <w:rPr>
                <w:rFonts w:cs="Segoe UI"/>
                <w:lang w:eastAsia="ar-SA"/>
              </w:rPr>
            </w:pPr>
            <w:r w:rsidRPr="007C734C">
              <w:rPr>
                <w:rFonts w:cs="Segoe UI"/>
                <w:lang w:eastAsia="ar-SA"/>
              </w:rPr>
              <w:t>Rozvoj vinařství a související turistiky</w:t>
            </w:r>
          </w:p>
        </w:tc>
        <w:tc>
          <w:tcPr>
            <w:tcW w:w="2958" w:type="dxa"/>
            <w:tcBorders>
              <w:top w:val="single" w:sz="4" w:space="0" w:color="auto"/>
              <w:left w:val="single" w:sz="4" w:space="0" w:color="auto"/>
              <w:bottom w:val="single" w:sz="4" w:space="0" w:color="auto"/>
              <w:right w:val="single" w:sz="4" w:space="0" w:color="auto"/>
            </w:tcBorders>
          </w:tcPr>
          <w:p w14:paraId="52CFC8B0" w14:textId="77777777" w:rsidR="003324BE" w:rsidRPr="007C734C" w:rsidRDefault="003324BE" w:rsidP="009B1BC4">
            <w:pPr>
              <w:spacing w:before="60" w:after="60"/>
              <w:rPr>
                <w:rFonts w:cs="Segoe UI"/>
                <w:lang w:eastAsia="ar-SA"/>
              </w:rPr>
            </w:pPr>
            <w:r w:rsidRPr="007C734C">
              <w:rPr>
                <w:rFonts w:cs="Segoe UI"/>
                <w:lang w:eastAsia="ar-SA"/>
              </w:rPr>
              <w:t>zemědělství, cestovní ruch</w:t>
            </w:r>
          </w:p>
        </w:tc>
      </w:tr>
      <w:tr w:rsidR="003324BE" w:rsidRPr="007C734C" w14:paraId="63457015" w14:textId="77777777" w:rsidTr="009B1BC4">
        <w:tc>
          <w:tcPr>
            <w:tcW w:w="6124" w:type="dxa"/>
            <w:tcBorders>
              <w:top w:val="single" w:sz="4" w:space="0" w:color="auto"/>
              <w:left w:val="single" w:sz="4" w:space="0" w:color="auto"/>
              <w:bottom w:val="single" w:sz="4" w:space="0" w:color="auto"/>
              <w:right w:val="single" w:sz="4" w:space="0" w:color="auto"/>
            </w:tcBorders>
            <w:vAlign w:val="center"/>
          </w:tcPr>
          <w:p w14:paraId="6EDD3EC4" w14:textId="77777777" w:rsidR="003324BE" w:rsidRPr="007C734C" w:rsidRDefault="003324BE" w:rsidP="009B1BC4">
            <w:pPr>
              <w:spacing w:before="60" w:after="60"/>
              <w:rPr>
                <w:rFonts w:cs="Segoe UI"/>
                <w:lang w:eastAsia="ar-SA"/>
              </w:rPr>
            </w:pPr>
            <w:r w:rsidRPr="007C734C">
              <w:rPr>
                <w:rFonts w:cs="Segoe UI"/>
                <w:lang w:eastAsia="ar-SA"/>
              </w:rPr>
              <w:t xml:space="preserve">Změna </w:t>
            </w:r>
            <w:proofErr w:type="spellStart"/>
            <w:r w:rsidRPr="007C734C">
              <w:rPr>
                <w:rFonts w:cs="Segoe UI"/>
                <w:lang w:eastAsia="ar-SA"/>
              </w:rPr>
              <w:t>fenofází</w:t>
            </w:r>
            <w:proofErr w:type="spellEnd"/>
            <w:r w:rsidRPr="007C734C">
              <w:rPr>
                <w:rFonts w:cs="Segoe UI"/>
                <w:lang w:eastAsia="ar-SA"/>
              </w:rPr>
              <w:t xml:space="preserve"> druhů (zejm. prodloužení vegetačního období) a prodloužení pylové sezóny</w:t>
            </w:r>
          </w:p>
        </w:tc>
        <w:tc>
          <w:tcPr>
            <w:tcW w:w="2958" w:type="dxa"/>
            <w:tcBorders>
              <w:top w:val="single" w:sz="4" w:space="0" w:color="auto"/>
              <w:left w:val="single" w:sz="4" w:space="0" w:color="auto"/>
              <w:bottom w:val="single" w:sz="4" w:space="0" w:color="auto"/>
              <w:right w:val="single" w:sz="4" w:space="0" w:color="auto"/>
            </w:tcBorders>
          </w:tcPr>
          <w:p w14:paraId="38BDC543" w14:textId="77777777" w:rsidR="003324BE" w:rsidRPr="007C734C" w:rsidRDefault="003324BE" w:rsidP="009B1BC4">
            <w:pPr>
              <w:spacing w:before="60" w:after="60"/>
              <w:rPr>
                <w:rFonts w:cs="Segoe UI"/>
                <w:lang w:eastAsia="ar-SA"/>
              </w:rPr>
            </w:pPr>
            <w:r w:rsidRPr="007C734C">
              <w:rPr>
                <w:rFonts w:cs="Segoe UI"/>
                <w:lang w:eastAsia="ar-SA"/>
              </w:rPr>
              <w:t>zemědělství, lesní hospodářství, biodiverzita, zdraví a hygiena</w:t>
            </w:r>
          </w:p>
        </w:tc>
      </w:tr>
      <w:tr w:rsidR="003324BE" w:rsidRPr="007C734C" w14:paraId="66B927C9" w14:textId="77777777" w:rsidTr="009B1BC4">
        <w:tc>
          <w:tcPr>
            <w:tcW w:w="6124" w:type="dxa"/>
            <w:tcBorders>
              <w:top w:val="single" w:sz="4" w:space="0" w:color="auto"/>
              <w:left w:val="single" w:sz="4" w:space="0" w:color="auto"/>
              <w:bottom w:val="single" w:sz="4" w:space="0" w:color="auto"/>
              <w:right w:val="single" w:sz="4" w:space="0" w:color="auto"/>
            </w:tcBorders>
            <w:vAlign w:val="center"/>
          </w:tcPr>
          <w:p w14:paraId="79E9C02C" w14:textId="77777777" w:rsidR="003324BE" w:rsidRPr="007C734C" w:rsidRDefault="003324BE" w:rsidP="009B1BC4">
            <w:pPr>
              <w:spacing w:before="60" w:after="60"/>
              <w:rPr>
                <w:rFonts w:cs="Segoe UI"/>
                <w:lang w:eastAsia="ar-SA"/>
              </w:rPr>
            </w:pPr>
            <w:r w:rsidRPr="007C734C">
              <w:rPr>
                <w:rFonts w:cs="Segoe UI"/>
                <w:lang w:eastAsia="ar-SA"/>
              </w:rPr>
              <w:t>Zkrácení zimní sezóny a zhoršení přírodních podmínek pro zimní rekreaci a sporty vázané na sněhovou pokrývku</w:t>
            </w:r>
          </w:p>
        </w:tc>
        <w:tc>
          <w:tcPr>
            <w:tcW w:w="2958" w:type="dxa"/>
            <w:tcBorders>
              <w:top w:val="single" w:sz="4" w:space="0" w:color="auto"/>
              <w:left w:val="single" w:sz="4" w:space="0" w:color="auto"/>
              <w:bottom w:val="single" w:sz="4" w:space="0" w:color="auto"/>
              <w:right w:val="single" w:sz="4" w:space="0" w:color="auto"/>
            </w:tcBorders>
          </w:tcPr>
          <w:p w14:paraId="177E636E" w14:textId="77777777" w:rsidR="003324BE" w:rsidRPr="007C734C" w:rsidRDefault="003324BE" w:rsidP="009B1BC4">
            <w:pPr>
              <w:spacing w:before="60" w:after="60"/>
              <w:rPr>
                <w:rFonts w:cs="Segoe UI"/>
                <w:lang w:eastAsia="ar-SA"/>
              </w:rPr>
            </w:pPr>
            <w:r w:rsidRPr="007C734C">
              <w:rPr>
                <w:rFonts w:cs="Segoe UI"/>
                <w:lang w:eastAsia="ar-SA"/>
              </w:rPr>
              <w:t>zemědělství, urbanizovaná krajina, cestovní ruch</w:t>
            </w:r>
          </w:p>
        </w:tc>
      </w:tr>
      <w:tr w:rsidR="003324BE" w:rsidRPr="007C734C" w14:paraId="27801F70" w14:textId="77777777" w:rsidTr="009B1BC4">
        <w:tc>
          <w:tcPr>
            <w:tcW w:w="6124" w:type="dxa"/>
            <w:tcBorders>
              <w:top w:val="single" w:sz="4" w:space="0" w:color="auto"/>
              <w:left w:val="single" w:sz="4" w:space="0" w:color="auto"/>
              <w:bottom w:val="single" w:sz="4" w:space="0" w:color="auto"/>
              <w:right w:val="single" w:sz="4" w:space="0" w:color="auto"/>
            </w:tcBorders>
            <w:vAlign w:val="center"/>
          </w:tcPr>
          <w:p w14:paraId="68382608" w14:textId="77777777" w:rsidR="003324BE" w:rsidRPr="007C734C" w:rsidRDefault="003324BE" w:rsidP="009B1BC4">
            <w:pPr>
              <w:spacing w:before="60" w:after="60"/>
              <w:rPr>
                <w:rFonts w:cs="Segoe UI"/>
                <w:lang w:eastAsia="ar-SA"/>
              </w:rPr>
            </w:pPr>
            <w:r w:rsidRPr="007C734C">
              <w:rPr>
                <w:rFonts w:cs="Segoe UI"/>
                <w:lang w:eastAsia="ar-SA"/>
              </w:rPr>
              <w:t>Změny odtokového režimu vody (předpoklad růstu odtoku v zimě a pokles odtoku v ostatních ročních obdobích)</w:t>
            </w:r>
          </w:p>
        </w:tc>
        <w:tc>
          <w:tcPr>
            <w:tcW w:w="2958" w:type="dxa"/>
            <w:tcBorders>
              <w:top w:val="single" w:sz="4" w:space="0" w:color="auto"/>
              <w:left w:val="single" w:sz="4" w:space="0" w:color="auto"/>
              <w:bottom w:val="single" w:sz="4" w:space="0" w:color="auto"/>
              <w:right w:val="single" w:sz="4" w:space="0" w:color="auto"/>
            </w:tcBorders>
          </w:tcPr>
          <w:p w14:paraId="4D17DCD8" w14:textId="77777777" w:rsidR="003324BE" w:rsidRPr="007C734C" w:rsidRDefault="003324BE" w:rsidP="009B1BC4">
            <w:pPr>
              <w:spacing w:before="60" w:after="60"/>
              <w:rPr>
                <w:rFonts w:cs="Segoe UI"/>
                <w:lang w:eastAsia="ar-SA"/>
              </w:rPr>
            </w:pPr>
            <w:r w:rsidRPr="007C734C">
              <w:rPr>
                <w:rFonts w:cs="Segoe UI"/>
                <w:lang w:eastAsia="ar-SA"/>
              </w:rPr>
              <w:t>vodní hospodářství cestovní ruch, doprava, zemědělství, průmysl a energetika</w:t>
            </w:r>
          </w:p>
        </w:tc>
      </w:tr>
      <w:tr w:rsidR="003324BE" w:rsidRPr="007C734C" w14:paraId="02C84BF8" w14:textId="77777777" w:rsidTr="009B1BC4">
        <w:tc>
          <w:tcPr>
            <w:tcW w:w="6124" w:type="dxa"/>
            <w:tcBorders>
              <w:top w:val="single" w:sz="4" w:space="0" w:color="auto"/>
              <w:left w:val="single" w:sz="4" w:space="0" w:color="auto"/>
              <w:bottom w:val="single" w:sz="4" w:space="0" w:color="auto"/>
              <w:right w:val="single" w:sz="4" w:space="0" w:color="auto"/>
            </w:tcBorders>
            <w:vAlign w:val="center"/>
          </w:tcPr>
          <w:p w14:paraId="7942E4C6" w14:textId="77777777" w:rsidR="003324BE" w:rsidRPr="007C734C" w:rsidRDefault="003324BE" w:rsidP="009B1BC4">
            <w:pPr>
              <w:spacing w:before="60" w:after="60"/>
              <w:rPr>
                <w:rFonts w:cs="Segoe UI"/>
                <w:lang w:eastAsia="ar-SA"/>
              </w:rPr>
            </w:pPr>
            <w:r w:rsidRPr="007C734C">
              <w:rPr>
                <w:rFonts w:cs="Segoe UI"/>
                <w:lang w:eastAsia="ar-SA"/>
              </w:rPr>
              <w:t>Ohrožení zdrojů pitné vody (množství, kvalita, dostupnost)</w:t>
            </w:r>
          </w:p>
        </w:tc>
        <w:tc>
          <w:tcPr>
            <w:tcW w:w="2958" w:type="dxa"/>
            <w:tcBorders>
              <w:top w:val="single" w:sz="4" w:space="0" w:color="auto"/>
              <w:left w:val="single" w:sz="4" w:space="0" w:color="auto"/>
              <w:bottom w:val="single" w:sz="4" w:space="0" w:color="auto"/>
              <w:right w:val="single" w:sz="4" w:space="0" w:color="auto"/>
            </w:tcBorders>
          </w:tcPr>
          <w:p w14:paraId="164F7F03" w14:textId="77777777" w:rsidR="003324BE" w:rsidRPr="007C734C" w:rsidRDefault="003324BE" w:rsidP="009B1BC4">
            <w:pPr>
              <w:spacing w:before="60" w:after="60"/>
              <w:rPr>
                <w:rFonts w:cs="Segoe UI"/>
                <w:lang w:eastAsia="ar-SA"/>
              </w:rPr>
            </w:pPr>
            <w:r w:rsidRPr="007C734C">
              <w:rPr>
                <w:rFonts w:cs="Segoe UI"/>
                <w:lang w:eastAsia="ar-SA"/>
              </w:rPr>
              <w:t>urbanizovaná krajina, cestovní ruch, zdraví a hygiena, bezpečnost</w:t>
            </w:r>
          </w:p>
        </w:tc>
      </w:tr>
      <w:tr w:rsidR="003324BE" w:rsidRPr="007C734C" w14:paraId="359D10ED" w14:textId="77777777" w:rsidTr="009B1BC4">
        <w:tc>
          <w:tcPr>
            <w:tcW w:w="6124" w:type="dxa"/>
            <w:tcBorders>
              <w:top w:val="single" w:sz="4" w:space="0" w:color="auto"/>
              <w:left w:val="single" w:sz="4" w:space="0" w:color="auto"/>
              <w:bottom w:val="single" w:sz="4" w:space="0" w:color="auto"/>
              <w:right w:val="single" w:sz="4" w:space="0" w:color="auto"/>
            </w:tcBorders>
            <w:vAlign w:val="center"/>
          </w:tcPr>
          <w:p w14:paraId="59170D35" w14:textId="77777777" w:rsidR="003324BE" w:rsidRPr="007C734C" w:rsidRDefault="003324BE" w:rsidP="009B1BC4">
            <w:pPr>
              <w:spacing w:before="60" w:after="60"/>
              <w:rPr>
                <w:rFonts w:cs="Segoe UI"/>
                <w:lang w:eastAsia="ar-SA"/>
              </w:rPr>
            </w:pPr>
            <w:r w:rsidRPr="007C734C">
              <w:rPr>
                <w:rFonts w:cs="Segoe UI"/>
                <w:lang w:eastAsia="ar-SA"/>
              </w:rPr>
              <w:t xml:space="preserve">Úbytek vody ve vodních tocích a nádržích a zhoršení kvality koupacích vod </w:t>
            </w:r>
          </w:p>
        </w:tc>
        <w:tc>
          <w:tcPr>
            <w:tcW w:w="2958" w:type="dxa"/>
            <w:tcBorders>
              <w:top w:val="single" w:sz="4" w:space="0" w:color="auto"/>
              <w:left w:val="single" w:sz="4" w:space="0" w:color="auto"/>
              <w:bottom w:val="single" w:sz="4" w:space="0" w:color="auto"/>
              <w:right w:val="single" w:sz="4" w:space="0" w:color="auto"/>
            </w:tcBorders>
          </w:tcPr>
          <w:p w14:paraId="64629939" w14:textId="77777777" w:rsidR="003324BE" w:rsidRPr="007C734C" w:rsidRDefault="003324BE" w:rsidP="009B1BC4">
            <w:pPr>
              <w:spacing w:before="60" w:after="60"/>
              <w:rPr>
                <w:rFonts w:cs="Segoe UI"/>
                <w:lang w:eastAsia="ar-SA"/>
              </w:rPr>
            </w:pPr>
            <w:r w:rsidRPr="007C734C">
              <w:rPr>
                <w:rFonts w:cs="Segoe UI"/>
                <w:lang w:eastAsia="ar-SA"/>
              </w:rPr>
              <w:t xml:space="preserve">vodní hospodářství zdraví a hygiena, urbanizovaná krajina, biodiverzita, </w:t>
            </w:r>
            <w:r w:rsidRPr="007C734C">
              <w:rPr>
                <w:rFonts w:cs="Segoe UI"/>
                <w:bCs/>
                <w:lang w:eastAsia="ar-SA"/>
              </w:rPr>
              <w:t>cestovní ruch</w:t>
            </w:r>
          </w:p>
        </w:tc>
      </w:tr>
      <w:tr w:rsidR="003324BE" w:rsidRPr="007C734C" w14:paraId="48993A99" w14:textId="77777777" w:rsidTr="009B1BC4">
        <w:tc>
          <w:tcPr>
            <w:tcW w:w="6124" w:type="dxa"/>
            <w:tcBorders>
              <w:top w:val="single" w:sz="4" w:space="0" w:color="auto"/>
              <w:left w:val="single" w:sz="4" w:space="0" w:color="auto"/>
              <w:bottom w:val="single" w:sz="4" w:space="0" w:color="auto"/>
              <w:right w:val="single" w:sz="4" w:space="0" w:color="auto"/>
            </w:tcBorders>
            <w:vAlign w:val="center"/>
          </w:tcPr>
          <w:p w14:paraId="659F192E" w14:textId="77777777" w:rsidR="003324BE" w:rsidRPr="007C734C" w:rsidRDefault="003324BE" w:rsidP="009B1BC4">
            <w:pPr>
              <w:spacing w:before="60" w:after="60"/>
              <w:rPr>
                <w:rFonts w:cs="Segoe UI"/>
                <w:lang w:eastAsia="ar-SA"/>
              </w:rPr>
            </w:pPr>
            <w:r w:rsidRPr="007C734C">
              <w:rPr>
                <w:rFonts w:cs="Segoe UI"/>
                <w:lang w:eastAsia="ar-SA"/>
              </w:rPr>
              <w:lastRenderedPageBreak/>
              <w:t xml:space="preserve">Zvýšení střetů zimního cestovního ruchu s jinými veřejnými zájmy, </w:t>
            </w:r>
            <w:r w:rsidRPr="007C734C">
              <w:rPr>
                <w:rFonts w:cs="Segoe UI"/>
              </w:rPr>
              <w:t>zvýšený tlak na diverzifikaci činností podnikatelů v zimních střediscích</w:t>
            </w:r>
            <w:r w:rsidRPr="007C734C">
              <w:rPr>
                <w:rFonts w:cs="Segoe UI"/>
                <w:lang w:eastAsia="ar-SA"/>
              </w:rPr>
              <w:t xml:space="preserve"> </w:t>
            </w:r>
          </w:p>
        </w:tc>
        <w:tc>
          <w:tcPr>
            <w:tcW w:w="2958" w:type="dxa"/>
            <w:tcBorders>
              <w:top w:val="single" w:sz="4" w:space="0" w:color="auto"/>
              <w:left w:val="single" w:sz="4" w:space="0" w:color="auto"/>
              <w:bottom w:val="single" w:sz="4" w:space="0" w:color="auto"/>
              <w:right w:val="single" w:sz="4" w:space="0" w:color="auto"/>
            </w:tcBorders>
          </w:tcPr>
          <w:p w14:paraId="2395E5AF" w14:textId="77777777" w:rsidR="003324BE" w:rsidRPr="007C734C" w:rsidRDefault="003324BE" w:rsidP="009B1BC4">
            <w:pPr>
              <w:spacing w:before="60" w:after="60"/>
              <w:rPr>
                <w:rFonts w:cs="Segoe UI"/>
                <w:lang w:eastAsia="ar-SA"/>
              </w:rPr>
            </w:pPr>
            <w:r w:rsidRPr="007C734C">
              <w:rPr>
                <w:rFonts w:cs="Segoe UI"/>
                <w:lang w:eastAsia="ar-SA"/>
              </w:rPr>
              <w:t>cestovní ruch, biodiverzita</w:t>
            </w:r>
          </w:p>
        </w:tc>
      </w:tr>
      <w:tr w:rsidR="003324BE" w:rsidRPr="007C734C" w14:paraId="29EF571C" w14:textId="77777777" w:rsidTr="009B1BC4">
        <w:tc>
          <w:tcPr>
            <w:tcW w:w="6124" w:type="dxa"/>
            <w:tcBorders>
              <w:top w:val="single" w:sz="4" w:space="0" w:color="auto"/>
              <w:left w:val="single" w:sz="4" w:space="0" w:color="auto"/>
              <w:bottom w:val="single" w:sz="4" w:space="0" w:color="auto"/>
              <w:right w:val="single" w:sz="4" w:space="0" w:color="auto"/>
            </w:tcBorders>
            <w:vAlign w:val="center"/>
          </w:tcPr>
          <w:p w14:paraId="3969D91F" w14:textId="77777777" w:rsidR="003324BE" w:rsidRPr="007C734C" w:rsidRDefault="003324BE" w:rsidP="009B1BC4">
            <w:pPr>
              <w:spacing w:before="60" w:after="60"/>
              <w:rPr>
                <w:rFonts w:cs="Segoe UI"/>
                <w:lang w:eastAsia="ar-SA"/>
              </w:rPr>
            </w:pPr>
            <w:r w:rsidRPr="007C734C">
              <w:rPr>
                <w:rFonts w:cs="Segoe UI"/>
                <w:lang w:eastAsia="ar-SA"/>
              </w:rPr>
              <w:t>Změna areálu druhů, ekologických vazeb a druhové skladby, riziko zhoršení stavu populací původních druhů</w:t>
            </w:r>
          </w:p>
        </w:tc>
        <w:tc>
          <w:tcPr>
            <w:tcW w:w="2958" w:type="dxa"/>
            <w:tcBorders>
              <w:top w:val="single" w:sz="4" w:space="0" w:color="auto"/>
              <w:left w:val="single" w:sz="4" w:space="0" w:color="auto"/>
              <w:bottom w:val="single" w:sz="4" w:space="0" w:color="auto"/>
              <w:right w:val="single" w:sz="4" w:space="0" w:color="auto"/>
            </w:tcBorders>
          </w:tcPr>
          <w:p w14:paraId="2CBB566D" w14:textId="77777777" w:rsidR="003324BE" w:rsidRPr="007C734C" w:rsidRDefault="003324BE" w:rsidP="009B1BC4">
            <w:pPr>
              <w:spacing w:before="60" w:after="60"/>
              <w:rPr>
                <w:rFonts w:cs="Segoe UI"/>
                <w:lang w:eastAsia="ar-SA"/>
              </w:rPr>
            </w:pPr>
            <w:r w:rsidRPr="007C734C">
              <w:rPr>
                <w:rFonts w:cs="Segoe UI"/>
                <w:lang w:eastAsia="ar-SA"/>
              </w:rPr>
              <w:t>biodiverzita</w:t>
            </w:r>
          </w:p>
        </w:tc>
      </w:tr>
      <w:tr w:rsidR="003324BE" w:rsidRPr="007C734C" w14:paraId="51D4825D" w14:textId="77777777" w:rsidTr="009B1BC4">
        <w:tc>
          <w:tcPr>
            <w:tcW w:w="6124" w:type="dxa"/>
            <w:tcBorders>
              <w:top w:val="single" w:sz="4" w:space="0" w:color="auto"/>
              <w:left w:val="single" w:sz="4" w:space="0" w:color="auto"/>
              <w:bottom w:val="single" w:sz="4" w:space="0" w:color="auto"/>
              <w:right w:val="single" w:sz="4" w:space="0" w:color="auto"/>
            </w:tcBorders>
            <w:vAlign w:val="center"/>
          </w:tcPr>
          <w:p w14:paraId="5DED99E6" w14:textId="77777777" w:rsidR="003324BE" w:rsidRPr="007C734C" w:rsidRDefault="003324BE" w:rsidP="009B1BC4">
            <w:pPr>
              <w:spacing w:before="60" w:after="60"/>
              <w:rPr>
                <w:rFonts w:cs="Segoe UI"/>
                <w:lang w:eastAsia="ar-SA"/>
              </w:rPr>
            </w:pPr>
            <w:r w:rsidRPr="007C734C">
              <w:rPr>
                <w:rFonts w:cs="Segoe UI"/>
                <w:lang w:eastAsia="ar-SA"/>
              </w:rPr>
              <w:t>Zlepšení podmínek pro venkovský domácí cestovní ruch v letním období, prodloužení letní sezóny pro venkovní pobyt</w:t>
            </w:r>
          </w:p>
        </w:tc>
        <w:tc>
          <w:tcPr>
            <w:tcW w:w="2958" w:type="dxa"/>
            <w:tcBorders>
              <w:top w:val="single" w:sz="4" w:space="0" w:color="auto"/>
              <w:left w:val="single" w:sz="4" w:space="0" w:color="auto"/>
              <w:bottom w:val="single" w:sz="4" w:space="0" w:color="auto"/>
              <w:right w:val="single" w:sz="4" w:space="0" w:color="auto"/>
            </w:tcBorders>
          </w:tcPr>
          <w:p w14:paraId="7F35E664" w14:textId="77777777" w:rsidR="003324BE" w:rsidRPr="007C734C" w:rsidRDefault="003324BE" w:rsidP="009B1BC4">
            <w:pPr>
              <w:spacing w:before="60" w:after="60"/>
              <w:rPr>
                <w:rFonts w:cs="Segoe UI"/>
                <w:lang w:eastAsia="ar-SA"/>
              </w:rPr>
            </w:pPr>
            <w:r w:rsidRPr="007C734C">
              <w:rPr>
                <w:rFonts w:cs="Segoe UI"/>
                <w:bCs/>
                <w:lang w:eastAsia="ar-SA"/>
              </w:rPr>
              <w:t>cestovní ruch</w:t>
            </w:r>
          </w:p>
        </w:tc>
      </w:tr>
      <w:tr w:rsidR="003324BE" w:rsidRPr="007C734C" w14:paraId="7EB4DDEF" w14:textId="77777777" w:rsidTr="009B1BC4">
        <w:tc>
          <w:tcPr>
            <w:tcW w:w="6124" w:type="dxa"/>
            <w:tcBorders>
              <w:top w:val="single" w:sz="4" w:space="0" w:color="auto"/>
              <w:left w:val="single" w:sz="4" w:space="0" w:color="auto"/>
              <w:bottom w:val="single" w:sz="4" w:space="0" w:color="auto"/>
              <w:right w:val="single" w:sz="4" w:space="0" w:color="auto"/>
            </w:tcBorders>
            <w:vAlign w:val="center"/>
          </w:tcPr>
          <w:p w14:paraId="609A0353" w14:textId="77777777" w:rsidR="003324BE" w:rsidRPr="007C734C" w:rsidRDefault="003324BE" w:rsidP="009B1BC4">
            <w:pPr>
              <w:spacing w:before="60" w:after="60"/>
              <w:rPr>
                <w:rFonts w:cs="Segoe UI"/>
                <w:lang w:eastAsia="ar-SA"/>
              </w:rPr>
            </w:pPr>
            <w:r w:rsidRPr="007C734C">
              <w:rPr>
                <w:rFonts w:cs="Segoe UI"/>
                <w:lang w:eastAsia="ar-SA"/>
              </w:rPr>
              <w:t xml:space="preserve">Zvýšený vliv tepelných ostrovů sídel na zelenou infrastrukturu a obyvatelstvo </w:t>
            </w:r>
          </w:p>
        </w:tc>
        <w:tc>
          <w:tcPr>
            <w:tcW w:w="2958" w:type="dxa"/>
            <w:tcBorders>
              <w:top w:val="single" w:sz="4" w:space="0" w:color="auto"/>
              <w:left w:val="single" w:sz="4" w:space="0" w:color="auto"/>
              <w:bottom w:val="single" w:sz="4" w:space="0" w:color="auto"/>
              <w:right w:val="single" w:sz="4" w:space="0" w:color="auto"/>
            </w:tcBorders>
          </w:tcPr>
          <w:p w14:paraId="0F7E6351" w14:textId="77777777" w:rsidR="003324BE" w:rsidRPr="007C734C" w:rsidRDefault="003324BE" w:rsidP="009B1BC4">
            <w:pPr>
              <w:spacing w:before="60" w:after="60"/>
              <w:rPr>
                <w:rFonts w:cs="Segoe UI"/>
                <w:lang w:eastAsia="ar-SA"/>
              </w:rPr>
            </w:pPr>
            <w:r w:rsidRPr="007C734C">
              <w:rPr>
                <w:rFonts w:cs="Segoe UI"/>
                <w:lang w:eastAsia="ar-SA"/>
              </w:rPr>
              <w:t>urbanizovaná krajina, zdraví a hygiena, biodiverzita</w:t>
            </w:r>
          </w:p>
        </w:tc>
      </w:tr>
      <w:tr w:rsidR="003324BE" w:rsidRPr="007C734C" w14:paraId="5BC1C494" w14:textId="77777777" w:rsidTr="009B1BC4">
        <w:tc>
          <w:tcPr>
            <w:tcW w:w="6124" w:type="dxa"/>
            <w:tcBorders>
              <w:top w:val="single" w:sz="4" w:space="0" w:color="auto"/>
              <w:left w:val="single" w:sz="4" w:space="0" w:color="auto"/>
              <w:bottom w:val="single" w:sz="4" w:space="0" w:color="auto"/>
              <w:right w:val="single" w:sz="4" w:space="0" w:color="auto"/>
            </w:tcBorders>
            <w:vAlign w:val="center"/>
          </w:tcPr>
          <w:p w14:paraId="7BB30CE9" w14:textId="77777777" w:rsidR="003324BE" w:rsidRPr="007C734C" w:rsidRDefault="003324BE" w:rsidP="009B1BC4">
            <w:pPr>
              <w:spacing w:before="60" w:after="60"/>
              <w:rPr>
                <w:rFonts w:cs="Segoe UI"/>
                <w:lang w:eastAsia="ar-SA"/>
              </w:rPr>
            </w:pPr>
            <w:r w:rsidRPr="007C734C">
              <w:rPr>
                <w:rFonts w:cs="Segoe UI"/>
                <w:color w:val="000000" w:themeColor="text1"/>
              </w:rPr>
              <w:t>Zhoršování kvality urbánní zeleně (prvků zelené infrastruktury), tím snižování jejich schopnosti poskytovat ekosystémové služby</w:t>
            </w:r>
          </w:p>
        </w:tc>
        <w:tc>
          <w:tcPr>
            <w:tcW w:w="2958" w:type="dxa"/>
            <w:tcBorders>
              <w:top w:val="single" w:sz="4" w:space="0" w:color="auto"/>
              <w:left w:val="single" w:sz="4" w:space="0" w:color="auto"/>
              <w:bottom w:val="single" w:sz="4" w:space="0" w:color="auto"/>
              <w:right w:val="single" w:sz="4" w:space="0" w:color="auto"/>
            </w:tcBorders>
          </w:tcPr>
          <w:p w14:paraId="1F0346D9" w14:textId="77777777" w:rsidR="003324BE" w:rsidRPr="007C734C" w:rsidRDefault="003324BE" w:rsidP="009B1BC4">
            <w:pPr>
              <w:spacing w:before="60" w:after="60"/>
              <w:rPr>
                <w:rFonts w:cs="Segoe UI"/>
                <w:lang w:eastAsia="ar-SA"/>
              </w:rPr>
            </w:pPr>
            <w:r w:rsidRPr="007C734C">
              <w:rPr>
                <w:rFonts w:cs="Segoe UI"/>
                <w:lang w:eastAsia="ar-SA"/>
              </w:rPr>
              <w:t>urbanizovaná krajina, biodiverzita</w:t>
            </w:r>
          </w:p>
        </w:tc>
      </w:tr>
    </w:tbl>
    <w:p w14:paraId="339F4220" w14:textId="77777777" w:rsidR="003324BE" w:rsidRPr="007C734C" w:rsidRDefault="003324BE" w:rsidP="003324BE">
      <w:pPr>
        <w:rPr>
          <w:rFonts w:cs="Segoe UI"/>
          <w:b/>
        </w:rPr>
      </w:pPr>
    </w:p>
    <w:p w14:paraId="7FB88FBA" w14:textId="77777777" w:rsidR="003324BE" w:rsidRPr="007C734C" w:rsidRDefault="003324BE" w:rsidP="003324BE">
      <w:pPr>
        <w:keepNext/>
        <w:numPr>
          <w:ilvl w:val="0"/>
          <w:numId w:val="10"/>
        </w:numPr>
        <w:ind w:left="1423" w:hanging="357"/>
        <w:rPr>
          <w:rFonts w:cs="Segoe UI"/>
          <w:b/>
        </w:rPr>
      </w:pPr>
      <w:r w:rsidRPr="007C734C">
        <w:rPr>
          <w:rFonts w:cs="Segoe UI"/>
          <w:b/>
        </w:rPr>
        <w:t>Extrémně vysoké teploty</w:t>
      </w:r>
    </w:p>
    <w:tbl>
      <w:tblPr>
        <w:tblW w:w="9082"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4"/>
        <w:gridCol w:w="2958"/>
      </w:tblGrid>
      <w:tr w:rsidR="003324BE" w:rsidRPr="007C734C" w14:paraId="5FD88657" w14:textId="77777777" w:rsidTr="009B1BC4">
        <w:tc>
          <w:tcPr>
            <w:tcW w:w="6124" w:type="dxa"/>
            <w:tcMar>
              <w:top w:w="28" w:type="dxa"/>
              <w:left w:w="28" w:type="dxa"/>
              <w:bottom w:w="28" w:type="dxa"/>
              <w:right w:w="28" w:type="dxa"/>
            </w:tcMar>
            <w:vAlign w:val="center"/>
          </w:tcPr>
          <w:p w14:paraId="666EC50F" w14:textId="77777777" w:rsidR="003324BE" w:rsidRPr="007C734C" w:rsidRDefault="003324BE" w:rsidP="009B1BC4">
            <w:pPr>
              <w:spacing w:before="60" w:after="60"/>
              <w:rPr>
                <w:rFonts w:cs="Segoe UI"/>
                <w:lang w:eastAsia="ar-SA"/>
              </w:rPr>
            </w:pPr>
            <w:r w:rsidRPr="007C734C">
              <w:rPr>
                <w:rFonts w:cs="Segoe UI"/>
                <w:lang w:eastAsia="ar-SA"/>
              </w:rPr>
              <w:t>Ohrožení zdraví člověka</w:t>
            </w:r>
          </w:p>
        </w:tc>
        <w:tc>
          <w:tcPr>
            <w:tcW w:w="2958" w:type="dxa"/>
          </w:tcPr>
          <w:p w14:paraId="428ABF45" w14:textId="77777777" w:rsidR="003324BE" w:rsidRPr="007C734C" w:rsidRDefault="003324BE" w:rsidP="009B1BC4">
            <w:pPr>
              <w:spacing w:before="60" w:after="60"/>
              <w:rPr>
                <w:rFonts w:cs="Segoe UI"/>
                <w:lang w:eastAsia="ar-SA"/>
              </w:rPr>
            </w:pPr>
            <w:r w:rsidRPr="007C734C">
              <w:rPr>
                <w:rFonts w:cs="Segoe UI"/>
                <w:bCs/>
                <w:lang w:eastAsia="ar-SA"/>
              </w:rPr>
              <w:t>urbanizovaná krajina, zdraví a hygiena, cestovní ruch, bezpečnost</w:t>
            </w:r>
          </w:p>
        </w:tc>
      </w:tr>
      <w:tr w:rsidR="003324BE" w:rsidRPr="007C734C" w14:paraId="5C38AA6E" w14:textId="77777777" w:rsidTr="009B1BC4">
        <w:tc>
          <w:tcPr>
            <w:tcW w:w="6124" w:type="dxa"/>
            <w:tcMar>
              <w:top w:w="28" w:type="dxa"/>
              <w:left w:w="28" w:type="dxa"/>
              <w:bottom w:w="28" w:type="dxa"/>
              <w:right w:w="28" w:type="dxa"/>
            </w:tcMar>
            <w:vAlign w:val="center"/>
          </w:tcPr>
          <w:p w14:paraId="10A6B45D" w14:textId="77777777" w:rsidR="003324BE" w:rsidRPr="007C734C" w:rsidRDefault="003324BE" w:rsidP="009B1BC4">
            <w:pPr>
              <w:spacing w:before="60" w:after="60"/>
              <w:rPr>
                <w:rFonts w:cs="Segoe UI"/>
                <w:lang w:eastAsia="ar-SA"/>
              </w:rPr>
            </w:pPr>
            <w:r w:rsidRPr="007C734C">
              <w:rPr>
                <w:rFonts w:cs="Segoe UI"/>
                <w:lang w:eastAsia="ar-SA"/>
              </w:rPr>
              <w:t>Ohrožení funkčnosti kritické infrastruktury</w:t>
            </w:r>
          </w:p>
        </w:tc>
        <w:tc>
          <w:tcPr>
            <w:tcW w:w="2958" w:type="dxa"/>
          </w:tcPr>
          <w:p w14:paraId="666217D1" w14:textId="77777777" w:rsidR="003324BE" w:rsidRPr="007C734C" w:rsidRDefault="003324BE" w:rsidP="009B1BC4">
            <w:pPr>
              <w:spacing w:before="60" w:after="60"/>
              <w:rPr>
                <w:rFonts w:cs="Segoe UI"/>
                <w:lang w:eastAsia="ar-SA"/>
              </w:rPr>
            </w:pPr>
            <w:r w:rsidRPr="007C734C">
              <w:rPr>
                <w:rFonts w:cs="Segoe UI"/>
                <w:lang w:eastAsia="ar-SA"/>
              </w:rPr>
              <w:t>průmysl a energetika, zdraví a hygiena, bezpečnost</w:t>
            </w:r>
          </w:p>
        </w:tc>
      </w:tr>
      <w:tr w:rsidR="003324BE" w:rsidRPr="007C734C" w14:paraId="32021DF2" w14:textId="77777777" w:rsidTr="009B1BC4">
        <w:tc>
          <w:tcPr>
            <w:tcW w:w="6124" w:type="dxa"/>
            <w:tcMar>
              <w:top w:w="28" w:type="dxa"/>
              <w:left w:w="28" w:type="dxa"/>
              <w:bottom w:w="28" w:type="dxa"/>
              <w:right w:w="28" w:type="dxa"/>
            </w:tcMar>
            <w:vAlign w:val="center"/>
          </w:tcPr>
          <w:p w14:paraId="04EF2152" w14:textId="77777777" w:rsidR="003324BE" w:rsidRPr="007C734C" w:rsidRDefault="003324BE" w:rsidP="009B1BC4">
            <w:pPr>
              <w:spacing w:before="60" w:after="60"/>
              <w:rPr>
                <w:rFonts w:cs="Segoe UI"/>
                <w:lang w:eastAsia="ar-SA"/>
              </w:rPr>
            </w:pPr>
            <w:r w:rsidRPr="007C734C">
              <w:rPr>
                <w:rFonts w:cs="Segoe UI"/>
                <w:lang w:eastAsia="ar-SA"/>
              </w:rPr>
              <w:t>Ohrožení konkurenceschopnosti</w:t>
            </w:r>
          </w:p>
        </w:tc>
        <w:tc>
          <w:tcPr>
            <w:tcW w:w="2958" w:type="dxa"/>
          </w:tcPr>
          <w:p w14:paraId="64DDF4B8" w14:textId="77777777" w:rsidR="003324BE" w:rsidRPr="007C734C" w:rsidRDefault="003324BE" w:rsidP="009B1BC4">
            <w:pPr>
              <w:spacing w:before="60" w:after="60"/>
              <w:rPr>
                <w:rFonts w:cs="Segoe UI"/>
                <w:lang w:eastAsia="ar-SA"/>
              </w:rPr>
            </w:pPr>
            <w:r w:rsidRPr="007C734C">
              <w:rPr>
                <w:rFonts w:cs="Segoe UI"/>
                <w:lang w:eastAsia="ar-SA"/>
              </w:rPr>
              <w:t>průmysl a energetika, zemědělství, lesní hospodářství</w:t>
            </w:r>
          </w:p>
        </w:tc>
      </w:tr>
      <w:tr w:rsidR="003324BE" w:rsidRPr="007C734C" w14:paraId="2940BAE9" w14:textId="77777777" w:rsidTr="009B1BC4">
        <w:tc>
          <w:tcPr>
            <w:tcW w:w="612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1643A45C" w14:textId="77777777" w:rsidR="003324BE" w:rsidRPr="007C734C" w:rsidRDefault="003324BE" w:rsidP="009B1BC4">
            <w:pPr>
              <w:spacing w:before="60" w:after="60"/>
              <w:rPr>
                <w:rFonts w:cs="Segoe UI"/>
                <w:lang w:eastAsia="ar-SA"/>
              </w:rPr>
            </w:pPr>
            <w:r w:rsidRPr="007C734C">
              <w:rPr>
                <w:rFonts w:cs="Segoe UI"/>
                <w:lang w:eastAsia="ar-SA"/>
              </w:rPr>
              <w:t>Zvýšené riziko pro zachování objektů kulturního dědictví a udržení stavu přírodního dědictví</w:t>
            </w:r>
          </w:p>
        </w:tc>
        <w:tc>
          <w:tcPr>
            <w:tcW w:w="2958" w:type="dxa"/>
            <w:tcBorders>
              <w:top w:val="single" w:sz="4" w:space="0" w:color="auto"/>
              <w:left w:val="single" w:sz="4" w:space="0" w:color="auto"/>
              <w:bottom w:val="single" w:sz="4" w:space="0" w:color="auto"/>
              <w:right w:val="single" w:sz="4" w:space="0" w:color="auto"/>
            </w:tcBorders>
          </w:tcPr>
          <w:p w14:paraId="3C050FED" w14:textId="77777777" w:rsidR="003324BE" w:rsidRPr="007C734C" w:rsidRDefault="003324BE" w:rsidP="009B1BC4">
            <w:pPr>
              <w:spacing w:before="60" w:after="60"/>
              <w:rPr>
                <w:rFonts w:cs="Segoe UI"/>
                <w:lang w:eastAsia="ar-SA"/>
              </w:rPr>
            </w:pPr>
            <w:r w:rsidRPr="007C734C">
              <w:rPr>
                <w:rFonts w:cs="Segoe UI"/>
                <w:lang w:eastAsia="ar-SA"/>
              </w:rPr>
              <w:t>cestovní ruch, urbanizovaná krajina</w:t>
            </w:r>
          </w:p>
        </w:tc>
      </w:tr>
      <w:tr w:rsidR="003324BE" w:rsidRPr="007C734C" w14:paraId="73D8B4AC" w14:textId="77777777" w:rsidTr="009B1BC4">
        <w:tc>
          <w:tcPr>
            <w:tcW w:w="612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334F3EE2" w14:textId="77777777" w:rsidR="003324BE" w:rsidRPr="007C734C" w:rsidRDefault="003324BE" w:rsidP="009B1BC4">
            <w:pPr>
              <w:spacing w:before="60" w:after="60"/>
              <w:rPr>
                <w:rFonts w:cs="Segoe UI"/>
                <w:lang w:eastAsia="ar-SA"/>
              </w:rPr>
            </w:pPr>
            <w:r w:rsidRPr="007C734C">
              <w:rPr>
                <w:rFonts w:cs="Segoe UI"/>
                <w:lang w:eastAsia="ar-SA"/>
              </w:rPr>
              <w:t>Ohrožení funkčních ploch zeleně, narušení jejich funkčnosti a propojení v rámci konceptu zelené infrastruktury a omezení ekosystémových služeb</w:t>
            </w:r>
          </w:p>
        </w:tc>
        <w:tc>
          <w:tcPr>
            <w:tcW w:w="2958" w:type="dxa"/>
            <w:tcBorders>
              <w:top w:val="single" w:sz="4" w:space="0" w:color="auto"/>
              <w:left w:val="single" w:sz="4" w:space="0" w:color="auto"/>
              <w:bottom w:val="single" w:sz="4" w:space="0" w:color="auto"/>
              <w:right w:val="single" w:sz="4" w:space="0" w:color="auto"/>
            </w:tcBorders>
          </w:tcPr>
          <w:p w14:paraId="022C2D76" w14:textId="77777777" w:rsidR="003324BE" w:rsidRPr="007C734C" w:rsidRDefault="003324BE" w:rsidP="009B1BC4">
            <w:pPr>
              <w:spacing w:before="60" w:after="60"/>
              <w:rPr>
                <w:rFonts w:cs="Segoe UI"/>
                <w:lang w:eastAsia="ar-SA"/>
              </w:rPr>
            </w:pPr>
            <w:r w:rsidRPr="007C734C">
              <w:rPr>
                <w:rFonts w:cs="Segoe UI"/>
                <w:lang w:eastAsia="ar-SA"/>
              </w:rPr>
              <w:t>urbanizovaná krajina, zdraví a hygiena, biodiverzita, cestovní ruch</w:t>
            </w:r>
          </w:p>
        </w:tc>
      </w:tr>
      <w:tr w:rsidR="003324BE" w:rsidRPr="007C734C" w14:paraId="53383A92" w14:textId="77777777" w:rsidTr="009B1BC4">
        <w:tc>
          <w:tcPr>
            <w:tcW w:w="612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5B981C27" w14:textId="77777777" w:rsidR="003324BE" w:rsidRPr="007C734C" w:rsidRDefault="003324BE" w:rsidP="009B1BC4">
            <w:pPr>
              <w:spacing w:before="60" w:after="60"/>
              <w:rPr>
                <w:rFonts w:cs="Segoe UI"/>
                <w:lang w:eastAsia="ar-SA"/>
              </w:rPr>
            </w:pPr>
            <w:r w:rsidRPr="007C734C">
              <w:rPr>
                <w:rFonts w:cs="Segoe UI"/>
                <w:lang w:eastAsia="ar-SA"/>
              </w:rPr>
              <w:t xml:space="preserve">Zvýšený vliv tepelných ostrovů sídel na zelenou infrastrukturu a obyvatelstvo </w:t>
            </w:r>
          </w:p>
        </w:tc>
        <w:tc>
          <w:tcPr>
            <w:tcW w:w="2958" w:type="dxa"/>
            <w:tcBorders>
              <w:top w:val="single" w:sz="4" w:space="0" w:color="auto"/>
              <w:left w:val="single" w:sz="4" w:space="0" w:color="auto"/>
              <w:bottom w:val="single" w:sz="4" w:space="0" w:color="auto"/>
              <w:right w:val="single" w:sz="4" w:space="0" w:color="auto"/>
            </w:tcBorders>
          </w:tcPr>
          <w:p w14:paraId="757CE3B3" w14:textId="77777777" w:rsidR="003324BE" w:rsidRPr="007C734C" w:rsidRDefault="003324BE" w:rsidP="009B1BC4">
            <w:pPr>
              <w:spacing w:before="60" w:after="60"/>
              <w:rPr>
                <w:rFonts w:cs="Segoe UI"/>
                <w:lang w:eastAsia="ar-SA"/>
              </w:rPr>
            </w:pPr>
            <w:r w:rsidRPr="007C734C">
              <w:rPr>
                <w:rFonts w:cs="Segoe UI"/>
                <w:lang w:eastAsia="ar-SA"/>
              </w:rPr>
              <w:t xml:space="preserve">urbanizovaná krajina, zdraví a hygiena, biodiverzita, </w:t>
            </w:r>
            <w:r w:rsidRPr="007C734C">
              <w:rPr>
                <w:rFonts w:cs="Segoe UI"/>
                <w:bCs/>
                <w:lang w:eastAsia="ar-SA"/>
              </w:rPr>
              <w:t>cestovní ruch</w:t>
            </w:r>
          </w:p>
        </w:tc>
      </w:tr>
    </w:tbl>
    <w:p w14:paraId="2F2BC649" w14:textId="77777777" w:rsidR="003324BE" w:rsidRPr="007C734C" w:rsidRDefault="003324BE" w:rsidP="003324BE">
      <w:pPr>
        <w:rPr>
          <w:rFonts w:cs="Segoe UI"/>
          <w:b/>
        </w:rPr>
      </w:pPr>
    </w:p>
    <w:p w14:paraId="3D62B0CB" w14:textId="77777777" w:rsidR="003324BE" w:rsidRPr="007C734C" w:rsidRDefault="003324BE" w:rsidP="003324BE">
      <w:pPr>
        <w:keepNext/>
        <w:numPr>
          <w:ilvl w:val="0"/>
          <w:numId w:val="10"/>
        </w:numPr>
        <w:ind w:left="1423" w:hanging="357"/>
        <w:rPr>
          <w:rFonts w:cs="Segoe UI"/>
          <w:b/>
        </w:rPr>
      </w:pPr>
      <w:r w:rsidRPr="007C734C">
        <w:rPr>
          <w:rFonts w:cs="Segoe UI"/>
          <w:b/>
        </w:rPr>
        <w:t>Extrémní vítr</w:t>
      </w:r>
    </w:p>
    <w:tbl>
      <w:tblPr>
        <w:tblW w:w="9082"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4"/>
        <w:gridCol w:w="2958"/>
      </w:tblGrid>
      <w:tr w:rsidR="003324BE" w:rsidRPr="007C734C" w14:paraId="1FDB10EB" w14:textId="77777777" w:rsidTr="009B1BC4">
        <w:tc>
          <w:tcPr>
            <w:tcW w:w="6124" w:type="dxa"/>
            <w:tcMar>
              <w:top w:w="28" w:type="dxa"/>
              <w:left w:w="28" w:type="dxa"/>
              <w:bottom w:w="28" w:type="dxa"/>
              <w:right w:w="28" w:type="dxa"/>
            </w:tcMar>
            <w:vAlign w:val="center"/>
          </w:tcPr>
          <w:p w14:paraId="0E252029" w14:textId="77777777" w:rsidR="003324BE" w:rsidRPr="007C734C" w:rsidRDefault="003324BE" w:rsidP="009B1BC4">
            <w:pPr>
              <w:spacing w:before="60" w:after="60"/>
              <w:rPr>
                <w:rFonts w:cs="Segoe UI"/>
                <w:lang w:eastAsia="ar-SA"/>
              </w:rPr>
            </w:pPr>
            <w:r w:rsidRPr="007C734C">
              <w:rPr>
                <w:rFonts w:cs="Segoe UI"/>
                <w:lang w:eastAsia="ar-SA"/>
              </w:rPr>
              <w:t>Ohrožení zdraví člověka</w:t>
            </w:r>
          </w:p>
        </w:tc>
        <w:tc>
          <w:tcPr>
            <w:tcW w:w="2958" w:type="dxa"/>
          </w:tcPr>
          <w:p w14:paraId="414F7227" w14:textId="77777777" w:rsidR="003324BE" w:rsidRPr="007C734C" w:rsidRDefault="003324BE" w:rsidP="009B1BC4">
            <w:pPr>
              <w:spacing w:before="60" w:after="60"/>
              <w:rPr>
                <w:rFonts w:cs="Segoe UI"/>
                <w:lang w:eastAsia="ar-SA"/>
              </w:rPr>
            </w:pPr>
            <w:r w:rsidRPr="007C734C">
              <w:rPr>
                <w:rFonts w:cs="Segoe UI"/>
                <w:bCs/>
                <w:lang w:eastAsia="ar-SA"/>
              </w:rPr>
              <w:t>urbanizovaná krajina, zdraví a hygiena, cestovní ruch, bezpečnost</w:t>
            </w:r>
          </w:p>
        </w:tc>
      </w:tr>
      <w:tr w:rsidR="003324BE" w:rsidRPr="007C734C" w14:paraId="68DDF9A1" w14:textId="77777777" w:rsidTr="009B1BC4">
        <w:tc>
          <w:tcPr>
            <w:tcW w:w="6124" w:type="dxa"/>
            <w:tcMar>
              <w:top w:w="28" w:type="dxa"/>
              <w:left w:w="28" w:type="dxa"/>
              <w:bottom w:w="28" w:type="dxa"/>
              <w:right w:w="28" w:type="dxa"/>
            </w:tcMar>
            <w:vAlign w:val="center"/>
          </w:tcPr>
          <w:p w14:paraId="3224DD8A" w14:textId="77777777" w:rsidR="003324BE" w:rsidRPr="007C734C" w:rsidRDefault="003324BE" w:rsidP="009B1BC4">
            <w:pPr>
              <w:spacing w:before="60" w:after="60"/>
              <w:rPr>
                <w:rFonts w:cs="Segoe UI"/>
                <w:lang w:eastAsia="ar-SA"/>
              </w:rPr>
            </w:pPr>
            <w:r w:rsidRPr="007C734C">
              <w:rPr>
                <w:rFonts w:cs="Segoe UI"/>
                <w:lang w:eastAsia="ar-SA"/>
              </w:rPr>
              <w:lastRenderedPageBreak/>
              <w:t>Ohrožení funkčnosti kritické infrastruktury</w:t>
            </w:r>
          </w:p>
        </w:tc>
        <w:tc>
          <w:tcPr>
            <w:tcW w:w="2958" w:type="dxa"/>
          </w:tcPr>
          <w:p w14:paraId="4B53CCA0" w14:textId="77777777" w:rsidR="003324BE" w:rsidRPr="007C734C" w:rsidRDefault="003324BE" w:rsidP="009B1BC4">
            <w:pPr>
              <w:spacing w:before="60" w:after="60"/>
              <w:rPr>
                <w:rFonts w:cs="Segoe UI"/>
                <w:lang w:eastAsia="ar-SA"/>
              </w:rPr>
            </w:pPr>
            <w:r w:rsidRPr="007C734C">
              <w:rPr>
                <w:rFonts w:cs="Segoe UI"/>
                <w:lang w:eastAsia="ar-SA"/>
              </w:rPr>
              <w:t>průmysl a energetika, bezpečnost</w:t>
            </w:r>
          </w:p>
        </w:tc>
      </w:tr>
      <w:tr w:rsidR="003324BE" w:rsidRPr="007C734C" w14:paraId="4C054D95" w14:textId="77777777" w:rsidTr="009B1BC4">
        <w:tc>
          <w:tcPr>
            <w:tcW w:w="6124" w:type="dxa"/>
            <w:tcMar>
              <w:top w:w="28" w:type="dxa"/>
              <w:left w:w="28" w:type="dxa"/>
              <w:bottom w:w="28" w:type="dxa"/>
              <w:right w:w="28" w:type="dxa"/>
            </w:tcMar>
            <w:vAlign w:val="center"/>
          </w:tcPr>
          <w:p w14:paraId="26BE77B9" w14:textId="77777777" w:rsidR="003324BE" w:rsidRPr="007C734C" w:rsidRDefault="003324BE" w:rsidP="009B1BC4">
            <w:pPr>
              <w:spacing w:before="60" w:after="60"/>
              <w:rPr>
                <w:rFonts w:cs="Segoe UI"/>
                <w:lang w:eastAsia="ar-SA"/>
              </w:rPr>
            </w:pPr>
            <w:r w:rsidRPr="007C734C">
              <w:rPr>
                <w:rFonts w:cs="Segoe UI"/>
                <w:lang w:eastAsia="ar-SA"/>
              </w:rPr>
              <w:t>Ohrožení lesních porostů</w:t>
            </w:r>
          </w:p>
        </w:tc>
        <w:tc>
          <w:tcPr>
            <w:tcW w:w="2958" w:type="dxa"/>
          </w:tcPr>
          <w:p w14:paraId="7403ACB3" w14:textId="77777777" w:rsidR="003324BE" w:rsidRPr="007C734C" w:rsidRDefault="003324BE" w:rsidP="009B1BC4">
            <w:pPr>
              <w:spacing w:before="60" w:after="60"/>
              <w:rPr>
                <w:rFonts w:cs="Segoe UI"/>
                <w:lang w:eastAsia="ar-SA"/>
              </w:rPr>
            </w:pPr>
            <w:r w:rsidRPr="007C734C">
              <w:rPr>
                <w:rFonts w:cs="Segoe UI"/>
                <w:lang w:eastAsia="ar-SA"/>
              </w:rPr>
              <w:t>lesní hospodářství, cestovní ruch, bezpečnost</w:t>
            </w:r>
          </w:p>
        </w:tc>
      </w:tr>
      <w:tr w:rsidR="003324BE" w:rsidRPr="007C734C" w14:paraId="2F866530" w14:textId="77777777" w:rsidTr="009B1BC4">
        <w:tc>
          <w:tcPr>
            <w:tcW w:w="6124" w:type="dxa"/>
            <w:tcMar>
              <w:top w:w="28" w:type="dxa"/>
              <w:left w:w="28" w:type="dxa"/>
              <w:bottom w:w="28" w:type="dxa"/>
              <w:right w:w="28" w:type="dxa"/>
            </w:tcMar>
            <w:vAlign w:val="center"/>
          </w:tcPr>
          <w:p w14:paraId="027E1F08" w14:textId="77777777" w:rsidR="003324BE" w:rsidRPr="007C734C" w:rsidRDefault="003324BE" w:rsidP="009B1BC4">
            <w:pPr>
              <w:spacing w:before="60" w:after="60"/>
              <w:rPr>
                <w:rFonts w:cs="Segoe UI"/>
                <w:lang w:eastAsia="ar-SA"/>
              </w:rPr>
            </w:pPr>
            <w:r w:rsidRPr="007C734C">
              <w:rPr>
                <w:rFonts w:cs="Segoe UI"/>
                <w:lang w:eastAsia="ar-SA"/>
              </w:rPr>
              <w:t>Narušení dopravy</w:t>
            </w:r>
          </w:p>
        </w:tc>
        <w:tc>
          <w:tcPr>
            <w:tcW w:w="2958" w:type="dxa"/>
          </w:tcPr>
          <w:p w14:paraId="3B79177A" w14:textId="77777777" w:rsidR="003324BE" w:rsidRPr="007C734C" w:rsidRDefault="003324BE" w:rsidP="009B1BC4">
            <w:pPr>
              <w:spacing w:before="60" w:after="60"/>
              <w:rPr>
                <w:rFonts w:cs="Segoe UI"/>
                <w:lang w:eastAsia="ar-SA"/>
              </w:rPr>
            </w:pPr>
            <w:r w:rsidRPr="007C734C">
              <w:rPr>
                <w:rFonts w:cs="Segoe UI"/>
                <w:lang w:eastAsia="ar-SA"/>
              </w:rPr>
              <w:t>doprava, průmysl a energetika, urbanizovaná krajina, bezpečnost, cestovní ruch</w:t>
            </w:r>
          </w:p>
        </w:tc>
      </w:tr>
      <w:tr w:rsidR="003324BE" w:rsidRPr="007C734C" w14:paraId="096D70F4" w14:textId="77777777" w:rsidTr="009B1BC4">
        <w:tc>
          <w:tcPr>
            <w:tcW w:w="612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51E49FF4" w14:textId="77777777" w:rsidR="003324BE" w:rsidRPr="007C734C" w:rsidRDefault="003324BE" w:rsidP="009B1BC4">
            <w:pPr>
              <w:spacing w:before="60" w:after="60"/>
              <w:rPr>
                <w:rFonts w:cs="Segoe UI"/>
                <w:lang w:eastAsia="ar-SA"/>
              </w:rPr>
            </w:pPr>
            <w:r w:rsidRPr="007C734C">
              <w:rPr>
                <w:rFonts w:cs="Segoe UI"/>
                <w:lang w:eastAsia="ar-SA"/>
              </w:rPr>
              <w:t>Zvýšené riziko poškození historických objektů, přírodních památek a infrastruktury cestovního ruchu</w:t>
            </w:r>
          </w:p>
        </w:tc>
        <w:tc>
          <w:tcPr>
            <w:tcW w:w="2958" w:type="dxa"/>
            <w:tcBorders>
              <w:top w:val="single" w:sz="4" w:space="0" w:color="auto"/>
              <w:left w:val="single" w:sz="4" w:space="0" w:color="auto"/>
              <w:bottom w:val="single" w:sz="4" w:space="0" w:color="auto"/>
              <w:right w:val="single" w:sz="4" w:space="0" w:color="auto"/>
            </w:tcBorders>
          </w:tcPr>
          <w:p w14:paraId="4AD9325A" w14:textId="77777777" w:rsidR="003324BE" w:rsidRPr="007C734C" w:rsidRDefault="003324BE" w:rsidP="009B1BC4">
            <w:pPr>
              <w:spacing w:before="60" w:after="60"/>
              <w:rPr>
                <w:rFonts w:cs="Segoe UI"/>
                <w:lang w:eastAsia="ar-SA"/>
              </w:rPr>
            </w:pPr>
            <w:r w:rsidRPr="007C734C">
              <w:rPr>
                <w:rFonts w:cs="Segoe UI"/>
                <w:lang w:eastAsia="ar-SA"/>
              </w:rPr>
              <w:t>cestovní ruch, urbanizovaná krajina, bezpečnost</w:t>
            </w:r>
          </w:p>
        </w:tc>
      </w:tr>
      <w:tr w:rsidR="003324BE" w:rsidRPr="007C734C" w14:paraId="40A59C1A" w14:textId="77777777" w:rsidTr="009B1BC4">
        <w:tc>
          <w:tcPr>
            <w:tcW w:w="612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4692F457" w14:textId="77777777" w:rsidR="003324BE" w:rsidRPr="007C734C" w:rsidRDefault="003324BE" w:rsidP="009B1BC4">
            <w:pPr>
              <w:spacing w:before="60" w:after="60"/>
              <w:rPr>
                <w:rFonts w:cs="Segoe UI"/>
                <w:lang w:eastAsia="ar-SA"/>
              </w:rPr>
            </w:pPr>
            <w:r w:rsidRPr="007C734C">
              <w:rPr>
                <w:rFonts w:cs="Segoe UI"/>
                <w:color w:val="000000"/>
              </w:rPr>
              <w:t>Zvýšení riziko větrné eroze na pozemcích bez patřičných protierozních opatření</w:t>
            </w:r>
          </w:p>
        </w:tc>
        <w:tc>
          <w:tcPr>
            <w:tcW w:w="2958" w:type="dxa"/>
            <w:tcBorders>
              <w:top w:val="single" w:sz="4" w:space="0" w:color="auto"/>
              <w:left w:val="single" w:sz="4" w:space="0" w:color="auto"/>
              <w:bottom w:val="single" w:sz="4" w:space="0" w:color="auto"/>
              <w:right w:val="single" w:sz="4" w:space="0" w:color="auto"/>
            </w:tcBorders>
          </w:tcPr>
          <w:p w14:paraId="0EB49430" w14:textId="77777777" w:rsidR="003324BE" w:rsidRPr="007C734C" w:rsidRDefault="003324BE" w:rsidP="009B1BC4">
            <w:pPr>
              <w:spacing w:before="60" w:after="60"/>
              <w:rPr>
                <w:rFonts w:cs="Segoe UI"/>
                <w:lang w:eastAsia="ar-SA"/>
              </w:rPr>
            </w:pPr>
            <w:r w:rsidRPr="007C734C">
              <w:rPr>
                <w:rFonts w:cs="Segoe UI"/>
                <w:lang w:eastAsia="ar-SA"/>
              </w:rPr>
              <w:t>urbanizovaná krajina, lesní hospodářství, zemědělství</w:t>
            </w:r>
          </w:p>
        </w:tc>
      </w:tr>
    </w:tbl>
    <w:p w14:paraId="2C6260CC" w14:textId="77777777" w:rsidR="003324BE" w:rsidRPr="007C734C" w:rsidRDefault="003324BE" w:rsidP="003324BE">
      <w:pPr>
        <w:rPr>
          <w:rFonts w:cs="Segoe UI"/>
          <w:b/>
        </w:rPr>
      </w:pPr>
    </w:p>
    <w:p w14:paraId="5528334C" w14:textId="77777777" w:rsidR="003324BE" w:rsidRPr="007C734C" w:rsidRDefault="003324BE" w:rsidP="003324BE">
      <w:pPr>
        <w:numPr>
          <w:ilvl w:val="0"/>
          <w:numId w:val="10"/>
        </w:numPr>
        <w:rPr>
          <w:rFonts w:cs="Segoe UI"/>
          <w:b/>
        </w:rPr>
      </w:pPr>
      <w:r w:rsidRPr="007C734C">
        <w:rPr>
          <w:rFonts w:cs="Segoe UI"/>
          <w:b/>
        </w:rPr>
        <w:t>Požáry vegetace</w:t>
      </w:r>
    </w:p>
    <w:tbl>
      <w:tblPr>
        <w:tblW w:w="9082"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4"/>
        <w:gridCol w:w="2958"/>
      </w:tblGrid>
      <w:tr w:rsidR="003324BE" w:rsidRPr="007C734C" w14:paraId="3B827CA4" w14:textId="77777777" w:rsidTr="009B1BC4">
        <w:tc>
          <w:tcPr>
            <w:tcW w:w="6124" w:type="dxa"/>
            <w:tcMar>
              <w:top w:w="28" w:type="dxa"/>
              <w:left w:w="28" w:type="dxa"/>
              <w:bottom w:w="28" w:type="dxa"/>
              <w:right w:w="28" w:type="dxa"/>
            </w:tcMar>
            <w:vAlign w:val="center"/>
          </w:tcPr>
          <w:p w14:paraId="0244C580" w14:textId="77777777" w:rsidR="003324BE" w:rsidRPr="007C734C" w:rsidRDefault="003324BE" w:rsidP="009B1BC4">
            <w:pPr>
              <w:spacing w:before="60" w:after="60"/>
              <w:rPr>
                <w:rFonts w:cs="Segoe UI"/>
                <w:lang w:eastAsia="cs-CZ"/>
              </w:rPr>
            </w:pPr>
            <w:r w:rsidRPr="007C734C">
              <w:rPr>
                <w:rFonts w:cs="Segoe UI"/>
                <w:lang w:eastAsia="cs-CZ"/>
              </w:rPr>
              <w:t>Ohrožení zdraví člověka</w:t>
            </w:r>
          </w:p>
        </w:tc>
        <w:tc>
          <w:tcPr>
            <w:tcW w:w="2958" w:type="dxa"/>
          </w:tcPr>
          <w:p w14:paraId="23597FA4" w14:textId="77777777" w:rsidR="003324BE" w:rsidRPr="007C734C" w:rsidRDefault="003324BE" w:rsidP="009B1BC4">
            <w:pPr>
              <w:spacing w:before="60" w:after="60"/>
              <w:rPr>
                <w:rFonts w:cs="Segoe UI"/>
                <w:lang w:eastAsia="cs-CZ"/>
              </w:rPr>
            </w:pPr>
            <w:r w:rsidRPr="007C734C">
              <w:rPr>
                <w:rFonts w:cs="Segoe UI"/>
                <w:lang w:eastAsia="cs-CZ"/>
              </w:rPr>
              <w:t xml:space="preserve">zdraví a hygiena, cestovní ruch, </w:t>
            </w:r>
            <w:r w:rsidRPr="007C734C">
              <w:rPr>
                <w:rFonts w:cs="Segoe UI"/>
                <w:lang w:eastAsia="ar-SA"/>
              </w:rPr>
              <w:t>bezpečnost</w:t>
            </w:r>
          </w:p>
        </w:tc>
      </w:tr>
      <w:tr w:rsidR="003324BE" w:rsidRPr="007C734C" w14:paraId="647CEC97" w14:textId="77777777" w:rsidTr="009B1BC4">
        <w:tc>
          <w:tcPr>
            <w:tcW w:w="6124" w:type="dxa"/>
            <w:tcMar>
              <w:top w:w="28" w:type="dxa"/>
              <w:left w:w="28" w:type="dxa"/>
              <w:bottom w:w="28" w:type="dxa"/>
              <w:right w:w="28" w:type="dxa"/>
            </w:tcMar>
            <w:vAlign w:val="center"/>
          </w:tcPr>
          <w:p w14:paraId="17F463B1" w14:textId="77777777" w:rsidR="003324BE" w:rsidRPr="007C734C" w:rsidRDefault="003324BE" w:rsidP="009B1BC4">
            <w:pPr>
              <w:spacing w:before="60" w:after="60"/>
              <w:rPr>
                <w:rFonts w:cs="Segoe UI"/>
                <w:lang w:eastAsia="cs-CZ"/>
              </w:rPr>
            </w:pPr>
            <w:r w:rsidRPr="007C734C">
              <w:rPr>
                <w:rFonts w:cs="Segoe UI"/>
                <w:lang w:eastAsia="cs-CZ"/>
              </w:rPr>
              <w:t>Ohrožení funkčnosti kritické infrastruktury</w:t>
            </w:r>
          </w:p>
        </w:tc>
        <w:tc>
          <w:tcPr>
            <w:tcW w:w="2958" w:type="dxa"/>
          </w:tcPr>
          <w:p w14:paraId="15A1350D" w14:textId="77777777" w:rsidR="003324BE" w:rsidRPr="007C734C" w:rsidRDefault="003324BE" w:rsidP="009B1BC4">
            <w:pPr>
              <w:spacing w:before="60" w:after="60"/>
              <w:rPr>
                <w:rFonts w:cs="Segoe UI"/>
                <w:lang w:eastAsia="cs-CZ"/>
              </w:rPr>
            </w:pPr>
            <w:r w:rsidRPr="007C734C">
              <w:rPr>
                <w:rFonts w:cs="Segoe UI"/>
                <w:lang w:eastAsia="cs-CZ"/>
              </w:rPr>
              <w:t xml:space="preserve">průmysl a energetika, vodní hospodářství, </w:t>
            </w:r>
            <w:r w:rsidRPr="007C734C">
              <w:rPr>
                <w:rFonts w:cs="Segoe UI"/>
                <w:lang w:eastAsia="ar-SA"/>
              </w:rPr>
              <w:t>bezpečnost</w:t>
            </w:r>
          </w:p>
        </w:tc>
      </w:tr>
      <w:tr w:rsidR="003324BE" w:rsidRPr="007C734C" w14:paraId="41BD2632" w14:textId="77777777" w:rsidTr="009B1BC4">
        <w:tc>
          <w:tcPr>
            <w:tcW w:w="6124" w:type="dxa"/>
            <w:tcMar>
              <w:top w:w="28" w:type="dxa"/>
              <w:left w:w="28" w:type="dxa"/>
              <w:bottom w:w="28" w:type="dxa"/>
              <w:right w:w="28" w:type="dxa"/>
            </w:tcMar>
            <w:vAlign w:val="center"/>
          </w:tcPr>
          <w:p w14:paraId="278D57E4" w14:textId="77777777" w:rsidR="003324BE" w:rsidRPr="007C734C" w:rsidRDefault="003324BE" w:rsidP="009B1BC4">
            <w:pPr>
              <w:spacing w:before="60" w:after="60"/>
              <w:rPr>
                <w:rFonts w:cs="Segoe UI"/>
                <w:lang w:eastAsia="cs-CZ"/>
              </w:rPr>
            </w:pPr>
            <w:r w:rsidRPr="007C734C">
              <w:rPr>
                <w:rFonts w:cs="Segoe UI"/>
                <w:lang w:eastAsia="cs-CZ"/>
              </w:rPr>
              <w:t>Ekonomické ztráty v oblasti lesnictví, zemědělství</w:t>
            </w:r>
          </w:p>
        </w:tc>
        <w:tc>
          <w:tcPr>
            <w:tcW w:w="2958" w:type="dxa"/>
          </w:tcPr>
          <w:p w14:paraId="7471830B" w14:textId="77777777" w:rsidR="003324BE" w:rsidRPr="007C734C" w:rsidRDefault="003324BE" w:rsidP="009B1BC4">
            <w:pPr>
              <w:spacing w:before="60" w:after="60"/>
              <w:rPr>
                <w:rFonts w:cs="Segoe UI"/>
                <w:lang w:eastAsia="cs-CZ"/>
              </w:rPr>
            </w:pPr>
            <w:r w:rsidRPr="007C734C">
              <w:rPr>
                <w:rFonts w:cs="Segoe UI"/>
                <w:lang w:eastAsia="cs-CZ"/>
              </w:rPr>
              <w:t xml:space="preserve">lesní hospodářství, zemědělství, </w:t>
            </w:r>
            <w:r w:rsidRPr="007C734C">
              <w:rPr>
                <w:rFonts w:cs="Segoe UI"/>
                <w:lang w:eastAsia="ar-SA"/>
              </w:rPr>
              <w:t>bezpečnost</w:t>
            </w:r>
          </w:p>
        </w:tc>
      </w:tr>
      <w:tr w:rsidR="003324BE" w:rsidRPr="007C734C" w14:paraId="57341759" w14:textId="77777777" w:rsidTr="009B1BC4">
        <w:tc>
          <w:tcPr>
            <w:tcW w:w="612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106F26E8" w14:textId="77777777" w:rsidR="003324BE" w:rsidRPr="007C734C" w:rsidRDefault="003324BE" w:rsidP="009B1BC4">
            <w:pPr>
              <w:spacing w:before="60" w:after="60"/>
              <w:rPr>
                <w:rFonts w:cs="Segoe UI"/>
                <w:lang w:eastAsia="cs-CZ"/>
              </w:rPr>
            </w:pPr>
            <w:r w:rsidRPr="007C734C">
              <w:rPr>
                <w:rFonts w:cs="Segoe UI"/>
                <w:lang w:eastAsia="cs-CZ"/>
              </w:rPr>
              <w:t>Ohrožení vodních zdrojů v okolí požárů</w:t>
            </w:r>
          </w:p>
        </w:tc>
        <w:tc>
          <w:tcPr>
            <w:tcW w:w="2958" w:type="dxa"/>
            <w:tcBorders>
              <w:top w:val="single" w:sz="4" w:space="0" w:color="auto"/>
              <w:left w:val="single" w:sz="4" w:space="0" w:color="auto"/>
              <w:bottom w:val="single" w:sz="4" w:space="0" w:color="auto"/>
              <w:right w:val="single" w:sz="4" w:space="0" w:color="auto"/>
            </w:tcBorders>
          </w:tcPr>
          <w:p w14:paraId="1334447C" w14:textId="77777777" w:rsidR="003324BE" w:rsidRPr="007C734C" w:rsidRDefault="003324BE" w:rsidP="009B1BC4">
            <w:pPr>
              <w:spacing w:before="60" w:after="60"/>
              <w:rPr>
                <w:rFonts w:cs="Segoe UI"/>
                <w:lang w:eastAsia="cs-CZ"/>
              </w:rPr>
            </w:pPr>
            <w:r w:rsidRPr="007C734C">
              <w:rPr>
                <w:rFonts w:cs="Segoe UI"/>
                <w:lang w:eastAsia="cs-CZ"/>
              </w:rPr>
              <w:t>vodní hospodářství zemědělství, lesní hospodářství</w:t>
            </w:r>
          </w:p>
        </w:tc>
      </w:tr>
      <w:tr w:rsidR="003324BE" w:rsidRPr="007C734C" w14:paraId="2EA402CF" w14:textId="77777777" w:rsidTr="009B1BC4">
        <w:tc>
          <w:tcPr>
            <w:tcW w:w="612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0470840F" w14:textId="77777777" w:rsidR="003324BE" w:rsidRPr="007C734C" w:rsidRDefault="003324BE" w:rsidP="009B1BC4">
            <w:pPr>
              <w:spacing w:before="60" w:after="60"/>
              <w:rPr>
                <w:rFonts w:cs="Segoe UI"/>
                <w:lang w:eastAsia="cs-CZ"/>
              </w:rPr>
            </w:pPr>
            <w:r w:rsidRPr="007C734C">
              <w:rPr>
                <w:rFonts w:cs="Segoe UI"/>
                <w:lang w:eastAsia="cs-CZ"/>
              </w:rPr>
              <w:t>Ohrožení historických objektů, sbírek, archivů</w:t>
            </w:r>
          </w:p>
        </w:tc>
        <w:tc>
          <w:tcPr>
            <w:tcW w:w="2958" w:type="dxa"/>
            <w:tcBorders>
              <w:top w:val="single" w:sz="4" w:space="0" w:color="auto"/>
              <w:left w:val="single" w:sz="4" w:space="0" w:color="auto"/>
              <w:bottom w:val="single" w:sz="4" w:space="0" w:color="auto"/>
              <w:right w:val="single" w:sz="4" w:space="0" w:color="auto"/>
            </w:tcBorders>
          </w:tcPr>
          <w:p w14:paraId="6B86D4F1" w14:textId="77777777" w:rsidR="003324BE" w:rsidRPr="007C734C" w:rsidRDefault="003324BE" w:rsidP="009B1BC4">
            <w:pPr>
              <w:spacing w:before="60" w:after="60"/>
              <w:rPr>
                <w:rFonts w:cs="Segoe UI"/>
                <w:lang w:eastAsia="cs-CZ"/>
              </w:rPr>
            </w:pPr>
            <w:r w:rsidRPr="007C734C">
              <w:rPr>
                <w:rFonts w:cs="Segoe UI"/>
                <w:lang w:eastAsia="cs-CZ"/>
              </w:rPr>
              <w:t xml:space="preserve">cestovní ruch, urbanizovaná krajina, </w:t>
            </w:r>
            <w:r w:rsidRPr="007C734C">
              <w:rPr>
                <w:rFonts w:cs="Segoe UI"/>
                <w:lang w:eastAsia="ar-SA"/>
              </w:rPr>
              <w:t>bezpečnost</w:t>
            </w:r>
          </w:p>
        </w:tc>
      </w:tr>
      <w:tr w:rsidR="003324BE" w:rsidRPr="007C734C" w14:paraId="62431C68" w14:textId="77777777" w:rsidTr="009B1BC4">
        <w:tc>
          <w:tcPr>
            <w:tcW w:w="612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650C9058" w14:textId="77777777" w:rsidR="003324BE" w:rsidRPr="007C734C" w:rsidRDefault="003324BE" w:rsidP="009B1BC4">
            <w:pPr>
              <w:spacing w:before="60" w:after="60"/>
              <w:rPr>
                <w:rFonts w:cs="Segoe UI"/>
                <w:lang w:eastAsia="cs-CZ"/>
              </w:rPr>
            </w:pPr>
            <w:r w:rsidRPr="007C734C">
              <w:rPr>
                <w:rFonts w:cs="Segoe UI"/>
                <w:lang w:eastAsia="cs-CZ"/>
              </w:rPr>
              <w:t>Ohrožení infrastruktury cestovního ruchu</w:t>
            </w:r>
          </w:p>
        </w:tc>
        <w:tc>
          <w:tcPr>
            <w:tcW w:w="2958" w:type="dxa"/>
            <w:tcBorders>
              <w:top w:val="single" w:sz="4" w:space="0" w:color="auto"/>
              <w:left w:val="single" w:sz="4" w:space="0" w:color="auto"/>
              <w:bottom w:val="single" w:sz="4" w:space="0" w:color="auto"/>
              <w:right w:val="single" w:sz="4" w:space="0" w:color="auto"/>
            </w:tcBorders>
          </w:tcPr>
          <w:p w14:paraId="2E0A754F" w14:textId="77777777" w:rsidR="003324BE" w:rsidRPr="007C734C" w:rsidRDefault="003324BE" w:rsidP="009B1BC4">
            <w:pPr>
              <w:spacing w:before="60" w:after="60"/>
              <w:rPr>
                <w:rFonts w:cs="Segoe UI"/>
                <w:lang w:eastAsia="cs-CZ"/>
              </w:rPr>
            </w:pPr>
            <w:r w:rsidRPr="007C734C">
              <w:rPr>
                <w:rFonts w:cs="Segoe UI"/>
                <w:lang w:eastAsia="cs-CZ"/>
              </w:rPr>
              <w:t>cestovní ruch</w:t>
            </w:r>
          </w:p>
        </w:tc>
      </w:tr>
    </w:tbl>
    <w:p w14:paraId="468EAF0F" w14:textId="77777777" w:rsidR="003324BE" w:rsidRPr="00104606" w:rsidRDefault="003324BE" w:rsidP="003324BE">
      <w:pPr>
        <w:rPr>
          <w:rFonts w:cs="Segoe UI"/>
        </w:rPr>
      </w:pPr>
    </w:p>
    <w:p w14:paraId="55857EB2" w14:textId="5A92BC24" w:rsidR="00D82E82" w:rsidRPr="007C734C" w:rsidRDefault="00D82E82" w:rsidP="00DB1A0B">
      <w:pPr>
        <w:pStyle w:val="Nadpis4"/>
      </w:pPr>
      <w:bookmarkStart w:id="113" w:name="_Prověřování_–_analýza"/>
      <w:bookmarkEnd w:id="113"/>
      <w:r>
        <w:t>Prověřování – analýza zranitelnosti – f</w:t>
      </w:r>
      <w:r w:rsidRPr="007C734C">
        <w:t xml:space="preserve">áze 1 </w:t>
      </w:r>
    </w:p>
    <w:p w14:paraId="7D5A460E" w14:textId="77777777" w:rsidR="00D82E82" w:rsidRPr="007C734C" w:rsidRDefault="00D82E82" w:rsidP="00D82E82">
      <w:pPr>
        <w:rPr>
          <w:rFonts w:cs="Segoe UI"/>
        </w:rPr>
      </w:pPr>
      <w:r w:rsidRPr="007C734C">
        <w:rPr>
          <w:rFonts w:cs="Segoe UI"/>
        </w:rPr>
        <w:t>Fáze 1 odpovídá na otázku, zda jsou s projektem spojena významná potenciální klimatická rizika vyžadující podrobnou analýzu skrze analýzu citlivosti, expozice a zranitelnosti.</w:t>
      </w:r>
    </w:p>
    <w:p w14:paraId="35D49826" w14:textId="6A93DBD3" w:rsidR="003324BE" w:rsidRPr="003324BE" w:rsidRDefault="003324BE" w:rsidP="00DB1A0B">
      <w:pPr>
        <w:pStyle w:val="Nadpis5"/>
      </w:pPr>
      <w:r w:rsidRPr="003324BE">
        <w:t>Analýza citlivosti</w:t>
      </w:r>
    </w:p>
    <w:p w14:paraId="0B3E8DA9" w14:textId="31CA380A" w:rsidR="00D82E82" w:rsidRDefault="00D82E82" w:rsidP="00D82E82">
      <w:pPr>
        <w:rPr>
          <w:rFonts w:cs="Segoe UI"/>
        </w:rPr>
      </w:pPr>
      <w:r w:rsidRPr="007C734C">
        <w:rPr>
          <w:rFonts w:cs="Segoe UI"/>
        </w:rPr>
        <w:t>Zpracovatel vypracuje analýzu citlivosti (daného typu projektu bez ohledu na jeho umístění). Analýza citlivosti se vztahuje na aktiva a procesy na místě, vstupy – voda, energie, výstupy – výrobky, služby, přístup a dopravní spoje.</w:t>
      </w:r>
    </w:p>
    <w:tbl>
      <w:tblPr>
        <w:tblStyle w:val="Mkatabulky2"/>
        <w:tblW w:w="9356" w:type="dxa"/>
        <w:tblInd w:w="-5" w:type="dxa"/>
        <w:tblLayout w:type="fixed"/>
        <w:tblLook w:val="04A0" w:firstRow="1" w:lastRow="0" w:firstColumn="1" w:lastColumn="0" w:noHBand="0" w:noVBand="1"/>
      </w:tblPr>
      <w:tblGrid>
        <w:gridCol w:w="426"/>
        <w:gridCol w:w="1559"/>
        <w:gridCol w:w="992"/>
        <w:gridCol w:w="1134"/>
        <w:gridCol w:w="992"/>
        <w:gridCol w:w="852"/>
        <w:gridCol w:w="1133"/>
        <w:gridCol w:w="1134"/>
        <w:gridCol w:w="1134"/>
      </w:tblGrid>
      <w:tr w:rsidR="00D82E82" w:rsidRPr="007C734C" w14:paraId="536590AE" w14:textId="77777777" w:rsidTr="009B1BC4">
        <w:trPr>
          <w:trHeight w:val="613"/>
        </w:trPr>
        <w:tc>
          <w:tcPr>
            <w:tcW w:w="9356" w:type="dxa"/>
            <w:gridSpan w:val="9"/>
            <w:shd w:val="clear" w:color="auto" w:fill="D5DCE4" w:themeFill="text2" w:themeFillTint="33"/>
            <w:vAlign w:val="center"/>
          </w:tcPr>
          <w:p w14:paraId="79CD488F" w14:textId="77777777" w:rsidR="00D82E82" w:rsidRPr="007C734C" w:rsidRDefault="00D82E82" w:rsidP="009B1BC4">
            <w:pPr>
              <w:rPr>
                <w:rFonts w:cs="Segoe UI"/>
                <w:b/>
                <w:bCs/>
              </w:rPr>
            </w:pPr>
            <w:r w:rsidRPr="007C734C">
              <w:rPr>
                <w:rFonts w:cs="Segoe UI"/>
                <w:b/>
                <w:bCs/>
              </w:rPr>
              <w:lastRenderedPageBreak/>
              <w:t>Analýza citlivosti</w:t>
            </w:r>
          </w:p>
        </w:tc>
      </w:tr>
      <w:tr w:rsidR="00D82E82" w:rsidRPr="007C734C" w14:paraId="5666977D" w14:textId="77777777" w:rsidTr="009B1BC4">
        <w:trPr>
          <w:trHeight w:val="613"/>
        </w:trPr>
        <w:tc>
          <w:tcPr>
            <w:tcW w:w="1985" w:type="dxa"/>
            <w:gridSpan w:val="2"/>
            <w:vMerge w:val="restart"/>
            <w:shd w:val="clear" w:color="auto" w:fill="D5DCE4" w:themeFill="text2" w:themeFillTint="33"/>
            <w:vAlign w:val="center"/>
          </w:tcPr>
          <w:p w14:paraId="7A6C516D" w14:textId="77777777" w:rsidR="00D82E82" w:rsidRPr="007C734C" w:rsidRDefault="00D82E82" w:rsidP="009B1BC4">
            <w:pPr>
              <w:tabs>
                <w:tab w:val="left" w:pos="0"/>
              </w:tabs>
              <w:rPr>
                <w:rFonts w:cs="Segoe UI"/>
                <w:b/>
                <w:bCs/>
              </w:rPr>
            </w:pPr>
            <w:r w:rsidRPr="007C734C">
              <w:rPr>
                <w:rFonts w:cs="Segoe UI"/>
                <w:b/>
                <w:bCs/>
              </w:rPr>
              <w:t>Skóre citlivosti (Nízké / Střední / Vysoké)</w:t>
            </w:r>
          </w:p>
        </w:tc>
        <w:tc>
          <w:tcPr>
            <w:tcW w:w="7371" w:type="dxa"/>
            <w:gridSpan w:val="7"/>
            <w:shd w:val="clear" w:color="auto" w:fill="D5DCE4" w:themeFill="text2" w:themeFillTint="33"/>
            <w:vAlign w:val="center"/>
          </w:tcPr>
          <w:p w14:paraId="287CCA38" w14:textId="77777777" w:rsidR="00D82E82" w:rsidRPr="007C734C" w:rsidRDefault="00D82E82" w:rsidP="009B1BC4">
            <w:pPr>
              <w:rPr>
                <w:rFonts w:cs="Segoe UI"/>
                <w:b/>
                <w:bCs/>
              </w:rPr>
            </w:pPr>
            <w:r w:rsidRPr="007C734C">
              <w:rPr>
                <w:rFonts w:cs="Segoe UI"/>
                <w:b/>
                <w:bCs/>
              </w:rPr>
              <w:t>Klimatická nebezpečí</w:t>
            </w:r>
          </w:p>
        </w:tc>
      </w:tr>
      <w:tr w:rsidR="00D82E82" w:rsidRPr="007C734C" w14:paraId="13EFF40D" w14:textId="77777777" w:rsidTr="009B1BC4">
        <w:trPr>
          <w:trHeight w:val="885"/>
        </w:trPr>
        <w:tc>
          <w:tcPr>
            <w:tcW w:w="1985" w:type="dxa"/>
            <w:gridSpan w:val="2"/>
            <w:vMerge/>
            <w:tcBorders>
              <w:bottom w:val="single" w:sz="4" w:space="0" w:color="auto"/>
            </w:tcBorders>
            <w:shd w:val="clear" w:color="auto" w:fill="D5DCE4" w:themeFill="text2" w:themeFillTint="33"/>
            <w:vAlign w:val="center"/>
          </w:tcPr>
          <w:p w14:paraId="38CE8BC0" w14:textId="77777777" w:rsidR="00D82E82" w:rsidRPr="007C734C" w:rsidRDefault="00D82E82" w:rsidP="009B1BC4">
            <w:pPr>
              <w:tabs>
                <w:tab w:val="left" w:pos="0"/>
              </w:tabs>
              <w:rPr>
                <w:rFonts w:cs="Segoe UI"/>
                <w:b/>
                <w:bCs/>
              </w:rPr>
            </w:pPr>
          </w:p>
        </w:tc>
        <w:tc>
          <w:tcPr>
            <w:tcW w:w="992" w:type="dxa"/>
            <w:tcBorders>
              <w:bottom w:val="single" w:sz="4" w:space="0" w:color="auto"/>
            </w:tcBorders>
            <w:shd w:val="clear" w:color="auto" w:fill="D5DCE4" w:themeFill="text2" w:themeFillTint="33"/>
            <w:vAlign w:val="center"/>
          </w:tcPr>
          <w:p w14:paraId="66D40975" w14:textId="77777777" w:rsidR="00D82E82" w:rsidRPr="007C734C" w:rsidRDefault="00D82E82" w:rsidP="009B1BC4">
            <w:pPr>
              <w:rPr>
                <w:rFonts w:cs="Segoe UI"/>
              </w:rPr>
            </w:pPr>
            <w:r w:rsidRPr="007C734C">
              <w:rPr>
                <w:rFonts w:cs="Segoe UI"/>
              </w:rPr>
              <w:t>Dlouho-dobé sucho</w:t>
            </w:r>
          </w:p>
        </w:tc>
        <w:tc>
          <w:tcPr>
            <w:tcW w:w="1134" w:type="dxa"/>
            <w:tcBorders>
              <w:bottom w:val="single" w:sz="4" w:space="0" w:color="auto"/>
            </w:tcBorders>
            <w:shd w:val="clear" w:color="auto" w:fill="D5DCE4" w:themeFill="text2" w:themeFillTint="33"/>
            <w:vAlign w:val="center"/>
          </w:tcPr>
          <w:p w14:paraId="6F7BBCFF" w14:textId="77777777" w:rsidR="00D82E82" w:rsidRPr="007C734C" w:rsidRDefault="00D82E82" w:rsidP="009B1BC4">
            <w:pPr>
              <w:rPr>
                <w:rFonts w:cs="Segoe UI"/>
              </w:rPr>
            </w:pPr>
            <w:r w:rsidRPr="007C734C">
              <w:rPr>
                <w:rFonts w:cs="Segoe UI"/>
              </w:rPr>
              <w:t>Povodně a přívalové povodně</w:t>
            </w:r>
          </w:p>
        </w:tc>
        <w:tc>
          <w:tcPr>
            <w:tcW w:w="992" w:type="dxa"/>
            <w:tcBorders>
              <w:bottom w:val="single" w:sz="4" w:space="0" w:color="auto"/>
            </w:tcBorders>
            <w:shd w:val="clear" w:color="auto" w:fill="D5DCE4" w:themeFill="text2" w:themeFillTint="33"/>
            <w:vAlign w:val="center"/>
          </w:tcPr>
          <w:p w14:paraId="790E6743" w14:textId="77777777" w:rsidR="00D82E82" w:rsidRPr="007C734C" w:rsidRDefault="00D82E82" w:rsidP="009B1BC4">
            <w:pPr>
              <w:rPr>
                <w:rFonts w:cs="Segoe UI"/>
              </w:rPr>
            </w:pPr>
            <w:r w:rsidRPr="007C734C">
              <w:rPr>
                <w:rFonts w:cs="Segoe UI"/>
              </w:rPr>
              <w:t>Vydatné srážky</w:t>
            </w:r>
          </w:p>
        </w:tc>
        <w:tc>
          <w:tcPr>
            <w:tcW w:w="852" w:type="dxa"/>
            <w:tcBorders>
              <w:bottom w:val="single" w:sz="4" w:space="0" w:color="auto"/>
            </w:tcBorders>
            <w:shd w:val="clear" w:color="auto" w:fill="D5DCE4" w:themeFill="text2" w:themeFillTint="33"/>
            <w:vAlign w:val="center"/>
          </w:tcPr>
          <w:p w14:paraId="389C7372" w14:textId="77777777" w:rsidR="00D82E82" w:rsidRPr="007C734C" w:rsidRDefault="00D82E82" w:rsidP="009B1BC4">
            <w:pPr>
              <w:rPr>
                <w:rFonts w:cs="Segoe UI"/>
              </w:rPr>
            </w:pPr>
            <w:proofErr w:type="spellStart"/>
            <w:r w:rsidRPr="007C734C">
              <w:rPr>
                <w:rFonts w:cs="Segoe UI"/>
              </w:rPr>
              <w:t>Zvyšo</w:t>
            </w:r>
            <w:proofErr w:type="spellEnd"/>
            <w:r w:rsidRPr="007C734C">
              <w:rPr>
                <w:rFonts w:cs="Segoe UI"/>
              </w:rPr>
              <w:t>-vání teplot</w:t>
            </w:r>
          </w:p>
        </w:tc>
        <w:tc>
          <w:tcPr>
            <w:tcW w:w="1133" w:type="dxa"/>
            <w:tcBorders>
              <w:bottom w:val="single" w:sz="4" w:space="0" w:color="auto"/>
            </w:tcBorders>
            <w:shd w:val="clear" w:color="auto" w:fill="D5DCE4" w:themeFill="text2" w:themeFillTint="33"/>
            <w:vAlign w:val="center"/>
          </w:tcPr>
          <w:p w14:paraId="6505AADD" w14:textId="77777777" w:rsidR="00D82E82" w:rsidRPr="007C734C" w:rsidRDefault="00D82E82" w:rsidP="009B1BC4">
            <w:pPr>
              <w:rPr>
                <w:rFonts w:cs="Segoe UI"/>
              </w:rPr>
            </w:pPr>
            <w:r w:rsidRPr="007C734C">
              <w:rPr>
                <w:rFonts w:cs="Segoe UI"/>
              </w:rPr>
              <w:t>Extrémně vysoké teploty</w:t>
            </w:r>
          </w:p>
        </w:tc>
        <w:tc>
          <w:tcPr>
            <w:tcW w:w="1134" w:type="dxa"/>
            <w:tcBorders>
              <w:bottom w:val="single" w:sz="4" w:space="0" w:color="auto"/>
            </w:tcBorders>
            <w:shd w:val="clear" w:color="auto" w:fill="D5DCE4" w:themeFill="text2" w:themeFillTint="33"/>
            <w:vAlign w:val="center"/>
          </w:tcPr>
          <w:p w14:paraId="2578C0F2" w14:textId="77777777" w:rsidR="00D82E82" w:rsidRPr="007C734C" w:rsidRDefault="00D82E82" w:rsidP="009B1BC4">
            <w:pPr>
              <w:rPr>
                <w:rFonts w:cs="Segoe UI"/>
              </w:rPr>
            </w:pPr>
            <w:r w:rsidRPr="007C734C">
              <w:rPr>
                <w:rFonts w:cs="Segoe UI"/>
              </w:rPr>
              <w:t>Extrémní vítr</w:t>
            </w:r>
          </w:p>
        </w:tc>
        <w:tc>
          <w:tcPr>
            <w:tcW w:w="1134" w:type="dxa"/>
            <w:tcBorders>
              <w:bottom w:val="single" w:sz="4" w:space="0" w:color="auto"/>
            </w:tcBorders>
            <w:shd w:val="clear" w:color="auto" w:fill="D5DCE4" w:themeFill="text2" w:themeFillTint="33"/>
            <w:vAlign w:val="center"/>
          </w:tcPr>
          <w:p w14:paraId="248EC388" w14:textId="77777777" w:rsidR="00D82E82" w:rsidRPr="007C734C" w:rsidRDefault="00D82E82" w:rsidP="009B1BC4">
            <w:pPr>
              <w:rPr>
                <w:rFonts w:cs="Segoe UI"/>
              </w:rPr>
            </w:pPr>
            <w:r w:rsidRPr="007C734C">
              <w:rPr>
                <w:rFonts w:cs="Segoe UI"/>
              </w:rPr>
              <w:t>Požáry vegetace</w:t>
            </w:r>
          </w:p>
        </w:tc>
      </w:tr>
      <w:tr w:rsidR="00D82E82" w:rsidRPr="007C734C" w14:paraId="25339034" w14:textId="77777777" w:rsidTr="009B1BC4">
        <w:trPr>
          <w:trHeight w:val="474"/>
        </w:trPr>
        <w:tc>
          <w:tcPr>
            <w:tcW w:w="426" w:type="dxa"/>
            <w:vMerge w:val="restart"/>
            <w:shd w:val="clear" w:color="auto" w:fill="D5DCE4" w:themeFill="text2" w:themeFillTint="33"/>
            <w:textDirection w:val="btLr"/>
            <w:vAlign w:val="center"/>
          </w:tcPr>
          <w:p w14:paraId="777260AC" w14:textId="77777777" w:rsidR="00D82E82" w:rsidRPr="007C734C" w:rsidRDefault="00D82E82" w:rsidP="009B1BC4">
            <w:pPr>
              <w:tabs>
                <w:tab w:val="left" w:pos="0"/>
              </w:tabs>
              <w:ind w:left="113" w:right="113"/>
              <w:rPr>
                <w:rFonts w:cs="Segoe UI"/>
                <w:b/>
                <w:bCs/>
              </w:rPr>
            </w:pPr>
            <w:r w:rsidRPr="007C734C">
              <w:rPr>
                <w:rFonts w:cs="Segoe UI"/>
                <w:b/>
                <w:bCs/>
              </w:rPr>
              <w:t>Témata</w:t>
            </w:r>
          </w:p>
        </w:tc>
        <w:tc>
          <w:tcPr>
            <w:tcW w:w="1559" w:type="dxa"/>
            <w:shd w:val="clear" w:color="auto" w:fill="D5DCE4" w:themeFill="text2" w:themeFillTint="33"/>
            <w:vAlign w:val="center"/>
          </w:tcPr>
          <w:p w14:paraId="79F3B166" w14:textId="77777777" w:rsidR="00D82E82" w:rsidRPr="007C734C" w:rsidRDefault="00D82E82" w:rsidP="009B1BC4">
            <w:pPr>
              <w:tabs>
                <w:tab w:val="left" w:pos="0"/>
              </w:tabs>
              <w:rPr>
                <w:rFonts w:cs="Segoe UI"/>
              </w:rPr>
            </w:pPr>
            <w:r w:rsidRPr="007C734C">
              <w:rPr>
                <w:rFonts w:cs="Segoe UI"/>
              </w:rPr>
              <w:t>Aktiva a procesy na místě</w:t>
            </w:r>
          </w:p>
        </w:tc>
        <w:tc>
          <w:tcPr>
            <w:tcW w:w="992" w:type="dxa"/>
            <w:vAlign w:val="center"/>
          </w:tcPr>
          <w:p w14:paraId="14E98D45" w14:textId="77777777" w:rsidR="00D82E82" w:rsidRPr="007C734C" w:rsidRDefault="00D82E82" w:rsidP="009B1BC4">
            <w:pPr>
              <w:rPr>
                <w:rFonts w:cs="Segoe UI"/>
                <w:i/>
                <w:iCs/>
              </w:rPr>
            </w:pPr>
            <w:r w:rsidRPr="007C734C">
              <w:rPr>
                <w:rFonts w:cs="Segoe UI"/>
                <w:i/>
                <w:iCs/>
              </w:rPr>
              <w:t>N/S/V</w:t>
            </w:r>
          </w:p>
        </w:tc>
        <w:tc>
          <w:tcPr>
            <w:tcW w:w="1134" w:type="dxa"/>
            <w:vAlign w:val="center"/>
          </w:tcPr>
          <w:p w14:paraId="5EDD433E" w14:textId="77777777" w:rsidR="00D82E82" w:rsidRPr="007C734C" w:rsidRDefault="00D82E82" w:rsidP="009B1BC4">
            <w:pPr>
              <w:rPr>
                <w:rFonts w:cs="Segoe UI"/>
                <w:i/>
                <w:iCs/>
              </w:rPr>
            </w:pPr>
            <w:r w:rsidRPr="007C734C">
              <w:rPr>
                <w:rFonts w:cs="Segoe UI"/>
                <w:i/>
                <w:iCs/>
              </w:rPr>
              <w:t>N/S/V</w:t>
            </w:r>
          </w:p>
        </w:tc>
        <w:tc>
          <w:tcPr>
            <w:tcW w:w="992" w:type="dxa"/>
            <w:vAlign w:val="center"/>
          </w:tcPr>
          <w:p w14:paraId="69697DAF" w14:textId="77777777" w:rsidR="00D82E82" w:rsidRPr="007C734C" w:rsidRDefault="00D82E82" w:rsidP="009B1BC4">
            <w:pPr>
              <w:rPr>
                <w:rFonts w:cs="Segoe UI"/>
                <w:i/>
                <w:iCs/>
              </w:rPr>
            </w:pPr>
            <w:r w:rsidRPr="007C734C">
              <w:rPr>
                <w:rFonts w:cs="Segoe UI"/>
                <w:i/>
                <w:iCs/>
              </w:rPr>
              <w:t>N/S/V</w:t>
            </w:r>
          </w:p>
        </w:tc>
        <w:tc>
          <w:tcPr>
            <w:tcW w:w="852" w:type="dxa"/>
            <w:vAlign w:val="center"/>
          </w:tcPr>
          <w:p w14:paraId="0F078C74" w14:textId="77777777" w:rsidR="00D82E82" w:rsidRPr="007C734C" w:rsidRDefault="00D82E82" w:rsidP="009B1BC4">
            <w:pPr>
              <w:rPr>
                <w:rFonts w:cs="Segoe UI"/>
                <w:i/>
                <w:iCs/>
              </w:rPr>
            </w:pPr>
            <w:r w:rsidRPr="007C734C">
              <w:rPr>
                <w:rFonts w:cs="Segoe UI"/>
                <w:i/>
                <w:iCs/>
              </w:rPr>
              <w:t>N/S/V</w:t>
            </w:r>
          </w:p>
        </w:tc>
        <w:tc>
          <w:tcPr>
            <w:tcW w:w="1133" w:type="dxa"/>
            <w:vAlign w:val="center"/>
          </w:tcPr>
          <w:p w14:paraId="2FA3E481" w14:textId="77777777" w:rsidR="00D82E82" w:rsidRPr="007C734C" w:rsidRDefault="00D82E82" w:rsidP="009B1BC4">
            <w:pPr>
              <w:rPr>
                <w:rFonts w:cs="Segoe UI"/>
                <w:i/>
                <w:iCs/>
              </w:rPr>
            </w:pPr>
            <w:r w:rsidRPr="007C734C">
              <w:rPr>
                <w:rFonts w:cs="Segoe UI"/>
                <w:i/>
                <w:iCs/>
              </w:rPr>
              <w:t>N/S/V</w:t>
            </w:r>
          </w:p>
        </w:tc>
        <w:tc>
          <w:tcPr>
            <w:tcW w:w="1134" w:type="dxa"/>
            <w:vAlign w:val="center"/>
          </w:tcPr>
          <w:p w14:paraId="3D8202B4" w14:textId="77777777" w:rsidR="00D82E82" w:rsidRPr="007C734C" w:rsidRDefault="00D82E82" w:rsidP="009B1BC4">
            <w:pPr>
              <w:rPr>
                <w:rFonts w:cs="Segoe UI"/>
                <w:i/>
                <w:iCs/>
              </w:rPr>
            </w:pPr>
            <w:r w:rsidRPr="007C734C">
              <w:rPr>
                <w:rFonts w:cs="Segoe UI"/>
                <w:i/>
                <w:iCs/>
              </w:rPr>
              <w:t>N/S/V</w:t>
            </w:r>
          </w:p>
        </w:tc>
        <w:tc>
          <w:tcPr>
            <w:tcW w:w="1134" w:type="dxa"/>
            <w:vAlign w:val="center"/>
          </w:tcPr>
          <w:p w14:paraId="3FAE8510" w14:textId="77777777" w:rsidR="00D82E82" w:rsidRPr="007C734C" w:rsidRDefault="00D82E82" w:rsidP="009B1BC4">
            <w:pPr>
              <w:rPr>
                <w:rFonts w:cs="Segoe UI"/>
                <w:i/>
                <w:iCs/>
              </w:rPr>
            </w:pPr>
            <w:r w:rsidRPr="007C734C">
              <w:rPr>
                <w:rFonts w:cs="Segoe UI"/>
                <w:i/>
                <w:iCs/>
              </w:rPr>
              <w:t>N/S/V</w:t>
            </w:r>
          </w:p>
        </w:tc>
      </w:tr>
      <w:tr w:rsidR="00D82E82" w:rsidRPr="007C734C" w14:paraId="6A0C0E4B" w14:textId="77777777" w:rsidTr="009B1BC4">
        <w:trPr>
          <w:trHeight w:val="474"/>
        </w:trPr>
        <w:tc>
          <w:tcPr>
            <w:tcW w:w="426" w:type="dxa"/>
            <w:vMerge/>
            <w:shd w:val="clear" w:color="auto" w:fill="D5DCE4" w:themeFill="text2" w:themeFillTint="33"/>
            <w:vAlign w:val="center"/>
          </w:tcPr>
          <w:p w14:paraId="462FE91E" w14:textId="77777777" w:rsidR="00D82E82" w:rsidRPr="007C734C" w:rsidRDefault="00D82E82" w:rsidP="009B1BC4">
            <w:pPr>
              <w:tabs>
                <w:tab w:val="left" w:pos="0"/>
              </w:tabs>
              <w:rPr>
                <w:rFonts w:cs="Segoe UI"/>
                <w:b/>
                <w:bCs/>
              </w:rPr>
            </w:pPr>
          </w:p>
        </w:tc>
        <w:tc>
          <w:tcPr>
            <w:tcW w:w="1559" w:type="dxa"/>
            <w:shd w:val="clear" w:color="auto" w:fill="D5DCE4" w:themeFill="text2" w:themeFillTint="33"/>
            <w:vAlign w:val="center"/>
          </w:tcPr>
          <w:p w14:paraId="370EEFA7" w14:textId="77777777" w:rsidR="00D82E82" w:rsidRPr="007C734C" w:rsidRDefault="00D82E82" w:rsidP="009B1BC4">
            <w:pPr>
              <w:tabs>
                <w:tab w:val="left" w:pos="0"/>
              </w:tabs>
              <w:rPr>
                <w:rFonts w:cs="Segoe UI"/>
              </w:rPr>
            </w:pPr>
            <w:r w:rsidRPr="007C734C">
              <w:rPr>
                <w:rFonts w:cs="Segoe UI"/>
              </w:rPr>
              <w:t>Vstupy (voda, energie…)</w:t>
            </w:r>
          </w:p>
        </w:tc>
        <w:tc>
          <w:tcPr>
            <w:tcW w:w="992" w:type="dxa"/>
            <w:vAlign w:val="center"/>
          </w:tcPr>
          <w:p w14:paraId="530CA5A5" w14:textId="77777777" w:rsidR="00D82E82" w:rsidRPr="007C734C" w:rsidRDefault="00D82E82" w:rsidP="009B1BC4">
            <w:pPr>
              <w:rPr>
                <w:rFonts w:cs="Segoe UI"/>
                <w:i/>
                <w:iCs/>
              </w:rPr>
            </w:pPr>
            <w:r w:rsidRPr="007C734C">
              <w:rPr>
                <w:rFonts w:cs="Segoe UI"/>
                <w:i/>
                <w:iCs/>
              </w:rPr>
              <w:t>N/S/V</w:t>
            </w:r>
          </w:p>
        </w:tc>
        <w:tc>
          <w:tcPr>
            <w:tcW w:w="1134" w:type="dxa"/>
            <w:vAlign w:val="center"/>
          </w:tcPr>
          <w:p w14:paraId="273B8BD3" w14:textId="77777777" w:rsidR="00D82E82" w:rsidRPr="007C734C" w:rsidRDefault="00D82E82" w:rsidP="009B1BC4">
            <w:pPr>
              <w:rPr>
                <w:rFonts w:cs="Segoe UI"/>
                <w:i/>
                <w:iCs/>
              </w:rPr>
            </w:pPr>
            <w:r w:rsidRPr="007C734C">
              <w:rPr>
                <w:rFonts w:cs="Segoe UI"/>
                <w:i/>
                <w:iCs/>
              </w:rPr>
              <w:t>N/S/V</w:t>
            </w:r>
          </w:p>
        </w:tc>
        <w:tc>
          <w:tcPr>
            <w:tcW w:w="992" w:type="dxa"/>
            <w:vAlign w:val="center"/>
          </w:tcPr>
          <w:p w14:paraId="326FF22C" w14:textId="77777777" w:rsidR="00D82E82" w:rsidRPr="007C734C" w:rsidRDefault="00D82E82" w:rsidP="009B1BC4">
            <w:pPr>
              <w:rPr>
                <w:rFonts w:cs="Segoe UI"/>
                <w:i/>
                <w:iCs/>
              </w:rPr>
            </w:pPr>
            <w:r w:rsidRPr="007C734C">
              <w:rPr>
                <w:rFonts w:cs="Segoe UI"/>
                <w:i/>
                <w:iCs/>
              </w:rPr>
              <w:t>N/S/V</w:t>
            </w:r>
          </w:p>
        </w:tc>
        <w:tc>
          <w:tcPr>
            <w:tcW w:w="852" w:type="dxa"/>
            <w:vAlign w:val="center"/>
          </w:tcPr>
          <w:p w14:paraId="0BAA57A2" w14:textId="77777777" w:rsidR="00D82E82" w:rsidRPr="007C734C" w:rsidRDefault="00D82E82" w:rsidP="009B1BC4">
            <w:pPr>
              <w:rPr>
                <w:rFonts w:cs="Segoe UI"/>
                <w:i/>
                <w:iCs/>
              </w:rPr>
            </w:pPr>
            <w:r w:rsidRPr="007C734C">
              <w:rPr>
                <w:rFonts w:cs="Segoe UI"/>
                <w:i/>
                <w:iCs/>
              </w:rPr>
              <w:t>N/S/V</w:t>
            </w:r>
          </w:p>
        </w:tc>
        <w:tc>
          <w:tcPr>
            <w:tcW w:w="1133" w:type="dxa"/>
            <w:vAlign w:val="center"/>
          </w:tcPr>
          <w:p w14:paraId="20F08692" w14:textId="77777777" w:rsidR="00D82E82" w:rsidRPr="007C734C" w:rsidRDefault="00D82E82" w:rsidP="009B1BC4">
            <w:pPr>
              <w:rPr>
                <w:rFonts w:cs="Segoe UI"/>
                <w:i/>
                <w:iCs/>
              </w:rPr>
            </w:pPr>
            <w:r w:rsidRPr="007C734C">
              <w:rPr>
                <w:rFonts w:cs="Segoe UI"/>
                <w:i/>
                <w:iCs/>
              </w:rPr>
              <w:t>N/S/V</w:t>
            </w:r>
          </w:p>
        </w:tc>
        <w:tc>
          <w:tcPr>
            <w:tcW w:w="1134" w:type="dxa"/>
            <w:vAlign w:val="center"/>
          </w:tcPr>
          <w:p w14:paraId="466742AA" w14:textId="77777777" w:rsidR="00D82E82" w:rsidRPr="007C734C" w:rsidRDefault="00D82E82" w:rsidP="009B1BC4">
            <w:pPr>
              <w:rPr>
                <w:rFonts w:cs="Segoe UI"/>
                <w:i/>
                <w:iCs/>
              </w:rPr>
            </w:pPr>
            <w:r w:rsidRPr="007C734C">
              <w:rPr>
                <w:rFonts w:cs="Segoe UI"/>
                <w:i/>
                <w:iCs/>
              </w:rPr>
              <w:t>N/S/V</w:t>
            </w:r>
          </w:p>
        </w:tc>
        <w:tc>
          <w:tcPr>
            <w:tcW w:w="1134" w:type="dxa"/>
            <w:vAlign w:val="center"/>
          </w:tcPr>
          <w:p w14:paraId="0275535F" w14:textId="77777777" w:rsidR="00D82E82" w:rsidRPr="007C734C" w:rsidRDefault="00D82E82" w:rsidP="009B1BC4">
            <w:pPr>
              <w:rPr>
                <w:rFonts w:cs="Segoe UI"/>
                <w:i/>
                <w:iCs/>
              </w:rPr>
            </w:pPr>
            <w:r w:rsidRPr="007C734C">
              <w:rPr>
                <w:rFonts w:cs="Segoe UI"/>
                <w:i/>
                <w:iCs/>
              </w:rPr>
              <w:t>N/S/V</w:t>
            </w:r>
          </w:p>
        </w:tc>
      </w:tr>
      <w:tr w:rsidR="00D82E82" w:rsidRPr="007C734C" w14:paraId="4AC61ED4" w14:textId="77777777" w:rsidTr="009B1BC4">
        <w:trPr>
          <w:trHeight w:val="474"/>
        </w:trPr>
        <w:tc>
          <w:tcPr>
            <w:tcW w:w="426" w:type="dxa"/>
            <w:vMerge/>
            <w:shd w:val="clear" w:color="auto" w:fill="D5DCE4" w:themeFill="text2" w:themeFillTint="33"/>
            <w:vAlign w:val="center"/>
          </w:tcPr>
          <w:p w14:paraId="6B8D4895" w14:textId="77777777" w:rsidR="00D82E82" w:rsidRPr="007C734C" w:rsidRDefault="00D82E82" w:rsidP="009B1BC4">
            <w:pPr>
              <w:tabs>
                <w:tab w:val="left" w:pos="0"/>
              </w:tabs>
              <w:rPr>
                <w:rFonts w:cs="Segoe UI"/>
                <w:b/>
                <w:bCs/>
              </w:rPr>
            </w:pPr>
          </w:p>
        </w:tc>
        <w:tc>
          <w:tcPr>
            <w:tcW w:w="1559" w:type="dxa"/>
            <w:shd w:val="clear" w:color="auto" w:fill="D5DCE4" w:themeFill="text2" w:themeFillTint="33"/>
            <w:vAlign w:val="center"/>
          </w:tcPr>
          <w:p w14:paraId="26267E35" w14:textId="77777777" w:rsidR="00D82E82" w:rsidRPr="007C734C" w:rsidRDefault="00D82E82" w:rsidP="009B1BC4">
            <w:pPr>
              <w:tabs>
                <w:tab w:val="left" w:pos="0"/>
              </w:tabs>
              <w:rPr>
                <w:rFonts w:cs="Segoe UI"/>
              </w:rPr>
            </w:pPr>
            <w:r w:rsidRPr="007C734C">
              <w:rPr>
                <w:rFonts w:cs="Segoe UI"/>
              </w:rPr>
              <w:t>Výstupy (výrobky, služby…)</w:t>
            </w:r>
          </w:p>
        </w:tc>
        <w:tc>
          <w:tcPr>
            <w:tcW w:w="992" w:type="dxa"/>
            <w:vAlign w:val="center"/>
          </w:tcPr>
          <w:p w14:paraId="2DC47752" w14:textId="77777777" w:rsidR="00D82E82" w:rsidRPr="007C734C" w:rsidRDefault="00D82E82" w:rsidP="009B1BC4">
            <w:pPr>
              <w:rPr>
                <w:rFonts w:cs="Segoe UI"/>
              </w:rPr>
            </w:pPr>
            <w:r w:rsidRPr="007C734C">
              <w:rPr>
                <w:rFonts w:cs="Segoe UI"/>
                <w:i/>
                <w:iCs/>
              </w:rPr>
              <w:t>N/S/V</w:t>
            </w:r>
          </w:p>
        </w:tc>
        <w:tc>
          <w:tcPr>
            <w:tcW w:w="1134" w:type="dxa"/>
            <w:vAlign w:val="center"/>
          </w:tcPr>
          <w:p w14:paraId="652243E0" w14:textId="77777777" w:rsidR="00D82E82" w:rsidRPr="007C734C" w:rsidRDefault="00D82E82" w:rsidP="009B1BC4">
            <w:pPr>
              <w:rPr>
                <w:rFonts w:cs="Segoe UI"/>
              </w:rPr>
            </w:pPr>
            <w:r w:rsidRPr="007C734C">
              <w:rPr>
                <w:rFonts w:cs="Segoe UI"/>
                <w:i/>
                <w:iCs/>
              </w:rPr>
              <w:t>N/S/V</w:t>
            </w:r>
          </w:p>
        </w:tc>
        <w:tc>
          <w:tcPr>
            <w:tcW w:w="992" w:type="dxa"/>
            <w:vAlign w:val="center"/>
          </w:tcPr>
          <w:p w14:paraId="6E92E654" w14:textId="77777777" w:rsidR="00D82E82" w:rsidRPr="007C734C" w:rsidRDefault="00D82E82" w:rsidP="009B1BC4">
            <w:pPr>
              <w:rPr>
                <w:rFonts w:cs="Segoe UI"/>
              </w:rPr>
            </w:pPr>
            <w:r w:rsidRPr="007C734C">
              <w:rPr>
                <w:rFonts w:cs="Segoe UI"/>
                <w:i/>
                <w:iCs/>
              </w:rPr>
              <w:t>N/S/V</w:t>
            </w:r>
          </w:p>
        </w:tc>
        <w:tc>
          <w:tcPr>
            <w:tcW w:w="852" w:type="dxa"/>
            <w:vAlign w:val="center"/>
          </w:tcPr>
          <w:p w14:paraId="149B0B52" w14:textId="77777777" w:rsidR="00D82E82" w:rsidRPr="007C734C" w:rsidRDefault="00D82E82" w:rsidP="009B1BC4">
            <w:pPr>
              <w:rPr>
                <w:rFonts w:cs="Segoe UI"/>
              </w:rPr>
            </w:pPr>
            <w:r w:rsidRPr="007C734C">
              <w:rPr>
                <w:rFonts w:cs="Segoe UI"/>
                <w:i/>
                <w:iCs/>
              </w:rPr>
              <w:t>N/S/V</w:t>
            </w:r>
          </w:p>
        </w:tc>
        <w:tc>
          <w:tcPr>
            <w:tcW w:w="1133" w:type="dxa"/>
            <w:vAlign w:val="center"/>
          </w:tcPr>
          <w:p w14:paraId="1B0E045C" w14:textId="77777777" w:rsidR="00D82E82" w:rsidRPr="007C734C" w:rsidRDefault="00D82E82" w:rsidP="009B1BC4">
            <w:pPr>
              <w:rPr>
                <w:rFonts w:cs="Segoe UI"/>
              </w:rPr>
            </w:pPr>
            <w:r w:rsidRPr="007C734C">
              <w:rPr>
                <w:rFonts w:cs="Segoe UI"/>
                <w:i/>
                <w:iCs/>
              </w:rPr>
              <w:t>N/S/V</w:t>
            </w:r>
          </w:p>
        </w:tc>
        <w:tc>
          <w:tcPr>
            <w:tcW w:w="1134" w:type="dxa"/>
            <w:vAlign w:val="center"/>
          </w:tcPr>
          <w:p w14:paraId="03CA0069" w14:textId="77777777" w:rsidR="00D82E82" w:rsidRPr="007C734C" w:rsidRDefault="00D82E82" w:rsidP="009B1BC4">
            <w:pPr>
              <w:rPr>
                <w:rFonts w:cs="Segoe UI"/>
              </w:rPr>
            </w:pPr>
            <w:r w:rsidRPr="007C734C">
              <w:rPr>
                <w:rFonts w:cs="Segoe UI"/>
                <w:i/>
                <w:iCs/>
              </w:rPr>
              <w:t>N/S/V</w:t>
            </w:r>
          </w:p>
        </w:tc>
        <w:tc>
          <w:tcPr>
            <w:tcW w:w="1134" w:type="dxa"/>
            <w:vAlign w:val="center"/>
          </w:tcPr>
          <w:p w14:paraId="777E7E74" w14:textId="77777777" w:rsidR="00D82E82" w:rsidRPr="007C734C" w:rsidRDefault="00D82E82" w:rsidP="009B1BC4">
            <w:pPr>
              <w:rPr>
                <w:rFonts w:cs="Segoe UI"/>
              </w:rPr>
            </w:pPr>
            <w:r w:rsidRPr="007C734C">
              <w:rPr>
                <w:rFonts w:cs="Segoe UI"/>
                <w:i/>
                <w:iCs/>
              </w:rPr>
              <w:t>N/S/V</w:t>
            </w:r>
          </w:p>
        </w:tc>
      </w:tr>
      <w:tr w:rsidR="00D82E82" w:rsidRPr="007C734C" w14:paraId="76A3B165" w14:textId="77777777" w:rsidTr="009B1BC4">
        <w:trPr>
          <w:trHeight w:val="474"/>
        </w:trPr>
        <w:tc>
          <w:tcPr>
            <w:tcW w:w="426" w:type="dxa"/>
            <w:vMerge/>
            <w:shd w:val="clear" w:color="auto" w:fill="D5DCE4" w:themeFill="text2" w:themeFillTint="33"/>
            <w:vAlign w:val="center"/>
          </w:tcPr>
          <w:p w14:paraId="2D997A11" w14:textId="77777777" w:rsidR="00D82E82" w:rsidRPr="007C734C" w:rsidRDefault="00D82E82" w:rsidP="009B1BC4">
            <w:pPr>
              <w:tabs>
                <w:tab w:val="left" w:pos="0"/>
              </w:tabs>
              <w:rPr>
                <w:rFonts w:cs="Segoe UI"/>
                <w:b/>
                <w:bCs/>
              </w:rPr>
            </w:pPr>
          </w:p>
        </w:tc>
        <w:tc>
          <w:tcPr>
            <w:tcW w:w="1559" w:type="dxa"/>
            <w:shd w:val="clear" w:color="auto" w:fill="D5DCE4" w:themeFill="text2" w:themeFillTint="33"/>
            <w:vAlign w:val="center"/>
          </w:tcPr>
          <w:p w14:paraId="73ECA9DA" w14:textId="77777777" w:rsidR="00D82E82" w:rsidRPr="007C734C" w:rsidRDefault="00D82E82" w:rsidP="009B1BC4">
            <w:pPr>
              <w:tabs>
                <w:tab w:val="left" w:pos="0"/>
              </w:tabs>
              <w:rPr>
                <w:rFonts w:cs="Segoe UI"/>
              </w:rPr>
            </w:pPr>
            <w:r w:rsidRPr="007C734C">
              <w:rPr>
                <w:rFonts w:cs="Segoe UI"/>
              </w:rPr>
              <w:t>Přístup a dopravní spoje, a to i v případě, že jsou mimo přímou kontrolu projektu</w:t>
            </w:r>
          </w:p>
        </w:tc>
        <w:tc>
          <w:tcPr>
            <w:tcW w:w="992" w:type="dxa"/>
            <w:vAlign w:val="center"/>
          </w:tcPr>
          <w:p w14:paraId="593CFB91" w14:textId="77777777" w:rsidR="00D82E82" w:rsidRPr="007C734C" w:rsidRDefault="00D82E82" w:rsidP="009B1BC4">
            <w:pPr>
              <w:rPr>
                <w:rFonts w:cs="Segoe UI"/>
                <w:i/>
                <w:iCs/>
              </w:rPr>
            </w:pPr>
            <w:r w:rsidRPr="007C734C">
              <w:rPr>
                <w:rFonts w:cs="Segoe UI"/>
                <w:i/>
                <w:iCs/>
              </w:rPr>
              <w:t>N/S/V</w:t>
            </w:r>
          </w:p>
        </w:tc>
        <w:tc>
          <w:tcPr>
            <w:tcW w:w="1134" w:type="dxa"/>
            <w:vAlign w:val="center"/>
          </w:tcPr>
          <w:p w14:paraId="138BCEC2" w14:textId="77777777" w:rsidR="00D82E82" w:rsidRPr="007C734C" w:rsidRDefault="00D82E82" w:rsidP="009B1BC4">
            <w:pPr>
              <w:rPr>
                <w:rFonts w:cs="Segoe UI"/>
                <w:i/>
                <w:iCs/>
              </w:rPr>
            </w:pPr>
            <w:r w:rsidRPr="007C734C">
              <w:rPr>
                <w:rFonts w:cs="Segoe UI"/>
                <w:i/>
                <w:iCs/>
              </w:rPr>
              <w:t>N/S/V</w:t>
            </w:r>
          </w:p>
        </w:tc>
        <w:tc>
          <w:tcPr>
            <w:tcW w:w="992" w:type="dxa"/>
            <w:vAlign w:val="center"/>
          </w:tcPr>
          <w:p w14:paraId="75879D39" w14:textId="77777777" w:rsidR="00D82E82" w:rsidRPr="007C734C" w:rsidRDefault="00D82E82" w:rsidP="009B1BC4">
            <w:pPr>
              <w:rPr>
                <w:rFonts w:cs="Segoe UI"/>
                <w:i/>
                <w:iCs/>
              </w:rPr>
            </w:pPr>
            <w:r w:rsidRPr="007C734C">
              <w:rPr>
                <w:rFonts w:cs="Segoe UI"/>
                <w:i/>
                <w:iCs/>
              </w:rPr>
              <w:t>N/S/V</w:t>
            </w:r>
          </w:p>
        </w:tc>
        <w:tc>
          <w:tcPr>
            <w:tcW w:w="852" w:type="dxa"/>
            <w:vAlign w:val="center"/>
          </w:tcPr>
          <w:p w14:paraId="6EA78F1D" w14:textId="77777777" w:rsidR="00D82E82" w:rsidRPr="007C734C" w:rsidRDefault="00D82E82" w:rsidP="009B1BC4">
            <w:pPr>
              <w:rPr>
                <w:rFonts w:cs="Segoe UI"/>
                <w:i/>
                <w:iCs/>
              </w:rPr>
            </w:pPr>
            <w:r w:rsidRPr="007C734C">
              <w:rPr>
                <w:rFonts w:cs="Segoe UI"/>
                <w:i/>
                <w:iCs/>
              </w:rPr>
              <w:t>N/S/V</w:t>
            </w:r>
          </w:p>
        </w:tc>
        <w:tc>
          <w:tcPr>
            <w:tcW w:w="1133" w:type="dxa"/>
            <w:vAlign w:val="center"/>
          </w:tcPr>
          <w:p w14:paraId="2D2A2BAB" w14:textId="77777777" w:rsidR="00D82E82" w:rsidRPr="007C734C" w:rsidRDefault="00D82E82" w:rsidP="009B1BC4">
            <w:pPr>
              <w:rPr>
                <w:rFonts w:cs="Segoe UI"/>
                <w:i/>
                <w:iCs/>
              </w:rPr>
            </w:pPr>
            <w:r w:rsidRPr="007C734C">
              <w:rPr>
                <w:rFonts w:cs="Segoe UI"/>
                <w:i/>
                <w:iCs/>
              </w:rPr>
              <w:t>N/S/V</w:t>
            </w:r>
          </w:p>
        </w:tc>
        <w:tc>
          <w:tcPr>
            <w:tcW w:w="1134" w:type="dxa"/>
            <w:vAlign w:val="center"/>
          </w:tcPr>
          <w:p w14:paraId="45DA1AC2" w14:textId="77777777" w:rsidR="00D82E82" w:rsidRPr="007C734C" w:rsidRDefault="00D82E82" w:rsidP="009B1BC4">
            <w:pPr>
              <w:rPr>
                <w:rFonts w:cs="Segoe UI"/>
                <w:i/>
                <w:iCs/>
              </w:rPr>
            </w:pPr>
            <w:r w:rsidRPr="007C734C">
              <w:rPr>
                <w:rFonts w:cs="Segoe UI"/>
                <w:i/>
                <w:iCs/>
              </w:rPr>
              <w:t>N/S/V</w:t>
            </w:r>
          </w:p>
        </w:tc>
        <w:tc>
          <w:tcPr>
            <w:tcW w:w="1134" w:type="dxa"/>
            <w:vAlign w:val="center"/>
          </w:tcPr>
          <w:p w14:paraId="5B4163EF" w14:textId="77777777" w:rsidR="00D82E82" w:rsidRPr="007C734C" w:rsidRDefault="00D82E82" w:rsidP="009B1BC4">
            <w:pPr>
              <w:rPr>
                <w:rFonts w:cs="Segoe UI"/>
                <w:i/>
                <w:iCs/>
              </w:rPr>
            </w:pPr>
            <w:r w:rsidRPr="007C734C">
              <w:rPr>
                <w:rFonts w:cs="Segoe UI"/>
                <w:i/>
                <w:iCs/>
              </w:rPr>
              <w:t>N/S/V</w:t>
            </w:r>
          </w:p>
        </w:tc>
      </w:tr>
      <w:tr w:rsidR="00D82E82" w:rsidRPr="007C734C" w14:paraId="26BE7A58" w14:textId="77777777" w:rsidTr="009B1BC4">
        <w:trPr>
          <w:trHeight w:val="474"/>
        </w:trPr>
        <w:tc>
          <w:tcPr>
            <w:tcW w:w="1985" w:type="dxa"/>
            <w:gridSpan w:val="2"/>
            <w:shd w:val="clear" w:color="auto" w:fill="D5DCE4" w:themeFill="text2" w:themeFillTint="33"/>
            <w:vAlign w:val="center"/>
          </w:tcPr>
          <w:p w14:paraId="00D96D47" w14:textId="77777777" w:rsidR="00D82E82" w:rsidRPr="007C734C" w:rsidRDefault="00D82E82" w:rsidP="009B1BC4">
            <w:pPr>
              <w:tabs>
                <w:tab w:val="left" w:pos="0"/>
              </w:tabs>
              <w:rPr>
                <w:rFonts w:cs="Segoe UI"/>
                <w:b/>
                <w:bCs/>
              </w:rPr>
            </w:pPr>
            <w:r w:rsidRPr="007C734C">
              <w:rPr>
                <w:rFonts w:cs="Segoe UI"/>
                <w:b/>
                <w:bCs/>
              </w:rPr>
              <w:t>Nejvyšší skóre z výše uvedených</w:t>
            </w:r>
          </w:p>
        </w:tc>
        <w:tc>
          <w:tcPr>
            <w:tcW w:w="992" w:type="dxa"/>
            <w:vAlign w:val="center"/>
          </w:tcPr>
          <w:p w14:paraId="3041DA64" w14:textId="77777777" w:rsidR="00D82E82" w:rsidRPr="007C734C" w:rsidRDefault="00D82E82" w:rsidP="009B1BC4">
            <w:pPr>
              <w:rPr>
                <w:rFonts w:cs="Segoe UI"/>
                <w:i/>
                <w:iCs/>
              </w:rPr>
            </w:pPr>
            <w:r w:rsidRPr="007C734C">
              <w:rPr>
                <w:rFonts w:cs="Segoe UI"/>
                <w:i/>
                <w:iCs/>
              </w:rPr>
              <w:t>N/S/V</w:t>
            </w:r>
          </w:p>
        </w:tc>
        <w:tc>
          <w:tcPr>
            <w:tcW w:w="1134" w:type="dxa"/>
            <w:vAlign w:val="center"/>
          </w:tcPr>
          <w:p w14:paraId="6963FE80" w14:textId="77777777" w:rsidR="00D82E82" w:rsidRPr="007C734C" w:rsidRDefault="00D82E82" w:rsidP="009B1BC4">
            <w:pPr>
              <w:rPr>
                <w:rFonts w:cs="Segoe UI"/>
                <w:i/>
                <w:iCs/>
              </w:rPr>
            </w:pPr>
            <w:r w:rsidRPr="007C734C">
              <w:rPr>
                <w:rFonts w:cs="Segoe UI"/>
                <w:i/>
                <w:iCs/>
              </w:rPr>
              <w:t>N/S/V</w:t>
            </w:r>
          </w:p>
        </w:tc>
        <w:tc>
          <w:tcPr>
            <w:tcW w:w="992" w:type="dxa"/>
            <w:vAlign w:val="center"/>
          </w:tcPr>
          <w:p w14:paraId="3C27677A" w14:textId="77777777" w:rsidR="00D82E82" w:rsidRPr="007C734C" w:rsidRDefault="00D82E82" w:rsidP="009B1BC4">
            <w:pPr>
              <w:rPr>
                <w:rFonts w:cs="Segoe UI"/>
                <w:i/>
                <w:iCs/>
              </w:rPr>
            </w:pPr>
            <w:r w:rsidRPr="007C734C">
              <w:rPr>
                <w:rFonts w:cs="Segoe UI"/>
                <w:i/>
                <w:iCs/>
              </w:rPr>
              <w:t>N/S/V</w:t>
            </w:r>
          </w:p>
        </w:tc>
        <w:tc>
          <w:tcPr>
            <w:tcW w:w="852" w:type="dxa"/>
            <w:vAlign w:val="center"/>
          </w:tcPr>
          <w:p w14:paraId="4EB995ED" w14:textId="77777777" w:rsidR="00D82E82" w:rsidRPr="007C734C" w:rsidRDefault="00D82E82" w:rsidP="009B1BC4">
            <w:pPr>
              <w:rPr>
                <w:rFonts w:cs="Segoe UI"/>
                <w:i/>
                <w:iCs/>
              </w:rPr>
            </w:pPr>
            <w:r w:rsidRPr="007C734C">
              <w:rPr>
                <w:rFonts w:cs="Segoe UI"/>
                <w:i/>
                <w:iCs/>
              </w:rPr>
              <w:t>N/S/V</w:t>
            </w:r>
          </w:p>
        </w:tc>
        <w:tc>
          <w:tcPr>
            <w:tcW w:w="1133" w:type="dxa"/>
            <w:vAlign w:val="center"/>
          </w:tcPr>
          <w:p w14:paraId="40B9806F" w14:textId="77777777" w:rsidR="00D82E82" w:rsidRPr="007C734C" w:rsidRDefault="00D82E82" w:rsidP="009B1BC4">
            <w:pPr>
              <w:rPr>
                <w:rFonts w:cs="Segoe UI"/>
                <w:i/>
                <w:iCs/>
              </w:rPr>
            </w:pPr>
            <w:r w:rsidRPr="007C734C">
              <w:rPr>
                <w:rFonts w:cs="Segoe UI"/>
                <w:i/>
                <w:iCs/>
              </w:rPr>
              <w:t>N/S/V</w:t>
            </w:r>
          </w:p>
        </w:tc>
        <w:tc>
          <w:tcPr>
            <w:tcW w:w="1134" w:type="dxa"/>
            <w:vAlign w:val="center"/>
          </w:tcPr>
          <w:p w14:paraId="27810C46" w14:textId="77777777" w:rsidR="00D82E82" w:rsidRPr="007C734C" w:rsidRDefault="00D82E82" w:rsidP="009B1BC4">
            <w:pPr>
              <w:rPr>
                <w:rFonts w:cs="Segoe UI"/>
                <w:i/>
                <w:iCs/>
              </w:rPr>
            </w:pPr>
            <w:r w:rsidRPr="007C734C">
              <w:rPr>
                <w:rFonts w:cs="Segoe UI"/>
                <w:i/>
                <w:iCs/>
              </w:rPr>
              <w:t>N/S/V</w:t>
            </w:r>
          </w:p>
        </w:tc>
        <w:tc>
          <w:tcPr>
            <w:tcW w:w="1134" w:type="dxa"/>
            <w:vAlign w:val="center"/>
          </w:tcPr>
          <w:p w14:paraId="1CC0AD21" w14:textId="77777777" w:rsidR="00D82E82" w:rsidRPr="007C734C" w:rsidRDefault="00D82E82" w:rsidP="009B1BC4">
            <w:pPr>
              <w:rPr>
                <w:rFonts w:cs="Segoe UI"/>
                <w:i/>
                <w:iCs/>
              </w:rPr>
            </w:pPr>
            <w:r w:rsidRPr="007C734C">
              <w:rPr>
                <w:rFonts w:cs="Segoe UI"/>
                <w:i/>
                <w:iCs/>
              </w:rPr>
              <w:t>N/S/V</w:t>
            </w:r>
          </w:p>
        </w:tc>
      </w:tr>
    </w:tbl>
    <w:p w14:paraId="74685403" w14:textId="77777777" w:rsidR="00D82E82" w:rsidRPr="007C734C" w:rsidRDefault="00D82E82" w:rsidP="00D82E82">
      <w:pPr>
        <w:rPr>
          <w:rFonts w:cs="Segoe UI"/>
        </w:rPr>
      </w:pPr>
    </w:p>
    <w:p w14:paraId="616BF352" w14:textId="77777777" w:rsidR="00D82E82" w:rsidRPr="007C734C" w:rsidRDefault="00D82E82" w:rsidP="00D82E82">
      <w:pPr>
        <w:rPr>
          <w:rFonts w:cs="Segoe UI"/>
        </w:rPr>
      </w:pPr>
      <w:r w:rsidRPr="007C734C">
        <w:rPr>
          <w:rFonts w:cs="Segoe UI"/>
        </w:rPr>
        <w:t>Jako podklad pro vypracování analýzy citlivosti lze využít např. Aktualizaci Komplexní studie dopadů, zranitelnosti a zdrojů rizik souvisejících se změnou klimatu v ČR z roku 2015</w:t>
      </w:r>
      <w:r w:rsidRPr="007C734C">
        <w:rPr>
          <w:rStyle w:val="Znakapoznpodarou"/>
          <w:rFonts w:cs="Segoe UI"/>
        </w:rPr>
        <w:footnoteReference w:id="53"/>
      </w:r>
      <w:r w:rsidRPr="007C734C">
        <w:rPr>
          <w:rFonts w:cs="Segoe UI"/>
        </w:rPr>
        <w:t xml:space="preserve">, zpracovanou ČHMÚ v r. 2019 (blíže např. kapitola 4.9 ve studii) či Strategii přizpůsobení se změně klimatu v podmínkách ČR, 1. aktualizaci pro období </w:t>
      </w:r>
      <w:proofErr w:type="gramStart"/>
      <w:r w:rsidRPr="007C734C">
        <w:rPr>
          <w:rFonts w:cs="Segoe UI"/>
        </w:rPr>
        <w:t>2021 – 2030</w:t>
      </w:r>
      <w:proofErr w:type="gramEnd"/>
      <w:r w:rsidRPr="007C734C">
        <w:rPr>
          <w:rFonts w:cs="Segoe UI"/>
        </w:rPr>
        <w:t xml:space="preserve"> (blíže např. kapitola 2.1.1. ve strategii)</w:t>
      </w:r>
      <w:r w:rsidRPr="007C734C">
        <w:rPr>
          <w:rStyle w:val="Znakapoznpodarou"/>
          <w:rFonts w:cs="Segoe UI"/>
        </w:rPr>
        <w:footnoteReference w:id="54"/>
      </w:r>
      <w:r w:rsidRPr="007C734C">
        <w:rPr>
          <w:rFonts w:cs="Segoe UI"/>
        </w:rPr>
        <w:t>.</w:t>
      </w:r>
    </w:p>
    <w:p w14:paraId="056270ED" w14:textId="77777777" w:rsidR="00D82E82" w:rsidRPr="003324BE" w:rsidRDefault="00D82E82" w:rsidP="00DB1A0B">
      <w:pPr>
        <w:pStyle w:val="Nadpis5"/>
      </w:pPr>
      <w:r w:rsidRPr="003324BE">
        <w:t>Analýza expozice</w:t>
      </w:r>
    </w:p>
    <w:p w14:paraId="2C92E94C" w14:textId="77777777" w:rsidR="00D82E82" w:rsidRPr="007C734C" w:rsidRDefault="00D82E82" w:rsidP="00D82E82">
      <w:pPr>
        <w:rPr>
          <w:rFonts w:cs="Segoe UI"/>
        </w:rPr>
      </w:pPr>
      <w:r w:rsidRPr="007C734C">
        <w:rPr>
          <w:rFonts w:cs="Segoe UI"/>
        </w:rPr>
        <w:t>Zpracovatel vypracuje analýzu expozice (plánovaného umístění projektu bez ohledu na typ projektu).</w:t>
      </w:r>
    </w:p>
    <w:tbl>
      <w:tblPr>
        <w:tblStyle w:val="Mkatabulky1"/>
        <w:tblW w:w="9356" w:type="dxa"/>
        <w:tblInd w:w="-5" w:type="dxa"/>
        <w:tblLayout w:type="fixed"/>
        <w:tblLook w:val="04A0" w:firstRow="1" w:lastRow="0" w:firstColumn="1" w:lastColumn="0" w:noHBand="0" w:noVBand="1"/>
      </w:tblPr>
      <w:tblGrid>
        <w:gridCol w:w="709"/>
        <w:gridCol w:w="1276"/>
        <w:gridCol w:w="992"/>
        <w:gridCol w:w="1134"/>
        <w:gridCol w:w="992"/>
        <w:gridCol w:w="852"/>
        <w:gridCol w:w="1133"/>
        <w:gridCol w:w="1134"/>
        <w:gridCol w:w="1134"/>
      </w:tblGrid>
      <w:tr w:rsidR="00D82E82" w:rsidRPr="007C734C" w14:paraId="582469C7" w14:textId="77777777" w:rsidTr="009B1BC4">
        <w:trPr>
          <w:trHeight w:val="613"/>
        </w:trPr>
        <w:tc>
          <w:tcPr>
            <w:tcW w:w="9356" w:type="dxa"/>
            <w:gridSpan w:val="9"/>
            <w:shd w:val="clear" w:color="auto" w:fill="D5DCE4" w:themeFill="text2" w:themeFillTint="33"/>
            <w:vAlign w:val="center"/>
          </w:tcPr>
          <w:p w14:paraId="1B0CE11A" w14:textId="77777777" w:rsidR="00D82E82" w:rsidRPr="007C734C" w:rsidRDefault="00D82E82" w:rsidP="009B1BC4">
            <w:pPr>
              <w:rPr>
                <w:rFonts w:cs="Segoe UI"/>
                <w:b/>
                <w:bCs/>
              </w:rPr>
            </w:pPr>
            <w:r w:rsidRPr="007C734C">
              <w:rPr>
                <w:rFonts w:cs="Segoe UI"/>
                <w:b/>
                <w:bCs/>
              </w:rPr>
              <w:lastRenderedPageBreak/>
              <w:t>Analýza expozice</w:t>
            </w:r>
          </w:p>
        </w:tc>
      </w:tr>
      <w:tr w:rsidR="00D82E82" w:rsidRPr="007C734C" w14:paraId="3D864EF1" w14:textId="77777777" w:rsidTr="009B1BC4">
        <w:trPr>
          <w:trHeight w:val="613"/>
        </w:trPr>
        <w:tc>
          <w:tcPr>
            <w:tcW w:w="1985" w:type="dxa"/>
            <w:gridSpan w:val="2"/>
            <w:vMerge w:val="restart"/>
            <w:shd w:val="clear" w:color="auto" w:fill="D5DCE4" w:themeFill="text2" w:themeFillTint="33"/>
            <w:vAlign w:val="center"/>
          </w:tcPr>
          <w:p w14:paraId="07FACE23" w14:textId="77777777" w:rsidR="00D82E82" w:rsidRPr="007C734C" w:rsidRDefault="00D82E82" w:rsidP="009B1BC4">
            <w:pPr>
              <w:tabs>
                <w:tab w:val="left" w:pos="0"/>
              </w:tabs>
              <w:rPr>
                <w:rFonts w:cs="Segoe UI"/>
                <w:b/>
                <w:bCs/>
              </w:rPr>
            </w:pPr>
            <w:r w:rsidRPr="007C734C">
              <w:rPr>
                <w:rFonts w:cs="Segoe UI"/>
                <w:b/>
                <w:bCs/>
              </w:rPr>
              <w:t>Skóre expozice (Nízké / Střední / Vysoké)</w:t>
            </w:r>
          </w:p>
        </w:tc>
        <w:tc>
          <w:tcPr>
            <w:tcW w:w="7371" w:type="dxa"/>
            <w:gridSpan w:val="7"/>
            <w:shd w:val="clear" w:color="auto" w:fill="D5DCE4" w:themeFill="text2" w:themeFillTint="33"/>
            <w:vAlign w:val="center"/>
          </w:tcPr>
          <w:p w14:paraId="3BC2DC32" w14:textId="77777777" w:rsidR="00D82E82" w:rsidRPr="007C734C" w:rsidRDefault="00D82E82" w:rsidP="009B1BC4">
            <w:pPr>
              <w:rPr>
                <w:rFonts w:cs="Segoe UI"/>
                <w:b/>
                <w:bCs/>
              </w:rPr>
            </w:pPr>
            <w:r w:rsidRPr="007C734C">
              <w:rPr>
                <w:rFonts w:cs="Segoe UI"/>
                <w:b/>
                <w:bCs/>
              </w:rPr>
              <w:t>Klimatická nebezpečí</w:t>
            </w:r>
          </w:p>
        </w:tc>
      </w:tr>
      <w:tr w:rsidR="00D82E82" w:rsidRPr="007C734C" w14:paraId="0A33BE94" w14:textId="77777777" w:rsidTr="009B1BC4">
        <w:trPr>
          <w:trHeight w:val="885"/>
        </w:trPr>
        <w:tc>
          <w:tcPr>
            <w:tcW w:w="1985" w:type="dxa"/>
            <w:gridSpan w:val="2"/>
            <w:vMerge/>
            <w:tcBorders>
              <w:bottom w:val="single" w:sz="4" w:space="0" w:color="auto"/>
            </w:tcBorders>
            <w:shd w:val="clear" w:color="auto" w:fill="D5DCE4" w:themeFill="text2" w:themeFillTint="33"/>
            <w:vAlign w:val="center"/>
          </w:tcPr>
          <w:p w14:paraId="648F5927" w14:textId="77777777" w:rsidR="00D82E82" w:rsidRPr="007C734C" w:rsidRDefault="00D82E82" w:rsidP="009B1BC4">
            <w:pPr>
              <w:tabs>
                <w:tab w:val="left" w:pos="0"/>
              </w:tabs>
              <w:rPr>
                <w:rFonts w:cs="Segoe UI"/>
                <w:b/>
                <w:bCs/>
              </w:rPr>
            </w:pPr>
          </w:p>
        </w:tc>
        <w:tc>
          <w:tcPr>
            <w:tcW w:w="992" w:type="dxa"/>
            <w:tcBorders>
              <w:bottom w:val="single" w:sz="4" w:space="0" w:color="auto"/>
            </w:tcBorders>
            <w:shd w:val="clear" w:color="auto" w:fill="D5DCE4" w:themeFill="text2" w:themeFillTint="33"/>
            <w:vAlign w:val="center"/>
          </w:tcPr>
          <w:p w14:paraId="6A5C12B2" w14:textId="77777777" w:rsidR="00D82E82" w:rsidRPr="007C734C" w:rsidRDefault="00D82E82" w:rsidP="009B1BC4">
            <w:pPr>
              <w:rPr>
                <w:rFonts w:cs="Segoe UI"/>
              </w:rPr>
            </w:pPr>
            <w:r w:rsidRPr="007C734C">
              <w:rPr>
                <w:rFonts w:cs="Segoe UI"/>
              </w:rPr>
              <w:t>Dlouho-dobé sucho</w:t>
            </w:r>
          </w:p>
        </w:tc>
        <w:tc>
          <w:tcPr>
            <w:tcW w:w="1134" w:type="dxa"/>
            <w:tcBorders>
              <w:bottom w:val="single" w:sz="4" w:space="0" w:color="auto"/>
            </w:tcBorders>
            <w:shd w:val="clear" w:color="auto" w:fill="D5DCE4" w:themeFill="text2" w:themeFillTint="33"/>
            <w:vAlign w:val="center"/>
          </w:tcPr>
          <w:p w14:paraId="69461539" w14:textId="77777777" w:rsidR="00D82E82" w:rsidRPr="007C734C" w:rsidRDefault="00D82E82" w:rsidP="009B1BC4">
            <w:pPr>
              <w:rPr>
                <w:rFonts w:cs="Segoe UI"/>
              </w:rPr>
            </w:pPr>
            <w:r w:rsidRPr="007C734C">
              <w:rPr>
                <w:rFonts w:cs="Segoe UI"/>
              </w:rPr>
              <w:t>Povodně a přívalové povodně</w:t>
            </w:r>
          </w:p>
        </w:tc>
        <w:tc>
          <w:tcPr>
            <w:tcW w:w="992" w:type="dxa"/>
            <w:tcBorders>
              <w:bottom w:val="single" w:sz="4" w:space="0" w:color="auto"/>
            </w:tcBorders>
            <w:shd w:val="clear" w:color="auto" w:fill="D5DCE4" w:themeFill="text2" w:themeFillTint="33"/>
            <w:vAlign w:val="center"/>
          </w:tcPr>
          <w:p w14:paraId="40A90E63" w14:textId="77777777" w:rsidR="00D82E82" w:rsidRPr="007C734C" w:rsidRDefault="00D82E82" w:rsidP="009B1BC4">
            <w:pPr>
              <w:rPr>
                <w:rFonts w:cs="Segoe UI"/>
              </w:rPr>
            </w:pPr>
            <w:r w:rsidRPr="007C734C">
              <w:rPr>
                <w:rFonts w:cs="Segoe UI"/>
              </w:rPr>
              <w:t>Vydatné srážky</w:t>
            </w:r>
          </w:p>
        </w:tc>
        <w:tc>
          <w:tcPr>
            <w:tcW w:w="852" w:type="dxa"/>
            <w:tcBorders>
              <w:bottom w:val="single" w:sz="4" w:space="0" w:color="auto"/>
            </w:tcBorders>
            <w:shd w:val="clear" w:color="auto" w:fill="D5DCE4" w:themeFill="text2" w:themeFillTint="33"/>
            <w:vAlign w:val="center"/>
          </w:tcPr>
          <w:p w14:paraId="3099CE46" w14:textId="77777777" w:rsidR="00D82E82" w:rsidRPr="007C734C" w:rsidRDefault="00D82E82" w:rsidP="009B1BC4">
            <w:pPr>
              <w:rPr>
                <w:rFonts w:cs="Segoe UI"/>
              </w:rPr>
            </w:pPr>
            <w:proofErr w:type="spellStart"/>
            <w:r w:rsidRPr="007C734C">
              <w:rPr>
                <w:rFonts w:cs="Segoe UI"/>
              </w:rPr>
              <w:t>Zvyšo</w:t>
            </w:r>
            <w:proofErr w:type="spellEnd"/>
            <w:r w:rsidRPr="007C734C">
              <w:rPr>
                <w:rFonts w:cs="Segoe UI"/>
              </w:rPr>
              <w:t>-vání teplot</w:t>
            </w:r>
          </w:p>
        </w:tc>
        <w:tc>
          <w:tcPr>
            <w:tcW w:w="1133" w:type="dxa"/>
            <w:tcBorders>
              <w:bottom w:val="single" w:sz="4" w:space="0" w:color="auto"/>
            </w:tcBorders>
            <w:shd w:val="clear" w:color="auto" w:fill="D5DCE4" w:themeFill="text2" w:themeFillTint="33"/>
            <w:vAlign w:val="center"/>
          </w:tcPr>
          <w:p w14:paraId="178B12E6" w14:textId="77777777" w:rsidR="00D82E82" w:rsidRPr="007C734C" w:rsidRDefault="00D82E82" w:rsidP="009B1BC4">
            <w:pPr>
              <w:rPr>
                <w:rFonts w:cs="Segoe UI"/>
              </w:rPr>
            </w:pPr>
            <w:r w:rsidRPr="007C734C">
              <w:rPr>
                <w:rFonts w:cs="Segoe UI"/>
              </w:rPr>
              <w:t>Extrémně vysoké teploty</w:t>
            </w:r>
          </w:p>
        </w:tc>
        <w:tc>
          <w:tcPr>
            <w:tcW w:w="1134" w:type="dxa"/>
            <w:tcBorders>
              <w:bottom w:val="single" w:sz="4" w:space="0" w:color="auto"/>
            </w:tcBorders>
            <w:shd w:val="clear" w:color="auto" w:fill="D5DCE4" w:themeFill="text2" w:themeFillTint="33"/>
            <w:vAlign w:val="center"/>
          </w:tcPr>
          <w:p w14:paraId="4D60AF43" w14:textId="77777777" w:rsidR="00D82E82" w:rsidRPr="007C734C" w:rsidRDefault="00D82E82" w:rsidP="009B1BC4">
            <w:pPr>
              <w:rPr>
                <w:rFonts w:cs="Segoe UI"/>
              </w:rPr>
            </w:pPr>
            <w:r w:rsidRPr="007C734C">
              <w:rPr>
                <w:rFonts w:cs="Segoe UI"/>
              </w:rPr>
              <w:t>Extrémní vítr</w:t>
            </w:r>
          </w:p>
        </w:tc>
        <w:tc>
          <w:tcPr>
            <w:tcW w:w="1134" w:type="dxa"/>
            <w:tcBorders>
              <w:bottom w:val="single" w:sz="4" w:space="0" w:color="auto"/>
            </w:tcBorders>
            <w:shd w:val="clear" w:color="auto" w:fill="D5DCE4" w:themeFill="text2" w:themeFillTint="33"/>
            <w:vAlign w:val="center"/>
          </w:tcPr>
          <w:p w14:paraId="11306F8A" w14:textId="77777777" w:rsidR="00D82E82" w:rsidRPr="007C734C" w:rsidRDefault="00D82E82" w:rsidP="009B1BC4">
            <w:pPr>
              <w:rPr>
                <w:rFonts w:cs="Segoe UI"/>
              </w:rPr>
            </w:pPr>
            <w:r w:rsidRPr="007C734C">
              <w:rPr>
                <w:rFonts w:cs="Segoe UI"/>
              </w:rPr>
              <w:t>Požáry vegetace</w:t>
            </w:r>
          </w:p>
        </w:tc>
      </w:tr>
      <w:tr w:rsidR="00D82E82" w:rsidRPr="007C734C" w14:paraId="54BACA39" w14:textId="77777777" w:rsidTr="009B1BC4">
        <w:trPr>
          <w:trHeight w:val="1045"/>
        </w:trPr>
        <w:tc>
          <w:tcPr>
            <w:tcW w:w="709" w:type="dxa"/>
            <w:vMerge w:val="restart"/>
            <w:shd w:val="clear" w:color="auto" w:fill="D5DCE4" w:themeFill="text2" w:themeFillTint="33"/>
            <w:textDirection w:val="btLr"/>
            <w:vAlign w:val="center"/>
          </w:tcPr>
          <w:p w14:paraId="7E22E524" w14:textId="77777777" w:rsidR="00D82E82" w:rsidRPr="007C734C" w:rsidRDefault="00D82E82" w:rsidP="009B1BC4">
            <w:pPr>
              <w:tabs>
                <w:tab w:val="left" w:pos="0"/>
              </w:tabs>
              <w:ind w:left="113" w:right="113"/>
              <w:rPr>
                <w:rFonts w:cs="Segoe UI"/>
                <w:b/>
                <w:bCs/>
              </w:rPr>
            </w:pPr>
            <w:r w:rsidRPr="007C734C">
              <w:rPr>
                <w:rFonts w:cs="Segoe UI"/>
                <w:b/>
                <w:bCs/>
              </w:rPr>
              <w:t>Současné a budoucí klima</w:t>
            </w:r>
          </w:p>
        </w:tc>
        <w:tc>
          <w:tcPr>
            <w:tcW w:w="1276" w:type="dxa"/>
            <w:shd w:val="clear" w:color="auto" w:fill="D5DCE4" w:themeFill="text2" w:themeFillTint="33"/>
            <w:vAlign w:val="center"/>
          </w:tcPr>
          <w:p w14:paraId="1BBD8AD2" w14:textId="77777777" w:rsidR="00D82E82" w:rsidRPr="007C734C" w:rsidRDefault="00D82E82" w:rsidP="009B1BC4">
            <w:pPr>
              <w:tabs>
                <w:tab w:val="left" w:pos="0"/>
              </w:tabs>
              <w:rPr>
                <w:rFonts w:cs="Segoe UI"/>
              </w:rPr>
            </w:pPr>
            <w:r w:rsidRPr="007C734C">
              <w:rPr>
                <w:rFonts w:cs="Segoe UI"/>
              </w:rPr>
              <w:t>Současné (a minulé) klima</w:t>
            </w:r>
          </w:p>
        </w:tc>
        <w:tc>
          <w:tcPr>
            <w:tcW w:w="992" w:type="dxa"/>
            <w:vAlign w:val="center"/>
          </w:tcPr>
          <w:p w14:paraId="51834DC4" w14:textId="77777777" w:rsidR="00D82E82" w:rsidRPr="007C734C" w:rsidRDefault="00D82E82" w:rsidP="009B1BC4">
            <w:pPr>
              <w:rPr>
                <w:rFonts w:cs="Segoe UI"/>
                <w:i/>
                <w:iCs/>
              </w:rPr>
            </w:pPr>
            <w:r w:rsidRPr="007C734C">
              <w:rPr>
                <w:rFonts w:cs="Segoe UI"/>
                <w:i/>
                <w:iCs/>
              </w:rPr>
              <w:t>N/S/V</w:t>
            </w:r>
          </w:p>
        </w:tc>
        <w:tc>
          <w:tcPr>
            <w:tcW w:w="1134" w:type="dxa"/>
            <w:vAlign w:val="center"/>
          </w:tcPr>
          <w:p w14:paraId="354B29E0" w14:textId="77777777" w:rsidR="00D82E82" w:rsidRPr="007C734C" w:rsidRDefault="00D82E82" w:rsidP="009B1BC4">
            <w:pPr>
              <w:rPr>
                <w:rFonts w:cs="Segoe UI"/>
                <w:i/>
                <w:iCs/>
              </w:rPr>
            </w:pPr>
            <w:r w:rsidRPr="007C734C">
              <w:rPr>
                <w:rFonts w:cs="Segoe UI"/>
                <w:i/>
                <w:iCs/>
              </w:rPr>
              <w:t>N/S/V</w:t>
            </w:r>
          </w:p>
        </w:tc>
        <w:tc>
          <w:tcPr>
            <w:tcW w:w="992" w:type="dxa"/>
            <w:vAlign w:val="center"/>
          </w:tcPr>
          <w:p w14:paraId="1F924FC4" w14:textId="77777777" w:rsidR="00D82E82" w:rsidRPr="007C734C" w:rsidRDefault="00D82E82" w:rsidP="009B1BC4">
            <w:pPr>
              <w:rPr>
                <w:rFonts w:cs="Segoe UI"/>
                <w:i/>
                <w:iCs/>
              </w:rPr>
            </w:pPr>
            <w:r w:rsidRPr="007C734C">
              <w:rPr>
                <w:rFonts w:cs="Segoe UI"/>
                <w:i/>
                <w:iCs/>
              </w:rPr>
              <w:t>N/S/V</w:t>
            </w:r>
          </w:p>
        </w:tc>
        <w:tc>
          <w:tcPr>
            <w:tcW w:w="852" w:type="dxa"/>
            <w:vAlign w:val="center"/>
          </w:tcPr>
          <w:p w14:paraId="4B0AE06E" w14:textId="77777777" w:rsidR="00D82E82" w:rsidRPr="007C734C" w:rsidRDefault="00D82E82" w:rsidP="009B1BC4">
            <w:pPr>
              <w:rPr>
                <w:rFonts w:cs="Segoe UI"/>
                <w:i/>
                <w:iCs/>
              </w:rPr>
            </w:pPr>
            <w:r w:rsidRPr="007C734C">
              <w:rPr>
                <w:rFonts w:cs="Segoe UI"/>
                <w:i/>
                <w:iCs/>
              </w:rPr>
              <w:t>N/S/V</w:t>
            </w:r>
          </w:p>
        </w:tc>
        <w:tc>
          <w:tcPr>
            <w:tcW w:w="1133" w:type="dxa"/>
            <w:vAlign w:val="center"/>
          </w:tcPr>
          <w:p w14:paraId="7B50A7B6" w14:textId="77777777" w:rsidR="00D82E82" w:rsidRPr="007C734C" w:rsidRDefault="00D82E82" w:rsidP="009B1BC4">
            <w:pPr>
              <w:rPr>
                <w:rFonts w:cs="Segoe UI"/>
                <w:i/>
                <w:iCs/>
              </w:rPr>
            </w:pPr>
            <w:r w:rsidRPr="007C734C">
              <w:rPr>
                <w:rFonts w:cs="Segoe UI"/>
                <w:i/>
                <w:iCs/>
              </w:rPr>
              <w:t>N/S/V</w:t>
            </w:r>
          </w:p>
        </w:tc>
        <w:tc>
          <w:tcPr>
            <w:tcW w:w="1134" w:type="dxa"/>
            <w:vAlign w:val="center"/>
          </w:tcPr>
          <w:p w14:paraId="603EE375" w14:textId="77777777" w:rsidR="00D82E82" w:rsidRPr="007C734C" w:rsidRDefault="00D82E82" w:rsidP="009B1BC4">
            <w:pPr>
              <w:rPr>
                <w:rFonts w:cs="Segoe UI"/>
                <w:i/>
                <w:iCs/>
              </w:rPr>
            </w:pPr>
            <w:r w:rsidRPr="007C734C">
              <w:rPr>
                <w:rFonts w:cs="Segoe UI"/>
                <w:i/>
                <w:iCs/>
              </w:rPr>
              <w:t>N/S/V</w:t>
            </w:r>
          </w:p>
        </w:tc>
        <w:tc>
          <w:tcPr>
            <w:tcW w:w="1134" w:type="dxa"/>
            <w:vAlign w:val="center"/>
          </w:tcPr>
          <w:p w14:paraId="67A8E089" w14:textId="77777777" w:rsidR="00D82E82" w:rsidRPr="007C734C" w:rsidRDefault="00D82E82" w:rsidP="009B1BC4">
            <w:pPr>
              <w:rPr>
                <w:rFonts w:cs="Segoe UI"/>
                <w:i/>
                <w:iCs/>
              </w:rPr>
            </w:pPr>
            <w:r w:rsidRPr="007C734C">
              <w:rPr>
                <w:rFonts w:cs="Segoe UI"/>
                <w:i/>
                <w:iCs/>
              </w:rPr>
              <w:t>N/S/V</w:t>
            </w:r>
          </w:p>
        </w:tc>
      </w:tr>
      <w:tr w:rsidR="00D82E82" w:rsidRPr="007C734C" w14:paraId="77BA8357" w14:textId="77777777" w:rsidTr="009B1BC4">
        <w:trPr>
          <w:trHeight w:val="474"/>
        </w:trPr>
        <w:tc>
          <w:tcPr>
            <w:tcW w:w="709" w:type="dxa"/>
            <w:vMerge/>
            <w:shd w:val="clear" w:color="auto" w:fill="D5DCE4" w:themeFill="text2" w:themeFillTint="33"/>
            <w:vAlign w:val="center"/>
          </w:tcPr>
          <w:p w14:paraId="1CECE079" w14:textId="77777777" w:rsidR="00D82E82" w:rsidRPr="007C734C" w:rsidRDefault="00D82E82" w:rsidP="009B1BC4">
            <w:pPr>
              <w:tabs>
                <w:tab w:val="left" w:pos="0"/>
              </w:tabs>
              <w:rPr>
                <w:rFonts w:cs="Segoe UI"/>
                <w:b/>
                <w:bCs/>
              </w:rPr>
            </w:pPr>
          </w:p>
        </w:tc>
        <w:tc>
          <w:tcPr>
            <w:tcW w:w="1276" w:type="dxa"/>
            <w:shd w:val="clear" w:color="auto" w:fill="D5DCE4" w:themeFill="text2" w:themeFillTint="33"/>
            <w:vAlign w:val="center"/>
          </w:tcPr>
          <w:p w14:paraId="466C4DC9" w14:textId="77777777" w:rsidR="00D82E82" w:rsidRPr="007C734C" w:rsidRDefault="00D82E82" w:rsidP="009B1BC4">
            <w:pPr>
              <w:tabs>
                <w:tab w:val="left" w:pos="0"/>
              </w:tabs>
              <w:rPr>
                <w:rFonts w:cs="Segoe UI"/>
              </w:rPr>
            </w:pPr>
            <w:r w:rsidRPr="007C734C">
              <w:rPr>
                <w:rFonts w:cs="Segoe UI"/>
              </w:rPr>
              <w:t>Budoucí klima (prognóza, model)</w:t>
            </w:r>
          </w:p>
        </w:tc>
        <w:tc>
          <w:tcPr>
            <w:tcW w:w="992" w:type="dxa"/>
            <w:vAlign w:val="center"/>
          </w:tcPr>
          <w:p w14:paraId="43F0EAF7" w14:textId="77777777" w:rsidR="00D82E82" w:rsidRPr="007C734C" w:rsidRDefault="00D82E82" w:rsidP="009B1BC4">
            <w:pPr>
              <w:rPr>
                <w:rFonts w:cs="Segoe UI"/>
                <w:i/>
                <w:iCs/>
              </w:rPr>
            </w:pPr>
            <w:r w:rsidRPr="007C734C">
              <w:rPr>
                <w:rFonts w:cs="Segoe UI"/>
                <w:i/>
                <w:iCs/>
              </w:rPr>
              <w:t>N/S/V</w:t>
            </w:r>
          </w:p>
        </w:tc>
        <w:tc>
          <w:tcPr>
            <w:tcW w:w="1134" w:type="dxa"/>
            <w:vAlign w:val="center"/>
          </w:tcPr>
          <w:p w14:paraId="0C72E27F" w14:textId="77777777" w:rsidR="00D82E82" w:rsidRPr="007C734C" w:rsidRDefault="00D82E82" w:rsidP="009B1BC4">
            <w:pPr>
              <w:rPr>
                <w:rFonts w:cs="Segoe UI"/>
                <w:i/>
                <w:iCs/>
              </w:rPr>
            </w:pPr>
            <w:r w:rsidRPr="007C734C">
              <w:rPr>
                <w:rFonts w:cs="Segoe UI"/>
                <w:i/>
                <w:iCs/>
              </w:rPr>
              <w:t>N/S/V</w:t>
            </w:r>
          </w:p>
        </w:tc>
        <w:tc>
          <w:tcPr>
            <w:tcW w:w="992" w:type="dxa"/>
            <w:vAlign w:val="center"/>
          </w:tcPr>
          <w:p w14:paraId="2E67D0AB" w14:textId="77777777" w:rsidR="00D82E82" w:rsidRPr="007C734C" w:rsidRDefault="00D82E82" w:rsidP="009B1BC4">
            <w:pPr>
              <w:rPr>
                <w:rFonts w:cs="Segoe UI"/>
                <w:i/>
                <w:iCs/>
              </w:rPr>
            </w:pPr>
            <w:r w:rsidRPr="007C734C">
              <w:rPr>
                <w:rFonts w:cs="Segoe UI"/>
                <w:i/>
                <w:iCs/>
              </w:rPr>
              <w:t>N/S/V</w:t>
            </w:r>
          </w:p>
        </w:tc>
        <w:tc>
          <w:tcPr>
            <w:tcW w:w="852" w:type="dxa"/>
            <w:vAlign w:val="center"/>
          </w:tcPr>
          <w:p w14:paraId="5FBD023E" w14:textId="77777777" w:rsidR="00D82E82" w:rsidRPr="007C734C" w:rsidRDefault="00D82E82" w:rsidP="009B1BC4">
            <w:pPr>
              <w:rPr>
                <w:rFonts w:cs="Segoe UI"/>
                <w:i/>
                <w:iCs/>
              </w:rPr>
            </w:pPr>
            <w:r w:rsidRPr="007C734C">
              <w:rPr>
                <w:rFonts w:cs="Segoe UI"/>
                <w:i/>
                <w:iCs/>
              </w:rPr>
              <w:t>N/S/V</w:t>
            </w:r>
          </w:p>
        </w:tc>
        <w:tc>
          <w:tcPr>
            <w:tcW w:w="1133" w:type="dxa"/>
            <w:vAlign w:val="center"/>
          </w:tcPr>
          <w:p w14:paraId="710BE15B" w14:textId="77777777" w:rsidR="00D82E82" w:rsidRPr="007C734C" w:rsidRDefault="00D82E82" w:rsidP="009B1BC4">
            <w:pPr>
              <w:rPr>
                <w:rFonts w:cs="Segoe UI"/>
                <w:i/>
                <w:iCs/>
              </w:rPr>
            </w:pPr>
            <w:r w:rsidRPr="007C734C">
              <w:rPr>
                <w:rFonts w:cs="Segoe UI"/>
                <w:i/>
                <w:iCs/>
              </w:rPr>
              <w:t>N/S/V</w:t>
            </w:r>
          </w:p>
        </w:tc>
        <w:tc>
          <w:tcPr>
            <w:tcW w:w="1134" w:type="dxa"/>
            <w:vAlign w:val="center"/>
          </w:tcPr>
          <w:p w14:paraId="6FD16248" w14:textId="77777777" w:rsidR="00D82E82" w:rsidRPr="007C734C" w:rsidRDefault="00D82E82" w:rsidP="009B1BC4">
            <w:pPr>
              <w:rPr>
                <w:rFonts w:cs="Segoe UI"/>
                <w:i/>
                <w:iCs/>
              </w:rPr>
            </w:pPr>
            <w:r w:rsidRPr="007C734C">
              <w:rPr>
                <w:rFonts w:cs="Segoe UI"/>
                <w:i/>
                <w:iCs/>
              </w:rPr>
              <w:t>N/S/V</w:t>
            </w:r>
          </w:p>
        </w:tc>
        <w:tc>
          <w:tcPr>
            <w:tcW w:w="1134" w:type="dxa"/>
            <w:vAlign w:val="center"/>
          </w:tcPr>
          <w:p w14:paraId="4EB458AB" w14:textId="77777777" w:rsidR="00D82E82" w:rsidRPr="007C734C" w:rsidRDefault="00D82E82" w:rsidP="009B1BC4">
            <w:pPr>
              <w:rPr>
                <w:rFonts w:cs="Segoe UI"/>
                <w:i/>
                <w:iCs/>
              </w:rPr>
            </w:pPr>
            <w:r w:rsidRPr="007C734C">
              <w:rPr>
                <w:rFonts w:cs="Segoe UI"/>
                <w:i/>
                <w:iCs/>
              </w:rPr>
              <w:t>N/S/V</w:t>
            </w:r>
          </w:p>
        </w:tc>
      </w:tr>
      <w:tr w:rsidR="00D82E82" w:rsidRPr="007C734C" w14:paraId="1134B1F0" w14:textId="77777777" w:rsidTr="009B1BC4">
        <w:trPr>
          <w:trHeight w:val="474"/>
        </w:trPr>
        <w:tc>
          <w:tcPr>
            <w:tcW w:w="1985" w:type="dxa"/>
            <w:gridSpan w:val="2"/>
            <w:shd w:val="clear" w:color="auto" w:fill="D5DCE4" w:themeFill="text2" w:themeFillTint="33"/>
            <w:vAlign w:val="center"/>
          </w:tcPr>
          <w:p w14:paraId="494D9E09" w14:textId="77777777" w:rsidR="00D82E82" w:rsidRPr="007C734C" w:rsidRDefault="00D82E82" w:rsidP="009B1BC4">
            <w:pPr>
              <w:tabs>
                <w:tab w:val="left" w:pos="0"/>
              </w:tabs>
              <w:rPr>
                <w:rFonts w:cs="Segoe UI"/>
                <w:b/>
                <w:bCs/>
              </w:rPr>
            </w:pPr>
            <w:r w:rsidRPr="007C734C">
              <w:rPr>
                <w:rFonts w:cs="Segoe UI"/>
                <w:b/>
                <w:bCs/>
              </w:rPr>
              <w:t>Nejvyšší skóre z výše uvedených</w:t>
            </w:r>
          </w:p>
        </w:tc>
        <w:tc>
          <w:tcPr>
            <w:tcW w:w="992" w:type="dxa"/>
            <w:vAlign w:val="center"/>
          </w:tcPr>
          <w:p w14:paraId="41B49BCE" w14:textId="77777777" w:rsidR="00D82E82" w:rsidRPr="007C734C" w:rsidRDefault="00D82E82" w:rsidP="009B1BC4">
            <w:pPr>
              <w:rPr>
                <w:rFonts w:cs="Segoe UI"/>
                <w:i/>
                <w:iCs/>
              </w:rPr>
            </w:pPr>
            <w:r w:rsidRPr="007C734C">
              <w:rPr>
                <w:rFonts w:cs="Segoe UI"/>
                <w:i/>
                <w:iCs/>
              </w:rPr>
              <w:t>N/S/V</w:t>
            </w:r>
          </w:p>
        </w:tc>
        <w:tc>
          <w:tcPr>
            <w:tcW w:w="1134" w:type="dxa"/>
            <w:vAlign w:val="center"/>
          </w:tcPr>
          <w:p w14:paraId="48CA1430" w14:textId="77777777" w:rsidR="00D82E82" w:rsidRPr="007C734C" w:rsidRDefault="00D82E82" w:rsidP="009B1BC4">
            <w:pPr>
              <w:rPr>
                <w:rFonts w:cs="Segoe UI"/>
                <w:i/>
                <w:iCs/>
              </w:rPr>
            </w:pPr>
            <w:r w:rsidRPr="007C734C">
              <w:rPr>
                <w:rFonts w:cs="Segoe UI"/>
                <w:i/>
                <w:iCs/>
              </w:rPr>
              <w:t>N/S/V</w:t>
            </w:r>
          </w:p>
        </w:tc>
        <w:tc>
          <w:tcPr>
            <w:tcW w:w="992" w:type="dxa"/>
            <w:vAlign w:val="center"/>
          </w:tcPr>
          <w:p w14:paraId="0B7553ED" w14:textId="77777777" w:rsidR="00D82E82" w:rsidRPr="007C734C" w:rsidRDefault="00D82E82" w:rsidP="009B1BC4">
            <w:pPr>
              <w:rPr>
                <w:rFonts w:cs="Segoe UI"/>
                <w:i/>
                <w:iCs/>
              </w:rPr>
            </w:pPr>
            <w:r w:rsidRPr="007C734C">
              <w:rPr>
                <w:rFonts w:cs="Segoe UI"/>
                <w:i/>
                <w:iCs/>
              </w:rPr>
              <w:t>N/S/V</w:t>
            </w:r>
          </w:p>
        </w:tc>
        <w:tc>
          <w:tcPr>
            <w:tcW w:w="852" w:type="dxa"/>
            <w:vAlign w:val="center"/>
          </w:tcPr>
          <w:p w14:paraId="2F216073" w14:textId="77777777" w:rsidR="00D82E82" w:rsidRPr="007C734C" w:rsidRDefault="00D82E82" w:rsidP="009B1BC4">
            <w:pPr>
              <w:rPr>
                <w:rFonts w:cs="Segoe UI"/>
                <w:i/>
                <w:iCs/>
              </w:rPr>
            </w:pPr>
            <w:r w:rsidRPr="007C734C">
              <w:rPr>
                <w:rFonts w:cs="Segoe UI"/>
                <w:i/>
                <w:iCs/>
              </w:rPr>
              <w:t>N/S/V</w:t>
            </w:r>
          </w:p>
        </w:tc>
        <w:tc>
          <w:tcPr>
            <w:tcW w:w="1133" w:type="dxa"/>
            <w:vAlign w:val="center"/>
          </w:tcPr>
          <w:p w14:paraId="2E7DDBD8" w14:textId="77777777" w:rsidR="00D82E82" w:rsidRPr="007C734C" w:rsidRDefault="00D82E82" w:rsidP="009B1BC4">
            <w:pPr>
              <w:rPr>
                <w:rFonts w:cs="Segoe UI"/>
                <w:i/>
                <w:iCs/>
              </w:rPr>
            </w:pPr>
            <w:r w:rsidRPr="007C734C">
              <w:rPr>
                <w:rFonts w:cs="Segoe UI"/>
                <w:i/>
                <w:iCs/>
              </w:rPr>
              <w:t>N/S/V</w:t>
            </w:r>
          </w:p>
        </w:tc>
        <w:tc>
          <w:tcPr>
            <w:tcW w:w="1134" w:type="dxa"/>
            <w:vAlign w:val="center"/>
          </w:tcPr>
          <w:p w14:paraId="2D67AC8F" w14:textId="77777777" w:rsidR="00D82E82" w:rsidRPr="007C734C" w:rsidRDefault="00D82E82" w:rsidP="009B1BC4">
            <w:pPr>
              <w:rPr>
                <w:rFonts w:cs="Segoe UI"/>
                <w:i/>
                <w:iCs/>
              </w:rPr>
            </w:pPr>
            <w:r w:rsidRPr="007C734C">
              <w:rPr>
                <w:rFonts w:cs="Segoe UI"/>
                <w:i/>
                <w:iCs/>
              </w:rPr>
              <w:t>N/S/V</w:t>
            </w:r>
          </w:p>
        </w:tc>
        <w:tc>
          <w:tcPr>
            <w:tcW w:w="1134" w:type="dxa"/>
            <w:vAlign w:val="center"/>
          </w:tcPr>
          <w:p w14:paraId="7D53C189" w14:textId="77777777" w:rsidR="00D82E82" w:rsidRPr="007C734C" w:rsidRDefault="00D82E82" w:rsidP="009B1BC4">
            <w:pPr>
              <w:rPr>
                <w:rFonts w:cs="Segoe UI"/>
                <w:i/>
                <w:iCs/>
              </w:rPr>
            </w:pPr>
            <w:r w:rsidRPr="007C734C">
              <w:rPr>
                <w:rFonts w:cs="Segoe UI"/>
                <w:i/>
                <w:iCs/>
              </w:rPr>
              <w:t>N/S/V</w:t>
            </w:r>
          </w:p>
        </w:tc>
      </w:tr>
    </w:tbl>
    <w:p w14:paraId="2D9AFFC2" w14:textId="77777777" w:rsidR="00D82E82" w:rsidRDefault="00D82E82" w:rsidP="00D82E82">
      <w:pPr>
        <w:rPr>
          <w:rFonts w:cs="Segoe UI"/>
        </w:rPr>
      </w:pPr>
    </w:p>
    <w:p w14:paraId="2E527877" w14:textId="77777777" w:rsidR="00D82E82" w:rsidRPr="007C734C" w:rsidRDefault="00D82E82" w:rsidP="00D82E82">
      <w:pPr>
        <w:keepNext/>
        <w:rPr>
          <w:rFonts w:cs="Segoe UI"/>
        </w:rPr>
      </w:pPr>
      <w:r w:rsidRPr="007C734C">
        <w:rPr>
          <w:rFonts w:cs="Segoe UI"/>
        </w:rPr>
        <w:t xml:space="preserve">V návaznosti na Aktualizaci Komplexní studie dopadů, zranitelnosti a zdrojů rizik souvisejících se změnou klimatu v ČR z roku 2015, zpracovanou ČHMÚ v r. 2019, a Strategii přizpůsobení se změně klimatu v podmínkách ČR, 1. aktualizaci pro období 2021–2030, </w:t>
      </w:r>
      <w:r w:rsidRPr="007C734C">
        <w:rPr>
          <w:rFonts w:cs="Segoe UI"/>
          <w:b/>
        </w:rPr>
        <w:t>se doporučuje na území České republiky hodnotit expozici jednotlivým klimatickým nebezpečím následovně (pokud není určeno jinak, je expozice nízká):</w:t>
      </w:r>
    </w:p>
    <w:p w14:paraId="2CE42F8B" w14:textId="77777777" w:rsidR="00D82E82" w:rsidRPr="007C734C" w:rsidRDefault="00D82E82" w:rsidP="00D82E82">
      <w:pPr>
        <w:pStyle w:val="Odstavecseseznamem"/>
        <w:numPr>
          <w:ilvl w:val="0"/>
          <w:numId w:val="42"/>
        </w:numPr>
        <w:spacing w:after="200" w:line="276" w:lineRule="auto"/>
        <w:contextualSpacing/>
        <w:rPr>
          <w:rFonts w:cs="Segoe UI"/>
        </w:rPr>
      </w:pPr>
      <w:r w:rsidRPr="007C734C">
        <w:rPr>
          <w:rFonts w:cs="Segoe UI"/>
          <w:iCs/>
        </w:rPr>
        <w:t xml:space="preserve">V případě klimatického </w:t>
      </w:r>
      <w:r w:rsidRPr="007C734C">
        <w:rPr>
          <w:rFonts w:cs="Segoe UI"/>
          <w:b/>
          <w:bCs/>
          <w:iCs/>
        </w:rPr>
        <w:t xml:space="preserve">nebezpečí dlouhodobého sucha </w:t>
      </w:r>
      <w:r w:rsidRPr="007C734C">
        <w:rPr>
          <w:rFonts w:cs="Segoe UI"/>
          <w:iCs/>
        </w:rPr>
        <w:t>jsou odhadované budoucí změny srážek značně nejisté. Ze stávajících podkladů lze usuzovat, že dlouhodobým suchem jsou ohroženy zejména kraje Jihomoravský, Olomoucký a hlavní město Praha, zčásti pak Zlínský kraj, Moravskoslezský kraj, Kraj Vysočina, Pardubický kraj, Královéhradecký kraj, Středočeský kraj, Plzeňský i Ústecký kraj. Míru expozice se doporučuje v těchto krajích hodnotit jako střední.</w:t>
      </w:r>
    </w:p>
    <w:p w14:paraId="4900B7D2" w14:textId="77777777" w:rsidR="00D82E82" w:rsidRPr="007C734C" w:rsidRDefault="00D82E82" w:rsidP="00D82E82">
      <w:pPr>
        <w:pStyle w:val="Odstavecseseznamem"/>
        <w:numPr>
          <w:ilvl w:val="0"/>
          <w:numId w:val="42"/>
        </w:numPr>
        <w:spacing w:after="200" w:line="276" w:lineRule="auto"/>
        <w:contextualSpacing/>
        <w:rPr>
          <w:rFonts w:cs="Segoe UI"/>
        </w:rPr>
      </w:pPr>
      <w:r w:rsidRPr="007C734C">
        <w:rPr>
          <w:rFonts w:cs="Segoe UI"/>
          <w:iCs/>
        </w:rPr>
        <w:t xml:space="preserve">V případě klimatického </w:t>
      </w:r>
      <w:r w:rsidRPr="007C734C">
        <w:rPr>
          <w:rFonts w:cs="Segoe UI"/>
          <w:b/>
          <w:bCs/>
          <w:iCs/>
        </w:rPr>
        <w:t>nebezpečí povodní</w:t>
      </w:r>
      <w:r w:rsidRPr="007C734C">
        <w:rPr>
          <w:rFonts w:cs="Segoe UI"/>
          <w:iCs/>
        </w:rPr>
        <w:t xml:space="preserve"> se doporučuje vycházet a) v územích s významným povodňovým rizikem z výstupů mapování povodňové směrnice, které jsou v datovém skladu MŽP viz </w:t>
      </w:r>
      <w:hyperlink r:id="rId78" w:tooltip="https://cds.mzp.cz/" w:history="1">
        <w:r w:rsidRPr="007C734C">
          <w:rPr>
            <w:rStyle w:val="Hypertextovodkaz"/>
            <w:rFonts w:cs="Segoe UI"/>
            <w:iCs/>
          </w:rPr>
          <w:t>https://cds.mzp.cz/</w:t>
        </w:r>
      </w:hyperlink>
      <w:r w:rsidRPr="007C734C">
        <w:rPr>
          <w:rFonts w:cs="Segoe UI"/>
          <w:iCs/>
        </w:rPr>
        <w:t xml:space="preserve">, a b) mimo tato území z mapových podkladů stanovených záplavových území viz </w:t>
      </w:r>
      <w:hyperlink r:id="rId79" w:tooltip="https://dppcr.cz/html_pub/" w:history="1">
        <w:r w:rsidRPr="007C734C">
          <w:rPr>
            <w:rStyle w:val="Hypertextovodkaz"/>
            <w:rFonts w:cs="Segoe UI"/>
            <w:iCs/>
          </w:rPr>
          <w:t>https://dppcr.cz/html_pub/</w:t>
        </w:r>
      </w:hyperlink>
      <w:r w:rsidRPr="007C734C">
        <w:rPr>
          <w:rFonts w:cs="Segoe UI"/>
          <w:iCs/>
        </w:rPr>
        <w:t xml:space="preserve">, v případě přívalových povodní z mapy kritických bodů viz </w:t>
      </w:r>
      <w:hyperlink r:id="rId80" w:tooltip="https://webmap.dppcr.cz/dpp_cr/wms.dll?MAP=5406&amp;TMPL=AJAX_MAIN" w:history="1">
        <w:r w:rsidRPr="007C734C">
          <w:rPr>
            <w:rStyle w:val="Hypertextovodkaz"/>
            <w:rFonts w:cs="Segoe UI"/>
            <w:iCs/>
          </w:rPr>
          <w:t>https://webmap.dppcr.cz/dpp_cr/wms.dll?MAP=5406&amp;TMPL=AJAX_MAIN</w:t>
        </w:r>
      </w:hyperlink>
      <w:r w:rsidRPr="007C734C">
        <w:rPr>
          <w:rFonts w:cs="Segoe UI"/>
          <w:iCs/>
        </w:rPr>
        <w:t>. Pokud lokalita/umístění projektu leží v aktivní zóně stanoveného záplavového území (AZZU) nebo je v bezprostřední blízkosti kritického bodu, je skóre expozice hodnoceno jako vysoké. Pokud lokalita leží v záplavovém území (Q100) nebo v okolí kritického bodu, je skóre expozice hodnoceno jako střední.</w:t>
      </w:r>
    </w:p>
    <w:p w14:paraId="3B98C257" w14:textId="77777777" w:rsidR="00D82E82" w:rsidRPr="007C734C" w:rsidRDefault="00D82E82" w:rsidP="00D82E82">
      <w:pPr>
        <w:pStyle w:val="Odstavecseseznamem"/>
        <w:numPr>
          <w:ilvl w:val="0"/>
          <w:numId w:val="42"/>
        </w:numPr>
        <w:spacing w:after="200" w:line="276" w:lineRule="auto"/>
        <w:contextualSpacing/>
        <w:rPr>
          <w:rFonts w:cs="Segoe UI"/>
        </w:rPr>
      </w:pPr>
      <w:r w:rsidRPr="007C734C">
        <w:rPr>
          <w:rFonts w:cs="Segoe UI"/>
          <w:iCs/>
        </w:rPr>
        <w:lastRenderedPageBreak/>
        <w:t xml:space="preserve">V případě klimatického </w:t>
      </w:r>
      <w:r w:rsidRPr="007C734C">
        <w:rPr>
          <w:rFonts w:cs="Segoe UI"/>
          <w:b/>
          <w:bCs/>
          <w:iCs/>
        </w:rPr>
        <w:t>nebezpečí vydatných srážek</w:t>
      </w:r>
      <w:r w:rsidRPr="007C734C">
        <w:rPr>
          <w:rFonts w:cs="Segoe UI"/>
          <w:iCs/>
        </w:rPr>
        <w:t xml:space="preserve"> je v místech terénních depresí, místech nedostatečně odvodněných nebo na svazích s velkým sklonem skóre expozice hodnoceno jako střední, podle konkrétních místních podmínek. Dále obecně v geologicky nestabilních oblastech Západních Karpat, </w:t>
      </w:r>
      <w:proofErr w:type="spellStart"/>
      <w:r w:rsidRPr="007C734C">
        <w:rPr>
          <w:rFonts w:cs="Segoe UI"/>
          <w:iCs/>
        </w:rPr>
        <w:t>vátých</w:t>
      </w:r>
      <w:proofErr w:type="spellEnd"/>
      <w:r w:rsidRPr="007C734C">
        <w:rPr>
          <w:rFonts w:cs="Segoe UI"/>
          <w:iCs/>
        </w:rPr>
        <w:t xml:space="preserve"> písků na </w:t>
      </w:r>
      <w:proofErr w:type="spellStart"/>
      <w:r w:rsidRPr="007C734C">
        <w:rPr>
          <w:rFonts w:cs="Segoe UI"/>
          <w:iCs/>
        </w:rPr>
        <w:t>Bzenecku</w:t>
      </w:r>
      <w:proofErr w:type="spellEnd"/>
      <w:r w:rsidRPr="007C734C">
        <w:rPr>
          <w:rFonts w:cs="Segoe UI"/>
          <w:iCs/>
        </w:rPr>
        <w:t>, urbanizovaných údolích velkých řek a v horských oblastech je skóre expozice hodnoceno jako střední.</w:t>
      </w:r>
    </w:p>
    <w:p w14:paraId="6E644F48" w14:textId="77777777" w:rsidR="00D82E82" w:rsidRPr="007C734C" w:rsidRDefault="00D82E82" w:rsidP="00D82E82">
      <w:pPr>
        <w:pStyle w:val="Odstavecseseznamem"/>
        <w:numPr>
          <w:ilvl w:val="0"/>
          <w:numId w:val="42"/>
        </w:numPr>
        <w:spacing w:after="200" w:line="276" w:lineRule="auto"/>
        <w:contextualSpacing/>
        <w:rPr>
          <w:rFonts w:cs="Segoe UI"/>
        </w:rPr>
      </w:pPr>
      <w:r w:rsidRPr="007C734C">
        <w:rPr>
          <w:rFonts w:cs="Segoe UI"/>
          <w:iCs/>
        </w:rPr>
        <w:t xml:space="preserve">V případě klimatického </w:t>
      </w:r>
      <w:r w:rsidRPr="007C734C">
        <w:rPr>
          <w:rFonts w:cs="Segoe UI"/>
          <w:b/>
          <w:bCs/>
          <w:iCs/>
        </w:rPr>
        <w:t>nebezpečí</w:t>
      </w:r>
      <w:r w:rsidRPr="007C734C">
        <w:rPr>
          <w:rFonts w:cs="Segoe UI"/>
          <w:iCs/>
        </w:rPr>
        <w:t xml:space="preserve"> </w:t>
      </w:r>
      <w:r w:rsidRPr="007C734C">
        <w:rPr>
          <w:rFonts w:cs="Segoe UI"/>
          <w:b/>
          <w:bCs/>
          <w:iCs/>
        </w:rPr>
        <w:t>extrémně vysokých teplot</w:t>
      </w:r>
      <w:r w:rsidRPr="007C734C">
        <w:rPr>
          <w:rFonts w:cs="Segoe UI"/>
          <w:iCs/>
        </w:rPr>
        <w:t xml:space="preserve"> je obecně v oblastech Žatecka-Lounska, Berounska, Plzeňské pánve, Dolnomoravského a Dyjsko-svrateckého úvalu a intravilánech velkých měst skóre expozice hodnoceno jako střední. V podmínkách budoucího klimatu se očekává rozšíření oblastí exponovaných extrémně vysokým teplotám.</w:t>
      </w:r>
    </w:p>
    <w:p w14:paraId="19426888" w14:textId="77777777" w:rsidR="00D82E82" w:rsidRPr="007C734C" w:rsidRDefault="00D82E82" w:rsidP="00D82E82">
      <w:pPr>
        <w:pStyle w:val="Odstavecseseznamem"/>
        <w:numPr>
          <w:ilvl w:val="0"/>
          <w:numId w:val="42"/>
        </w:numPr>
        <w:spacing w:after="200" w:line="276" w:lineRule="auto"/>
        <w:contextualSpacing/>
        <w:rPr>
          <w:rFonts w:cs="Segoe UI"/>
        </w:rPr>
      </w:pPr>
      <w:r w:rsidRPr="007C734C">
        <w:rPr>
          <w:rFonts w:cs="Segoe UI"/>
          <w:iCs/>
        </w:rPr>
        <w:t xml:space="preserve">V případě klimatického </w:t>
      </w:r>
      <w:r w:rsidRPr="007C734C">
        <w:rPr>
          <w:rFonts w:cs="Segoe UI"/>
          <w:b/>
          <w:iCs/>
        </w:rPr>
        <w:t xml:space="preserve">nebezpečí </w:t>
      </w:r>
      <w:r w:rsidRPr="007C734C">
        <w:rPr>
          <w:rFonts w:cs="Segoe UI"/>
          <w:b/>
          <w:bCs/>
          <w:iCs/>
        </w:rPr>
        <w:t>extrémního větru</w:t>
      </w:r>
      <w:r w:rsidRPr="007C734C">
        <w:rPr>
          <w:rFonts w:cs="Segoe UI"/>
          <w:iCs/>
        </w:rPr>
        <w:t xml:space="preserve"> je nejnižší průměrná rychlost větru pozorována v letní sezóně, nejvyšší průměrné rychlosti větru jsou zaznamenány v zimě, nárůst rychlosti je patrný zejména v horských polohách. Scénáře vývoje klimatu v dalších desetiletích popisují možné změny rychlosti větru většinou jen velmi obecně. Možný mírný nárůst intenzity vichřic je situován spíše do oblasti Severního moře a jeho pobřeží a do oblasti Baltu, ve střední Evropě významná změna není indikována. V horských oblastech se doporučuje stanovit expozici jako střední. </w:t>
      </w:r>
    </w:p>
    <w:p w14:paraId="23B0E820" w14:textId="77777777" w:rsidR="00D82E82" w:rsidRDefault="00D82E82" w:rsidP="00D82E82">
      <w:pPr>
        <w:pStyle w:val="Odstavecseseznamem"/>
        <w:numPr>
          <w:ilvl w:val="0"/>
          <w:numId w:val="42"/>
        </w:numPr>
        <w:spacing w:after="200" w:line="276" w:lineRule="auto"/>
        <w:contextualSpacing/>
        <w:rPr>
          <w:rFonts w:cs="Segoe UI"/>
          <w:iCs/>
        </w:rPr>
      </w:pPr>
      <w:r w:rsidRPr="007C734C">
        <w:rPr>
          <w:rFonts w:cs="Segoe UI"/>
          <w:iCs/>
        </w:rPr>
        <w:t xml:space="preserve">V případě klimatického </w:t>
      </w:r>
      <w:r w:rsidRPr="007C734C">
        <w:rPr>
          <w:rFonts w:cs="Segoe UI"/>
          <w:b/>
          <w:iCs/>
        </w:rPr>
        <w:t>nebezpečí požárů vegetace</w:t>
      </w:r>
      <w:r w:rsidRPr="007C734C">
        <w:rPr>
          <w:rFonts w:cs="Segoe UI"/>
          <w:iCs/>
        </w:rPr>
        <w:t xml:space="preserve"> není možné předvídat, jelikož je ovlivňuje velké množství faktorů (činnost člověka, meteorologické jevy, stav vegetace apod.) Na základě vyhodnoceného indexu nebezpečí požárů však lze vydávat výstrahy, podle kterých mohou příslušné instituce přijímat opatření. Pro hodnocení expozice lze vycházet z obr. 11 na str. 26 metodiky Doporučená adaptační a </w:t>
      </w:r>
      <w:proofErr w:type="spellStart"/>
      <w:r w:rsidRPr="007C734C">
        <w:rPr>
          <w:rFonts w:cs="Segoe UI"/>
          <w:iCs/>
        </w:rPr>
        <w:t>mitigační</w:t>
      </w:r>
      <w:proofErr w:type="spellEnd"/>
      <w:r w:rsidRPr="007C734C">
        <w:rPr>
          <w:rFonts w:cs="Segoe UI"/>
          <w:iCs/>
        </w:rPr>
        <w:t xml:space="preserve"> opatření v rizikových oblastech výskytu přírodních požárů s přihlédnutím k měnícímu se klimatu</w:t>
      </w:r>
      <w:r w:rsidRPr="007C734C">
        <w:rPr>
          <w:rStyle w:val="Znakapoznpodarou"/>
          <w:rFonts w:cs="Segoe UI"/>
          <w:iCs/>
        </w:rPr>
        <w:footnoteReference w:id="55"/>
      </w:r>
      <w:r w:rsidRPr="007C734C">
        <w:rPr>
          <w:rFonts w:cs="Segoe UI"/>
          <w:iCs/>
        </w:rPr>
        <w:t>, nicméně výsledky zde uvedené nevychází z analýzy rizik a jsou z pohledu hodnocení rizik nadhodnocená.</w:t>
      </w:r>
    </w:p>
    <w:p w14:paraId="35AE90C2" w14:textId="77777777" w:rsidR="003324BE" w:rsidRDefault="003324BE" w:rsidP="003324BE">
      <w:pPr>
        <w:spacing w:after="200"/>
        <w:contextualSpacing/>
        <w:rPr>
          <w:rFonts w:cs="Segoe UI"/>
          <w:iCs/>
        </w:rPr>
      </w:pPr>
    </w:p>
    <w:p w14:paraId="54C5C860" w14:textId="77777777" w:rsidR="00D82E82" w:rsidRPr="007C734C" w:rsidRDefault="00D82E82" w:rsidP="00DB1A0B">
      <w:pPr>
        <w:pStyle w:val="Nadpis5"/>
        <w:rPr>
          <w:rFonts w:cs="Segoe UI"/>
          <w:bCs/>
        </w:rPr>
      </w:pPr>
      <w:r w:rsidRPr="007C734C">
        <w:rPr>
          <w:rFonts w:cs="Segoe UI"/>
          <w:bCs/>
        </w:rPr>
        <w:t xml:space="preserve">Analýza </w:t>
      </w:r>
      <w:r w:rsidRPr="003324BE">
        <w:t>zranitelnosti</w:t>
      </w:r>
    </w:p>
    <w:p w14:paraId="42A4DFEB" w14:textId="77777777" w:rsidR="00D82E82" w:rsidRPr="007C734C" w:rsidRDefault="00D82E82" w:rsidP="00D82E82">
      <w:pPr>
        <w:rPr>
          <w:rFonts w:cs="Segoe UI"/>
        </w:rPr>
      </w:pPr>
      <w:r w:rsidRPr="007C734C">
        <w:rPr>
          <w:rFonts w:cs="Segoe UI"/>
        </w:rPr>
        <w:t>Zpracovatel vypracuje analýzu zranitelnosti (která kombinuje výsledky analýzy citlivosti a analýzy expozice).</w:t>
      </w:r>
    </w:p>
    <w:p w14:paraId="4A2F1A6E" w14:textId="77777777" w:rsidR="00D82E82" w:rsidRPr="007C734C" w:rsidRDefault="00D82E82" w:rsidP="00D82E82">
      <w:pPr>
        <w:rPr>
          <w:rFonts w:cs="Segoe UI"/>
        </w:rPr>
      </w:pPr>
    </w:p>
    <w:tbl>
      <w:tblPr>
        <w:tblStyle w:val="Mkatabulky"/>
        <w:tblW w:w="8934" w:type="dxa"/>
        <w:tblInd w:w="-5" w:type="dxa"/>
        <w:tblLayout w:type="fixed"/>
        <w:tblLook w:val="04A0" w:firstRow="1" w:lastRow="0" w:firstColumn="1" w:lastColumn="0" w:noHBand="0" w:noVBand="1"/>
      </w:tblPr>
      <w:tblGrid>
        <w:gridCol w:w="1134"/>
        <w:gridCol w:w="1134"/>
        <w:gridCol w:w="1086"/>
        <w:gridCol w:w="1371"/>
        <w:gridCol w:w="1371"/>
        <w:gridCol w:w="353"/>
        <w:gridCol w:w="1206"/>
        <w:gridCol w:w="1279"/>
      </w:tblGrid>
      <w:tr w:rsidR="00D82E82" w:rsidRPr="007C734C" w14:paraId="39D59E33" w14:textId="77777777" w:rsidTr="009B1BC4">
        <w:trPr>
          <w:trHeight w:val="613"/>
        </w:trPr>
        <w:tc>
          <w:tcPr>
            <w:tcW w:w="8934" w:type="dxa"/>
            <w:gridSpan w:val="8"/>
            <w:shd w:val="clear" w:color="auto" w:fill="D5DCE4" w:themeFill="text2" w:themeFillTint="33"/>
            <w:vAlign w:val="center"/>
          </w:tcPr>
          <w:p w14:paraId="0C15C28F" w14:textId="77777777" w:rsidR="00D82E82" w:rsidRPr="007C734C" w:rsidRDefault="00D82E82" w:rsidP="009B1BC4">
            <w:pPr>
              <w:jc w:val="center"/>
              <w:rPr>
                <w:rFonts w:cs="Segoe UI"/>
                <w:b/>
                <w:bCs/>
              </w:rPr>
            </w:pPr>
            <w:r w:rsidRPr="007C734C">
              <w:rPr>
                <w:rFonts w:cs="Segoe UI"/>
                <w:b/>
                <w:bCs/>
              </w:rPr>
              <w:t>Analýza zranitelnosti</w:t>
            </w:r>
          </w:p>
        </w:tc>
      </w:tr>
      <w:tr w:rsidR="00D82E82" w:rsidRPr="007C734C" w14:paraId="33DEF57F" w14:textId="77777777" w:rsidTr="009B1BC4">
        <w:trPr>
          <w:trHeight w:val="613"/>
        </w:trPr>
        <w:tc>
          <w:tcPr>
            <w:tcW w:w="2268" w:type="dxa"/>
            <w:gridSpan w:val="2"/>
            <w:vMerge w:val="restart"/>
            <w:shd w:val="clear" w:color="auto" w:fill="D5DCE4" w:themeFill="text2" w:themeFillTint="33"/>
            <w:vAlign w:val="center"/>
          </w:tcPr>
          <w:p w14:paraId="5322D17C" w14:textId="77777777" w:rsidR="00D82E82" w:rsidRPr="007C734C" w:rsidRDefault="00D82E82" w:rsidP="009B1BC4">
            <w:pPr>
              <w:tabs>
                <w:tab w:val="left" w:pos="0"/>
              </w:tabs>
              <w:jc w:val="center"/>
              <w:rPr>
                <w:rFonts w:cs="Segoe UI"/>
                <w:b/>
                <w:bCs/>
              </w:rPr>
            </w:pPr>
            <w:r w:rsidRPr="007C734C">
              <w:rPr>
                <w:rFonts w:cs="Segoe UI"/>
                <w:b/>
                <w:bCs/>
              </w:rPr>
              <w:t>Dlouhodobé sucho</w:t>
            </w:r>
          </w:p>
        </w:tc>
        <w:tc>
          <w:tcPr>
            <w:tcW w:w="3828" w:type="dxa"/>
            <w:gridSpan w:val="3"/>
            <w:shd w:val="clear" w:color="auto" w:fill="D5DCE4" w:themeFill="text2" w:themeFillTint="33"/>
            <w:vAlign w:val="center"/>
          </w:tcPr>
          <w:p w14:paraId="79CB5C68" w14:textId="77777777" w:rsidR="00D82E82" w:rsidRPr="007C734C" w:rsidRDefault="00D82E82" w:rsidP="009B1BC4">
            <w:pPr>
              <w:jc w:val="center"/>
              <w:rPr>
                <w:rFonts w:cs="Segoe UI"/>
                <w:b/>
                <w:bCs/>
              </w:rPr>
            </w:pPr>
            <w:r w:rsidRPr="007C734C">
              <w:rPr>
                <w:rFonts w:cs="Segoe UI"/>
                <w:b/>
                <w:bCs/>
              </w:rPr>
              <w:t>Expozice (nejvyšší skóre)</w:t>
            </w:r>
          </w:p>
        </w:tc>
        <w:tc>
          <w:tcPr>
            <w:tcW w:w="353" w:type="dxa"/>
            <w:tcBorders>
              <w:bottom w:val="none" w:sz="4" w:space="0" w:color="000000"/>
              <w:right w:val="none" w:sz="4" w:space="0" w:color="000000"/>
            </w:tcBorders>
            <w:vAlign w:val="center"/>
          </w:tcPr>
          <w:p w14:paraId="09A5043C" w14:textId="77777777" w:rsidR="00D82E82" w:rsidRPr="007C734C" w:rsidRDefault="00D82E82" w:rsidP="009B1BC4">
            <w:pPr>
              <w:jc w:val="center"/>
              <w:rPr>
                <w:rFonts w:cs="Segoe UI"/>
                <w:b/>
                <w:bCs/>
              </w:rPr>
            </w:pPr>
          </w:p>
        </w:tc>
        <w:tc>
          <w:tcPr>
            <w:tcW w:w="1206" w:type="dxa"/>
            <w:tcBorders>
              <w:left w:val="none" w:sz="4" w:space="0" w:color="000000"/>
              <w:bottom w:val="none" w:sz="4" w:space="0" w:color="000000"/>
              <w:right w:val="none" w:sz="4" w:space="0" w:color="000000"/>
            </w:tcBorders>
            <w:vAlign w:val="center"/>
          </w:tcPr>
          <w:p w14:paraId="1AA02E6B" w14:textId="77777777" w:rsidR="00D82E82" w:rsidRPr="007C734C" w:rsidRDefault="00D82E82" w:rsidP="009B1BC4">
            <w:pPr>
              <w:jc w:val="center"/>
              <w:rPr>
                <w:rFonts w:cs="Segoe UI"/>
                <w:b/>
                <w:bCs/>
              </w:rPr>
            </w:pPr>
          </w:p>
        </w:tc>
        <w:tc>
          <w:tcPr>
            <w:tcW w:w="1279" w:type="dxa"/>
            <w:tcBorders>
              <w:left w:val="none" w:sz="4" w:space="0" w:color="000000"/>
              <w:bottom w:val="none" w:sz="4" w:space="0" w:color="000000"/>
            </w:tcBorders>
            <w:vAlign w:val="center"/>
          </w:tcPr>
          <w:p w14:paraId="0E217054" w14:textId="77777777" w:rsidR="00D82E82" w:rsidRPr="007C734C" w:rsidRDefault="00D82E82" w:rsidP="009B1BC4">
            <w:pPr>
              <w:jc w:val="center"/>
              <w:rPr>
                <w:rFonts w:cs="Segoe UI"/>
                <w:b/>
                <w:bCs/>
              </w:rPr>
            </w:pPr>
          </w:p>
        </w:tc>
      </w:tr>
      <w:tr w:rsidR="00D82E82" w:rsidRPr="007C734C" w14:paraId="7FB389DA" w14:textId="77777777" w:rsidTr="009B1BC4">
        <w:trPr>
          <w:trHeight w:val="885"/>
        </w:trPr>
        <w:tc>
          <w:tcPr>
            <w:tcW w:w="2268" w:type="dxa"/>
            <w:gridSpan w:val="2"/>
            <w:vMerge/>
            <w:tcBorders>
              <w:bottom w:val="single" w:sz="4" w:space="0" w:color="auto"/>
            </w:tcBorders>
            <w:shd w:val="clear" w:color="auto" w:fill="D5DCE4" w:themeFill="text2" w:themeFillTint="33"/>
            <w:vAlign w:val="center"/>
          </w:tcPr>
          <w:p w14:paraId="0B7CDEB5" w14:textId="77777777" w:rsidR="00D82E82" w:rsidRPr="007C734C" w:rsidRDefault="00D82E82" w:rsidP="009B1BC4">
            <w:pPr>
              <w:tabs>
                <w:tab w:val="left" w:pos="0"/>
              </w:tabs>
              <w:jc w:val="center"/>
              <w:rPr>
                <w:rFonts w:cs="Segoe UI"/>
                <w:b/>
                <w:bCs/>
              </w:rPr>
            </w:pPr>
          </w:p>
        </w:tc>
        <w:tc>
          <w:tcPr>
            <w:tcW w:w="1086" w:type="dxa"/>
            <w:tcBorders>
              <w:bottom w:val="single" w:sz="4" w:space="0" w:color="auto"/>
            </w:tcBorders>
            <w:shd w:val="clear" w:color="auto" w:fill="D5DCE4" w:themeFill="text2" w:themeFillTint="33"/>
            <w:vAlign w:val="center"/>
          </w:tcPr>
          <w:p w14:paraId="507889DD" w14:textId="77777777" w:rsidR="00D82E82" w:rsidRPr="007C734C" w:rsidRDefault="00D82E82" w:rsidP="009B1BC4">
            <w:pPr>
              <w:jc w:val="center"/>
              <w:rPr>
                <w:rFonts w:cs="Segoe UI"/>
              </w:rPr>
            </w:pPr>
            <w:r w:rsidRPr="007C734C">
              <w:rPr>
                <w:rFonts w:cs="Segoe UI"/>
              </w:rPr>
              <w:t>Vysoké</w:t>
            </w:r>
          </w:p>
        </w:tc>
        <w:tc>
          <w:tcPr>
            <w:tcW w:w="1371" w:type="dxa"/>
            <w:tcBorders>
              <w:bottom w:val="single" w:sz="4" w:space="0" w:color="auto"/>
            </w:tcBorders>
            <w:shd w:val="clear" w:color="auto" w:fill="D5DCE4" w:themeFill="text2" w:themeFillTint="33"/>
            <w:vAlign w:val="center"/>
          </w:tcPr>
          <w:p w14:paraId="3B4DC165" w14:textId="77777777" w:rsidR="00D82E82" w:rsidRPr="007C734C" w:rsidRDefault="00D82E82" w:rsidP="009B1BC4">
            <w:pPr>
              <w:jc w:val="center"/>
              <w:rPr>
                <w:rFonts w:cs="Segoe UI"/>
              </w:rPr>
            </w:pPr>
            <w:r w:rsidRPr="007C734C">
              <w:rPr>
                <w:rFonts w:cs="Segoe UI"/>
              </w:rPr>
              <w:t>Střední</w:t>
            </w:r>
          </w:p>
        </w:tc>
        <w:tc>
          <w:tcPr>
            <w:tcW w:w="1371" w:type="dxa"/>
            <w:tcBorders>
              <w:bottom w:val="single" w:sz="4" w:space="0" w:color="auto"/>
            </w:tcBorders>
            <w:shd w:val="clear" w:color="auto" w:fill="D5DCE4" w:themeFill="text2" w:themeFillTint="33"/>
            <w:vAlign w:val="center"/>
          </w:tcPr>
          <w:p w14:paraId="31011EED" w14:textId="77777777" w:rsidR="00D82E82" w:rsidRPr="007C734C" w:rsidRDefault="00D82E82" w:rsidP="009B1BC4">
            <w:pPr>
              <w:jc w:val="center"/>
              <w:rPr>
                <w:rFonts w:cs="Segoe UI"/>
              </w:rPr>
            </w:pPr>
            <w:r w:rsidRPr="007C734C">
              <w:rPr>
                <w:rFonts w:cs="Segoe UI"/>
              </w:rPr>
              <w:t>Nízké</w:t>
            </w:r>
          </w:p>
        </w:tc>
        <w:tc>
          <w:tcPr>
            <w:tcW w:w="353" w:type="dxa"/>
            <w:tcBorders>
              <w:top w:val="none" w:sz="4" w:space="0" w:color="000000"/>
              <w:bottom w:val="none" w:sz="4" w:space="0" w:color="000000"/>
              <w:right w:val="none" w:sz="4" w:space="0" w:color="000000"/>
            </w:tcBorders>
            <w:vAlign w:val="center"/>
          </w:tcPr>
          <w:p w14:paraId="130C3EC5" w14:textId="77777777" w:rsidR="00D82E82" w:rsidRPr="007C734C" w:rsidRDefault="00D82E82" w:rsidP="009B1BC4">
            <w:pPr>
              <w:jc w:val="center"/>
              <w:rPr>
                <w:rFonts w:cs="Segoe UI"/>
              </w:rPr>
            </w:pPr>
          </w:p>
        </w:tc>
        <w:tc>
          <w:tcPr>
            <w:tcW w:w="2485" w:type="dxa"/>
            <w:gridSpan w:val="2"/>
            <w:tcBorders>
              <w:top w:val="none" w:sz="4" w:space="0" w:color="000000"/>
              <w:left w:val="none" w:sz="4" w:space="0" w:color="000000"/>
              <w:bottom w:val="none" w:sz="4" w:space="0" w:color="000000"/>
            </w:tcBorders>
            <w:vAlign w:val="center"/>
          </w:tcPr>
          <w:p w14:paraId="57D0C8C8" w14:textId="77777777" w:rsidR="00D82E82" w:rsidRPr="007C734C" w:rsidRDefault="00D82E82" w:rsidP="009B1BC4">
            <w:pPr>
              <w:rPr>
                <w:rFonts w:cs="Segoe UI"/>
              </w:rPr>
            </w:pPr>
            <w:r w:rsidRPr="007C734C">
              <w:rPr>
                <w:rFonts w:cs="Segoe UI"/>
              </w:rPr>
              <w:t>Úroveň zranitelnosti:</w:t>
            </w:r>
          </w:p>
        </w:tc>
      </w:tr>
      <w:tr w:rsidR="00D82E82" w:rsidRPr="007C734C" w14:paraId="0543F713" w14:textId="77777777" w:rsidTr="009B1BC4">
        <w:trPr>
          <w:trHeight w:val="987"/>
        </w:trPr>
        <w:tc>
          <w:tcPr>
            <w:tcW w:w="1134" w:type="dxa"/>
            <w:vMerge w:val="restart"/>
            <w:shd w:val="clear" w:color="auto" w:fill="D5DCE4" w:themeFill="text2" w:themeFillTint="33"/>
            <w:textDirection w:val="btLr"/>
            <w:vAlign w:val="center"/>
          </w:tcPr>
          <w:p w14:paraId="25BC714C" w14:textId="77777777" w:rsidR="00D82E82" w:rsidRPr="007C734C" w:rsidRDefault="00D82E82" w:rsidP="009B1BC4">
            <w:pPr>
              <w:tabs>
                <w:tab w:val="left" w:pos="0"/>
              </w:tabs>
              <w:ind w:left="113" w:right="113"/>
              <w:jc w:val="center"/>
              <w:rPr>
                <w:rFonts w:cs="Segoe UI"/>
                <w:b/>
                <w:bCs/>
              </w:rPr>
            </w:pPr>
            <w:r w:rsidRPr="007C734C">
              <w:rPr>
                <w:rFonts w:cs="Segoe UI"/>
                <w:b/>
                <w:bCs/>
              </w:rPr>
              <w:lastRenderedPageBreak/>
              <w:t>Citlivost (nejvyšší skóre)</w:t>
            </w:r>
          </w:p>
        </w:tc>
        <w:tc>
          <w:tcPr>
            <w:tcW w:w="1134" w:type="dxa"/>
            <w:shd w:val="clear" w:color="auto" w:fill="D5DCE4" w:themeFill="text2" w:themeFillTint="33"/>
            <w:vAlign w:val="center"/>
          </w:tcPr>
          <w:p w14:paraId="49534940" w14:textId="77777777" w:rsidR="00D82E82" w:rsidRPr="007C734C" w:rsidRDefault="00D82E82" w:rsidP="009B1BC4">
            <w:pPr>
              <w:tabs>
                <w:tab w:val="left" w:pos="0"/>
              </w:tabs>
              <w:jc w:val="center"/>
              <w:rPr>
                <w:rFonts w:cs="Segoe UI"/>
              </w:rPr>
            </w:pPr>
            <w:r w:rsidRPr="007C734C">
              <w:rPr>
                <w:rFonts w:cs="Segoe UI"/>
              </w:rPr>
              <w:t>Vysoké</w:t>
            </w:r>
          </w:p>
        </w:tc>
        <w:tc>
          <w:tcPr>
            <w:tcW w:w="1086" w:type="dxa"/>
            <w:shd w:val="clear" w:color="auto" w:fill="FF0000"/>
            <w:vAlign w:val="center"/>
          </w:tcPr>
          <w:p w14:paraId="1B2DF185" w14:textId="77777777" w:rsidR="00D82E82" w:rsidRPr="007C734C" w:rsidRDefault="00D82E82" w:rsidP="009B1BC4">
            <w:pPr>
              <w:jc w:val="center"/>
              <w:rPr>
                <w:rFonts w:cs="Segoe UI"/>
                <w:i/>
                <w:iCs/>
              </w:rPr>
            </w:pPr>
            <w:proofErr w:type="spellStart"/>
            <w:r w:rsidRPr="007C734C">
              <w:rPr>
                <w:rFonts w:cs="Segoe UI"/>
                <w:i/>
                <w:iCs/>
              </w:rPr>
              <w:t>xxx</w:t>
            </w:r>
            <w:proofErr w:type="spellEnd"/>
          </w:p>
        </w:tc>
        <w:tc>
          <w:tcPr>
            <w:tcW w:w="1371" w:type="dxa"/>
            <w:shd w:val="clear" w:color="auto" w:fill="FF0000"/>
            <w:vAlign w:val="center"/>
          </w:tcPr>
          <w:p w14:paraId="4C9749EA" w14:textId="77777777" w:rsidR="00D82E82" w:rsidRPr="007C734C" w:rsidRDefault="00D82E82" w:rsidP="009B1BC4">
            <w:pPr>
              <w:jc w:val="center"/>
              <w:rPr>
                <w:rFonts w:cs="Segoe UI"/>
                <w:i/>
                <w:iCs/>
              </w:rPr>
            </w:pPr>
            <w:proofErr w:type="spellStart"/>
            <w:r w:rsidRPr="007C734C">
              <w:rPr>
                <w:rFonts w:cs="Segoe UI"/>
                <w:i/>
                <w:iCs/>
              </w:rPr>
              <w:t>xxx</w:t>
            </w:r>
            <w:proofErr w:type="spellEnd"/>
          </w:p>
        </w:tc>
        <w:tc>
          <w:tcPr>
            <w:tcW w:w="1371" w:type="dxa"/>
            <w:shd w:val="clear" w:color="auto" w:fill="FFC000"/>
            <w:vAlign w:val="center"/>
          </w:tcPr>
          <w:p w14:paraId="62FB849A" w14:textId="77777777" w:rsidR="00D82E82" w:rsidRPr="007C734C" w:rsidRDefault="00D82E82" w:rsidP="009B1BC4">
            <w:pPr>
              <w:jc w:val="center"/>
              <w:rPr>
                <w:rFonts w:cs="Segoe UI"/>
                <w:i/>
                <w:iCs/>
              </w:rPr>
            </w:pPr>
            <w:proofErr w:type="spellStart"/>
            <w:r w:rsidRPr="007C734C">
              <w:rPr>
                <w:rFonts w:cs="Segoe UI"/>
                <w:i/>
                <w:iCs/>
              </w:rPr>
              <w:t>xxx</w:t>
            </w:r>
            <w:proofErr w:type="spellEnd"/>
          </w:p>
        </w:tc>
        <w:tc>
          <w:tcPr>
            <w:tcW w:w="353" w:type="dxa"/>
            <w:tcBorders>
              <w:top w:val="none" w:sz="4" w:space="0" w:color="000000"/>
              <w:bottom w:val="none" w:sz="4" w:space="0" w:color="000000"/>
              <w:right w:val="none" w:sz="4" w:space="0" w:color="000000"/>
            </w:tcBorders>
            <w:vAlign w:val="center"/>
          </w:tcPr>
          <w:p w14:paraId="661AE5AE" w14:textId="77777777" w:rsidR="00D82E82" w:rsidRPr="007C734C" w:rsidRDefault="00D82E82" w:rsidP="009B1BC4">
            <w:pPr>
              <w:jc w:val="center"/>
              <w:rPr>
                <w:rFonts w:cs="Segoe UI"/>
              </w:rPr>
            </w:pPr>
          </w:p>
        </w:tc>
        <w:tc>
          <w:tcPr>
            <w:tcW w:w="1206" w:type="dxa"/>
            <w:tcBorders>
              <w:top w:val="none" w:sz="4" w:space="0" w:color="000000"/>
              <w:left w:val="none" w:sz="4" w:space="0" w:color="000000"/>
              <w:bottom w:val="none" w:sz="4" w:space="0" w:color="000000"/>
              <w:right w:val="single" w:sz="4" w:space="0" w:color="auto"/>
            </w:tcBorders>
            <w:vAlign w:val="center"/>
          </w:tcPr>
          <w:p w14:paraId="30EA26F8" w14:textId="77777777" w:rsidR="00D82E82" w:rsidRPr="007C734C" w:rsidRDefault="00D82E82" w:rsidP="009B1BC4">
            <w:pPr>
              <w:rPr>
                <w:rFonts w:cs="Segoe UI"/>
              </w:rPr>
            </w:pPr>
            <w:r w:rsidRPr="007C734C">
              <w:rPr>
                <w:rFonts w:cs="Segoe UI"/>
              </w:rPr>
              <w:t>Vysoká</w:t>
            </w:r>
          </w:p>
        </w:tc>
        <w:tc>
          <w:tcPr>
            <w:tcW w:w="1279" w:type="dxa"/>
            <w:tcBorders>
              <w:top w:val="single" w:sz="4" w:space="0" w:color="auto"/>
              <w:left w:val="single" w:sz="4" w:space="0" w:color="auto"/>
              <w:bottom w:val="single" w:sz="4" w:space="0" w:color="auto"/>
            </w:tcBorders>
            <w:shd w:val="clear" w:color="auto" w:fill="FF0000"/>
            <w:vAlign w:val="center"/>
          </w:tcPr>
          <w:p w14:paraId="21E5BB02" w14:textId="77777777" w:rsidR="00D82E82" w:rsidRPr="007C734C" w:rsidRDefault="00D82E82" w:rsidP="009B1BC4">
            <w:pPr>
              <w:rPr>
                <w:rFonts w:cs="Segoe UI"/>
              </w:rPr>
            </w:pPr>
          </w:p>
        </w:tc>
      </w:tr>
      <w:tr w:rsidR="00D82E82" w:rsidRPr="007C734C" w14:paraId="0DB3DEFD" w14:textId="77777777" w:rsidTr="009B1BC4">
        <w:trPr>
          <w:trHeight w:val="987"/>
        </w:trPr>
        <w:tc>
          <w:tcPr>
            <w:tcW w:w="1134" w:type="dxa"/>
            <w:vMerge/>
            <w:shd w:val="clear" w:color="auto" w:fill="D5DCE4" w:themeFill="text2" w:themeFillTint="33"/>
            <w:textDirection w:val="btLr"/>
            <w:vAlign w:val="center"/>
          </w:tcPr>
          <w:p w14:paraId="1B6A41FC" w14:textId="77777777" w:rsidR="00D82E82" w:rsidRPr="007C734C" w:rsidRDefault="00D82E82" w:rsidP="009B1BC4">
            <w:pPr>
              <w:tabs>
                <w:tab w:val="left" w:pos="0"/>
              </w:tabs>
              <w:ind w:left="113" w:right="113"/>
              <w:jc w:val="center"/>
              <w:rPr>
                <w:rFonts w:cs="Segoe UI"/>
                <w:b/>
                <w:bCs/>
              </w:rPr>
            </w:pPr>
          </w:p>
        </w:tc>
        <w:tc>
          <w:tcPr>
            <w:tcW w:w="1134" w:type="dxa"/>
            <w:shd w:val="clear" w:color="auto" w:fill="D5DCE4" w:themeFill="text2" w:themeFillTint="33"/>
            <w:vAlign w:val="center"/>
          </w:tcPr>
          <w:p w14:paraId="56722F38" w14:textId="77777777" w:rsidR="00D82E82" w:rsidRPr="007C734C" w:rsidRDefault="00D82E82" w:rsidP="009B1BC4">
            <w:pPr>
              <w:tabs>
                <w:tab w:val="left" w:pos="0"/>
              </w:tabs>
              <w:jc w:val="center"/>
              <w:rPr>
                <w:rFonts w:cs="Segoe UI"/>
              </w:rPr>
            </w:pPr>
            <w:r w:rsidRPr="007C734C">
              <w:rPr>
                <w:rFonts w:cs="Segoe UI"/>
              </w:rPr>
              <w:t>Střední</w:t>
            </w:r>
          </w:p>
        </w:tc>
        <w:tc>
          <w:tcPr>
            <w:tcW w:w="1086" w:type="dxa"/>
            <w:shd w:val="clear" w:color="auto" w:fill="FF0000"/>
            <w:vAlign w:val="center"/>
          </w:tcPr>
          <w:p w14:paraId="758A6CE7" w14:textId="77777777" w:rsidR="00D82E82" w:rsidRPr="007C734C" w:rsidRDefault="00D82E82" w:rsidP="009B1BC4">
            <w:pPr>
              <w:jc w:val="center"/>
              <w:rPr>
                <w:rFonts w:cs="Segoe UI"/>
                <w:i/>
                <w:iCs/>
              </w:rPr>
            </w:pPr>
            <w:proofErr w:type="spellStart"/>
            <w:r w:rsidRPr="007C734C">
              <w:rPr>
                <w:rFonts w:cs="Segoe UI"/>
                <w:i/>
                <w:iCs/>
              </w:rPr>
              <w:t>xxx</w:t>
            </w:r>
            <w:proofErr w:type="spellEnd"/>
          </w:p>
        </w:tc>
        <w:tc>
          <w:tcPr>
            <w:tcW w:w="1371" w:type="dxa"/>
            <w:shd w:val="clear" w:color="auto" w:fill="FFC000"/>
            <w:vAlign w:val="center"/>
          </w:tcPr>
          <w:p w14:paraId="5A80D9E5" w14:textId="77777777" w:rsidR="00D82E82" w:rsidRPr="007C734C" w:rsidRDefault="00D82E82" w:rsidP="009B1BC4">
            <w:pPr>
              <w:jc w:val="center"/>
              <w:rPr>
                <w:rFonts w:cs="Segoe UI"/>
                <w:i/>
                <w:iCs/>
              </w:rPr>
            </w:pPr>
            <w:proofErr w:type="spellStart"/>
            <w:r w:rsidRPr="007C734C">
              <w:rPr>
                <w:rFonts w:cs="Segoe UI"/>
                <w:i/>
                <w:iCs/>
              </w:rPr>
              <w:t>xxx</w:t>
            </w:r>
            <w:proofErr w:type="spellEnd"/>
          </w:p>
        </w:tc>
        <w:tc>
          <w:tcPr>
            <w:tcW w:w="1371" w:type="dxa"/>
            <w:shd w:val="clear" w:color="auto" w:fill="92D050"/>
            <w:vAlign w:val="center"/>
          </w:tcPr>
          <w:p w14:paraId="1C340953" w14:textId="77777777" w:rsidR="00D82E82" w:rsidRPr="007C734C" w:rsidRDefault="00D82E82" w:rsidP="009B1BC4">
            <w:pPr>
              <w:jc w:val="center"/>
              <w:rPr>
                <w:rFonts w:cs="Segoe UI"/>
                <w:i/>
                <w:iCs/>
              </w:rPr>
            </w:pPr>
            <w:proofErr w:type="spellStart"/>
            <w:r w:rsidRPr="007C734C">
              <w:rPr>
                <w:rFonts w:cs="Segoe UI"/>
                <w:i/>
                <w:iCs/>
              </w:rPr>
              <w:t>xxx</w:t>
            </w:r>
            <w:proofErr w:type="spellEnd"/>
          </w:p>
        </w:tc>
        <w:tc>
          <w:tcPr>
            <w:tcW w:w="353" w:type="dxa"/>
            <w:tcBorders>
              <w:top w:val="none" w:sz="4" w:space="0" w:color="000000"/>
              <w:bottom w:val="none" w:sz="4" w:space="0" w:color="000000"/>
              <w:right w:val="none" w:sz="4" w:space="0" w:color="000000"/>
            </w:tcBorders>
            <w:vAlign w:val="center"/>
          </w:tcPr>
          <w:p w14:paraId="1356748B" w14:textId="77777777" w:rsidR="00D82E82" w:rsidRPr="007C734C" w:rsidRDefault="00D82E82" w:rsidP="009B1BC4">
            <w:pPr>
              <w:jc w:val="center"/>
              <w:rPr>
                <w:rFonts w:cs="Segoe UI"/>
              </w:rPr>
            </w:pPr>
          </w:p>
        </w:tc>
        <w:tc>
          <w:tcPr>
            <w:tcW w:w="1206" w:type="dxa"/>
            <w:tcBorders>
              <w:top w:val="none" w:sz="4" w:space="0" w:color="000000"/>
              <w:left w:val="none" w:sz="4" w:space="0" w:color="000000"/>
              <w:bottom w:val="none" w:sz="4" w:space="0" w:color="000000"/>
              <w:right w:val="single" w:sz="4" w:space="0" w:color="auto"/>
            </w:tcBorders>
            <w:vAlign w:val="center"/>
          </w:tcPr>
          <w:p w14:paraId="76C1C598" w14:textId="77777777" w:rsidR="00D82E82" w:rsidRPr="007C734C" w:rsidRDefault="00D82E82" w:rsidP="009B1BC4">
            <w:pPr>
              <w:rPr>
                <w:rFonts w:cs="Segoe UI"/>
              </w:rPr>
            </w:pPr>
            <w:r w:rsidRPr="007C734C">
              <w:rPr>
                <w:rFonts w:cs="Segoe UI"/>
              </w:rPr>
              <w:t>Střední</w:t>
            </w:r>
          </w:p>
        </w:tc>
        <w:tc>
          <w:tcPr>
            <w:tcW w:w="1279" w:type="dxa"/>
            <w:tcBorders>
              <w:top w:val="single" w:sz="4" w:space="0" w:color="auto"/>
              <w:left w:val="single" w:sz="4" w:space="0" w:color="auto"/>
              <w:bottom w:val="single" w:sz="4" w:space="0" w:color="auto"/>
            </w:tcBorders>
            <w:shd w:val="clear" w:color="auto" w:fill="FFC000"/>
            <w:vAlign w:val="center"/>
          </w:tcPr>
          <w:p w14:paraId="02C654E7" w14:textId="77777777" w:rsidR="00D82E82" w:rsidRPr="007C734C" w:rsidRDefault="00D82E82" w:rsidP="009B1BC4">
            <w:pPr>
              <w:rPr>
                <w:rFonts w:cs="Segoe UI"/>
              </w:rPr>
            </w:pPr>
          </w:p>
        </w:tc>
      </w:tr>
      <w:tr w:rsidR="00D82E82" w:rsidRPr="007C734C" w14:paraId="4B6DFB1C" w14:textId="77777777" w:rsidTr="009B1BC4">
        <w:trPr>
          <w:trHeight w:val="987"/>
        </w:trPr>
        <w:tc>
          <w:tcPr>
            <w:tcW w:w="1134" w:type="dxa"/>
            <w:vMerge/>
            <w:shd w:val="clear" w:color="auto" w:fill="D5DCE4" w:themeFill="text2" w:themeFillTint="33"/>
            <w:vAlign w:val="center"/>
          </w:tcPr>
          <w:p w14:paraId="487E44D0" w14:textId="77777777" w:rsidR="00D82E82" w:rsidRPr="007C734C" w:rsidRDefault="00D82E82" w:rsidP="009B1BC4">
            <w:pPr>
              <w:tabs>
                <w:tab w:val="left" w:pos="0"/>
              </w:tabs>
              <w:jc w:val="center"/>
              <w:rPr>
                <w:rFonts w:cs="Segoe UI"/>
                <w:b/>
                <w:bCs/>
              </w:rPr>
            </w:pPr>
          </w:p>
        </w:tc>
        <w:tc>
          <w:tcPr>
            <w:tcW w:w="1134" w:type="dxa"/>
            <w:shd w:val="clear" w:color="auto" w:fill="D5DCE4" w:themeFill="text2" w:themeFillTint="33"/>
            <w:vAlign w:val="center"/>
          </w:tcPr>
          <w:p w14:paraId="2F22B32F" w14:textId="77777777" w:rsidR="00D82E82" w:rsidRPr="007C734C" w:rsidRDefault="00D82E82" w:rsidP="009B1BC4">
            <w:pPr>
              <w:tabs>
                <w:tab w:val="left" w:pos="0"/>
              </w:tabs>
              <w:jc w:val="center"/>
              <w:rPr>
                <w:rFonts w:cs="Segoe UI"/>
              </w:rPr>
            </w:pPr>
            <w:r w:rsidRPr="007C734C">
              <w:rPr>
                <w:rFonts w:cs="Segoe UI"/>
              </w:rPr>
              <w:t>Nízké</w:t>
            </w:r>
          </w:p>
        </w:tc>
        <w:tc>
          <w:tcPr>
            <w:tcW w:w="1086" w:type="dxa"/>
            <w:shd w:val="clear" w:color="auto" w:fill="FFC000"/>
            <w:vAlign w:val="center"/>
          </w:tcPr>
          <w:p w14:paraId="6140E0D2" w14:textId="77777777" w:rsidR="00D82E82" w:rsidRPr="007C734C" w:rsidRDefault="00D82E82" w:rsidP="009B1BC4">
            <w:pPr>
              <w:jc w:val="center"/>
              <w:rPr>
                <w:rFonts w:cs="Segoe UI"/>
                <w:i/>
                <w:iCs/>
              </w:rPr>
            </w:pPr>
            <w:proofErr w:type="spellStart"/>
            <w:r w:rsidRPr="007C734C">
              <w:rPr>
                <w:rFonts w:cs="Segoe UI"/>
                <w:i/>
                <w:iCs/>
              </w:rPr>
              <w:t>xxx</w:t>
            </w:r>
            <w:proofErr w:type="spellEnd"/>
          </w:p>
        </w:tc>
        <w:tc>
          <w:tcPr>
            <w:tcW w:w="1371" w:type="dxa"/>
            <w:shd w:val="clear" w:color="auto" w:fill="92D050"/>
            <w:vAlign w:val="center"/>
          </w:tcPr>
          <w:p w14:paraId="10FDD4D3" w14:textId="77777777" w:rsidR="00D82E82" w:rsidRPr="007C734C" w:rsidRDefault="00D82E82" w:rsidP="009B1BC4">
            <w:pPr>
              <w:jc w:val="center"/>
              <w:rPr>
                <w:rFonts w:cs="Segoe UI"/>
                <w:i/>
                <w:iCs/>
              </w:rPr>
            </w:pPr>
            <w:proofErr w:type="spellStart"/>
            <w:r w:rsidRPr="007C734C">
              <w:rPr>
                <w:rFonts w:cs="Segoe UI"/>
                <w:i/>
                <w:iCs/>
              </w:rPr>
              <w:t>xxx</w:t>
            </w:r>
            <w:proofErr w:type="spellEnd"/>
          </w:p>
        </w:tc>
        <w:tc>
          <w:tcPr>
            <w:tcW w:w="1371" w:type="dxa"/>
            <w:shd w:val="clear" w:color="auto" w:fill="92D050"/>
            <w:vAlign w:val="center"/>
          </w:tcPr>
          <w:p w14:paraId="74DA51C8" w14:textId="77777777" w:rsidR="00D82E82" w:rsidRPr="007C734C" w:rsidRDefault="00D82E82" w:rsidP="009B1BC4">
            <w:pPr>
              <w:jc w:val="center"/>
              <w:rPr>
                <w:rFonts w:cs="Segoe UI"/>
                <w:i/>
                <w:iCs/>
              </w:rPr>
            </w:pPr>
            <w:proofErr w:type="spellStart"/>
            <w:r w:rsidRPr="007C734C">
              <w:rPr>
                <w:rFonts w:cs="Segoe UI"/>
                <w:i/>
                <w:iCs/>
              </w:rPr>
              <w:t>xxx</w:t>
            </w:r>
            <w:proofErr w:type="spellEnd"/>
          </w:p>
        </w:tc>
        <w:tc>
          <w:tcPr>
            <w:tcW w:w="353" w:type="dxa"/>
            <w:tcBorders>
              <w:top w:val="none" w:sz="4" w:space="0" w:color="000000"/>
              <w:right w:val="none" w:sz="4" w:space="0" w:color="000000"/>
            </w:tcBorders>
            <w:vAlign w:val="center"/>
          </w:tcPr>
          <w:p w14:paraId="76804928" w14:textId="77777777" w:rsidR="00D82E82" w:rsidRPr="007C734C" w:rsidRDefault="00D82E82" w:rsidP="009B1BC4">
            <w:pPr>
              <w:jc w:val="center"/>
              <w:rPr>
                <w:rFonts w:cs="Segoe UI"/>
              </w:rPr>
            </w:pPr>
          </w:p>
        </w:tc>
        <w:tc>
          <w:tcPr>
            <w:tcW w:w="1206" w:type="dxa"/>
            <w:tcBorders>
              <w:top w:val="none" w:sz="4" w:space="0" w:color="000000"/>
              <w:left w:val="none" w:sz="4" w:space="0" w:color="000000"/>
              <w:right w:val="single" w:sz="4" w:space="0" w:color="auto"/>
            </w:tcBorders>
            <w:vAlign w:val="center"/>
          </w:tcPr>
          <w:p w14:paraId="32838C20" w14:textId="77777777" w:rsidR="00D82E82" w:rsidRPr="007C734C" w:rsidRDefault="00D82E82" w:rsidP="009B1BC4">
            <w:pPr>
              <w:rPr>
                <w:rFonts w:cs="Segoe UI"/>
              </w:rPr>
            </w:pPr>
            <w:r w:rsidRPr="007C734C">
              <w:rPr>
                <w:rFonts w:cs="Segoe UI"/>
              </w:rPr>
              <w:t>Nízká</w:t>
            </w:r>
          </w:p>
        </w:tc>
        <w:tc>
          <w:tcPr>
            <w:tcW w:w="1279" w:type="dxa"/>
            <w:tcBorders>
              <w:top w:val="single" w:sz="4" w:space="0" w:color="auto"/>
              <w:left w:val="single" w:sz="4" w:space="0" w:color="auto"/>
            </w:tcBorders>
            <w:shd w:val="clear" w:color="auto" w:fill="92D050"/>
            <w:vAlign w:val="center"/>
          </w:tcPr>
          <w:p w14:paraId="7BA3868E" w14:textId="77777777" w:rsidR="00D82E82" w:rsidRPr="007C734C" w:rsidRDefault="00D82E82" w:rsidP="009B1BC4">
            <w:pPr>
              <w:rPr>
                <w:rFonts w:cs="Segoe UI"/>
              </w:rPr>
            </w:pPr>
          </w:p>
        </w:tc>
      </w:tr>
      <w:tr w:rsidR="00D82E82" w:rsidRPr="007C734C" w14:paraId="3EC3F9C0" w14:textId="77777777" w:rsidTr="009B1BC4">
        <w:trPr>
          <w:trHeight w:val="613"/>
        </w:trPr>
        <w:tc>
          <w:tcPr>
            <w:tcW w:w="2268" w:type="dxa"/>
            <w:gridSpan w:val="2"/>
            <w:vMerge w:val="restart"/>
            <w:shd w:val="clear" w:color="auto" w:fill="D5DCE4" w:themeFill="text2" w:themeFillTint="33"/>
            <w:vAlign w:val="center"/>
          </w:tcPr>
          <w:p w14:paraId="55472F05" w14:textId="77777777" w:rsidR="00D82E82" w:rsidRPr="007C734C" w:rsidRDefault="00D82E82" w:rsidP="009B1BC4">
            <w:pPr>
              <w:tabs>
                <w:tab w:val="left" w:pos="0"/>
              </w:tabs>
              <w:jc w:val="center"/>
              <w:rPr>
                <w:rFonts w:cs="Segoe UI"/>
                <w:b/>
                <w:bCs/>
              </w:rPr>
            </w:pPr>
            <w:r w:rsidRPr="007C734C">
              <w:rPr>
                <w:rFonts w:cs="Segoe UI"/>
                <w:b/>
                <w:bCs/>
              </w:rPr>
              <w:t>Povodně a přívalové povodně</w:t>
            </w:r>
          </w:p>
        </w:tc>
        <w:tc>
          <w:tcPr>
            <w:tcW w:w="3828" w:type="dxa"/>
            <w:gridSpan w:val="3"/>
            <w:shd w:val="clear" w:color="auto" w:fill="D5DCE4" w:themeFill="text2" w:themeFillTint="33"/>
            <w:vAlign w:val="center"/>
          </w:tcPr>
          <w:p w14:paraId="26E3C875" w14:textId="77777777" w:rsidR="00D82E82" w:rsidRPr="007C734C" w:rsidRDefault="00D82E82" w:rsidP="009B1BC4">
            <w:pPr>
              <w:jc w:val="center"/>
              <w:rPr>
                <w:rFonts w:cs="Segoe UI"/>
                <w:b/>
                <w:bCs/>
              </w:rPr>
            </w:pPr>
            <w:r w:rsidRPr="007C734C">
              <w:rPr>
                <w:rFonts w:cs="Segoe UI"/>
                <w:b/>
                <w:bCs/>
              </w:rPr>
              <w:t>Expozice (nejvyšší skóre)</w:t>
            </w:r>
          </w:p>
        </w:tc>
        <w:tc>
          <w:tcPr>
            <w:tcW w:w="353" w:type="dxa"/>
            <w:tcBorders>
              <w:bottom w:val="none" w:sz="4" w:space="0" w:color="000000"/>
              <w:right w:val="none" w:sz="4" w:space="0" w:color="000000"/>
            </w:tcBorders>
            <w:vAlign w:val="center"/>
          </w:tcPr>
          <w:p w14:paraId="0B8DEABA" w14:textId="77777777" w:rsidR="00D82E82" w:rsidRPr="007C734C" w:rsidRDefault="00D82E82" w:rsidP="009B1BC4">
            <w:pPr>
              <w:jc w:val="center"/>
              <w:rPr>
                <w:rFonts w:cs="Segoe UI"/>
                <w:b/>
                <w:bCs/>
              </w:rPr>
            </w:pPr>
          </w:p>
        </w:tc>
        <w:tc>
          <w:tcPr>
            <w:tcW w:w="1206" w:type="dxa"/>
            <w:tcBorders>
              <w:left w:val="none" w:sz="4" w:space="0" w:color="000000"/>
              <w:bottom w:val="none" w:sz="4" w:space="0" w:color="000000"/>
              <w:right w:val="none" w:sz="4" w:space="0" w:color="000000"/>
            </w:tcBorders>
            <w:vAlign w:val="center"/>
          </w:tcPr>
          <w:p w14:paraId="5E729A37" w14:textId="77777777" w:rsidR="00D82E82" w:rsidRPr="007C734C" w:rsidRDefault="00D82E82" w:rsidP="009B1BC4">
            <w:pPr>
              <w:rPr>
                <w:rFonts w:cs="Segoe UI"/>
                <w:b/>
                <w:bCs/>
              </w:rPr>
            </w:pPr>
          </w:p>
        </w:tc>
        <w:tc>
          <w:tcPr>
            <w:tcW w:w="1279" w:type="dxa"/>
            <w:tcBorders>
              <w:left w:val="none" w:sz="4" w:space="0" w:color="000000"/>
              <w:bottom w:val="none" w:sz="4" w:space="0" w:color="000000"/>
            </w:tcBorders>
            <w:vAlign w:val="center"/>
          </w:tcPr>
          <w:p w14:paraId="6D93161B" w14:textId="77777777" w:rsidR="00D82E82" w:rsidRPr="007C734C" w:rsidRDefault="00D82E82" w:rsidP="009B1BC4">
            <w:pPr>
              <w:rPr>
                <w:rFonts w:cs="Segoe UI"/>
                <w:b/>
                <w:bCs/>
              </w:rPr>
            </w:pPr>
          </w:p>
        </w:tc>
      </w:tr>
      <w:tr w:rsidR="00D82E82" w:rsidRPr="007C734C" w14:paraId="5EBD8762" w14:textId="77777777" w:rsidTr="009B1BC4">
        <w:trPr>
          <w:trHeight w:val="885"/>
        </w:trPr>
        <w:tc>
          <w:tcPr>
            <w:tcW w:w="2268" w:type="dxa"/>
            <w:gridSpan w:val="2"/>
            <w:vMerge/>
            <w:tcBorders>
              <w:bottom w:val="single" w:sz="4" w:space="0" w:color="auto"/>
            </w:tcBorders>
            <w:shd w:val="clear" w:color="auto" w:fill="D5DCE4" w:themeFill="text2" w:themeFillTint="33"/>
            <w:vAlign w:val="center"/>
          </w:tcPr>
          <w:p w14:paraId="7F5122F9" w14:textId="77777777" w:rsidR="00D82E82" w:rsidRPr="007C734C" w:rsidRDefault="00D82E82" w:rsidP="009B1BC4">
            <w:pPr>
              <w:tabs>
                <w:tab w:val="left" w:pos="0"/>
              </w:tabs>
              <w:jc w:val="center"/>
              <w:rPr>
                <w:rFonts w:cs="Segoe UI"/>
                <w:b/>
                <w:bCs/>
              </w:rPr>
            </w:pPr>
          </w:p>
        </w:tc>
        <w:tc>
          <w:tcPr>
            <w:tcW w:w="1086" w:type="dxa"/>
            <w:tcBorders>
              <w:bottom w:val="single" w:sz="4" w:space="0" w:color="auto"/>
            </w:tcBorders>
            <w:shd w:val="clear" w:color="auto" w:fill="D5DCE4" w:themeFill="text2" w:themeFillTint="33"/>
            <w:vAlign w:val="center"/>
          </w:tcPr>
          <w:p w14:paraId="66B79DB2" w14:textId="77777777" w:rsidR="00D82E82" w:rsidRPr="007C734C" w:rsidRDefault="00D82E82" w:rsidP="009B1BC4">
            <w:pPr>
              <w:jc w:val="center"/>
              <w:rPr>
                <w:rFonts w:cs="Segoe UI"/>
              </w:rPr>
            </w:pPr>
            <w:r w:rsidRPr="007C734C">
              <w:rPr>
                <w:rFonts w:cs="Segoe UI"/>
              </w:rPr>
              <w:t>Vysoké</w:t>
            </w:r>
          </w:p>
        </w:tc>
        <w:tc>
          <w:tcPr>
            <w:tcW w:w="1371" w:type="dxa"/>
            <w:tcBorders>
              <w:bottom w:val="single" w:sz="4" w:space="0" w:color="auto"/>
            </w:tcBorders>
            <w:shd w:val="clear" w:color="auto" w:fill="D5DCE4" w:themeFill="text2" w:themeFillTint="33"/>
            <w:vAlign w:val="center"/>
          </w:tcPr>
          <w:p w14:paraId="2D299D97" w14:textId="77777777" w:rsidR="00D82E82" w:rsidRPr="007C734C" w:rsidRDefault="00D82E82" w:rsidP="009B1BC4">
            <w:pPr>
              <w:jc w:val="center"/>
              <w:rPr>
                <w:rFonts w:cs="Segoe UI"/>
              </w:rPr>
            </w:pPr>
            <w:r w:rsidRPr="007C734C">
              <w:rPr>
                <w:rFonts w:cs="Segoe UI"/>
              </w:rPr>
              <w:t>Střední</w:t>
            </w:r>
          </w:p>
        </w:tc>
        <w:tc>
          <w:tcPr>
            <w:tcW w:w="1371" w:type="dxa"/>
            <w:tcBorders>
              <w:bottom w:val="single" w:sz="4" w:space="0" w:color="auto"/>
            </w:tcBorders>
            <w:shd w:val="clear" w:color="auto" w:fill="D5DCE4" w:themeFill="text2" w:themeFillTint="33"/>
            <w:vAlign w:val="center"/>
          </w:tcPr>
          <w:p w14:paraId="308F8139" w14:textId="77777777" w:rsidR="00D82E82" w:rsidRPr="007C734C" w:rsidRDefault="00D82E82" w:rsidP="009B1BC4">
            <w:pPr>
              <w:jc w:val="center"/>
              <w:rPr>
                <w:rFonts w:cs="Segoe UI"/>
              </w:rPr>
            </w:pPr>
            <w:r w:rsidRPr="007C734C">
              <w:rPr>
                <w:rFonts w:cs="Segoe UI"/>
              </w:rPr>
              <w:t>Nízké</w:t>
            </w:r>
          </w:p>
        </w:tc>
        <w:tc>
          <w:tcPr>
            <w:tcW w:w="353" w:type="dxa"/>
            <w:tcBorders>
              <w:top w:val="none" w:sz="4" w:space="0" w:color="000000"/>
              <w:bottom w:val="none" w:sz="4" w:space="0" w:color="000000"/>
              <w:right w:val="none" w:sz="4" w:space="0" w:color="000000"/>
            </w:tcBorders>
            <w:vAlign w:val="center"/>
          </w:tcPr>
          <w:p w14:paraId="0C5D399B" w14:textId="77777777" w:rsidR="00D82E82" w:rsidRPr="007C734C" w:rsidRDefault="00D82E82" w:rsidP="009B1BC4">
            <w:pPr>
              <w:jc w:val="center"/>
              <w:rPr>
                <w:rFonts w:cs="Segoe UI"/>
              </w:rPr>
            </w:pPr>
          </w:p>
        </w:tc>
        <w:tc>
          <w:tcPr>
            <w:tcW w:w="2485" w:type="dxa"/>
            <w:gridSpan w:val="2"/>
            <w:tcBorders>
              <w:top w:val="none" w:sz="4" w:space="0" w:color="000000"/>
              <w:left w:val="none" w:sz="4" w:space="0" w:color="000000"/>
              <w:bottom w:val="none" w:sz="4" w:space="0" w:color="000000"/>
            </w:tcBorders>
            <w:vAlign w:val="center"/>
          </w:tcPr>
          <w:p w14:paraId="6F77B73D" w14:textId="77777777" w:rsidR="00D82E82" w:rsidRPr="007C734C" w:rsidRDefault="00D82E82" w:rsidP="009B1BC4">
            <w:pPr>
              <w:rPr>
                <w:rFonts w:cs="Segoe UI"/>
              </w:rPr>
            </w:pPr>
            <w:r w:rsidRPr="007C734C">
              <w:rPr>
                <w:rFonts w:cs="Segoe UI"/>
              </w:rPr>
              <w:t>Úroveň zranitelnosti:</w:t>
            </w:r>
          </w:p>
        </w:tc>
      </w:tr>
      <w:tr w:rsidR="00D82E82" w:rsidRPr="007C734C" w14:paraId="60B0AAC0" w14:textId="77777777" w:rsidTr="009B1BC4">
        <w:trPr>
          <w:trHeight w:val="987"/>
        </w:trPr>
        <w:tc>
          <w:tcPr>
            <w:tcW w:w="1134" w:type="dxa"/>
            <w:vMerge w:val="restart"/>
            <w:shd w:val="clear" w:color="auto" w:fill="D5DCE4" w:themeFill="text2" w:themeFillTint="33"/>
            <w:textDirection w:val="btLr"/>
            <w:vAlign w:val="center"/>
          </w:tcPr>
          <w:p w14:paraId="27FFADEB" w14:textId="77777777" w:rsidR="00D82E82" w:rsidRPr="007C734C" w:rsidRDefault="00D82E82" w:rsidP="009B1BC4">
            <w:pPr>
              <w:tabs>
                <w:tab w:val="left" w:pos="0"/>
              </w:tabs>
              <w:ind w:left="113" w:right="113"/>
              <w:jc w:val="center"/>
              <w:rPr>
                <w:rFonts w:cs="Segoe UI"/>
                <w:b/>
                <w:bCs/>
              </w:rPr>
            </w:pPr>
            <w:r w:rsidRPr="007C734C">
              <w:rPr>
                <w:rFonts w:cs="Segoe UI"/>
                <w:b/>
                <w:bCs/>
              </w:rPr>
              <w:t>Citlivost (nejvyšší skóre)</w:t>
            </w:r>
          </w:p>
        </w:tc>
        <w:tc>
          <w:tcPr>
            <w:tcW w:w="1134" w:type="dxa"/>
            <w:shd w:val="clear" w:color="auto" w:fill="D5DCE4" w:themeFill="text2" w:themeFillTint="33"/>
            <w:vAlign w:val="center"/>
          </w:tcPr>
          <w:p w14:paraId="16BFD8C1" w14:textId="77777777" w:rsidR="00D82E82" w:rsidRPr="007C734C" w:rsidRDefault="00D82E82" w:rsidP="009B1BC4">
            <w:pPr>
              <w:tabs>
                <w:tab w:val="left" w:pos="0"/>
              </w:tabs>
              <w:jc w:val="center"/>
              <w:rPr>
                <w:rFonts w:cs="Segoe UI"/>
              </w:rPr>
            </w:pPr>
            <w:r w:rsidRPr="007C734C">
              <w:rPr>
                <w:rFonts w:cs="Segoe UI"/>
              </w:rPr>
              <w:t>Vysoké</w:t>
            </w:r>
          </w:p>
        </w:tc>
        <w:tc>
          <w:tcPr>
            <w:tcW w:w="1086" w:type="dxa"/>
            <w:shd w:val="clear" w:color="auto" w:fill="FF0000"/>
            <w:vAlign w:val="center"/>
          </w:tcPr>
          <w:p w14:paraId="58EB296C" w14:textId="77777777" w:rsidR="00D82E82" w:rsidRPr="007C734C" w:rsidRDefault="00D82E82" w:rsidP="009B1BC4">
            <w:pPr>
              <w:jc w:val="center"/>
              <w:rPr>
                <w:rFonts w:cs="Segoe UI"/>
                <w:i/>
                <w:iCs/>
              </w:rPr>
            </w:pPr>
            <w:proofErr w:type="spellStart"/>
            <w:r w:rsidRPr="007C734C">
              <w:rPr>
                <w:rFonts w:cs="Segoe UI"/>
                <w:i/>
                <w:iCs/>
              </w:rPr>
              <w:t>xxx</w:t>
            </w:r>
            <w:proofErr w:type="spellEnd"/>
          </w:p>
        </w:tc>
        <w:tc>
          <w:tcPr>
            <w:tcW w:w="1371" w:type="dxa"/>
            <w:shd w:val="clear" w:color="auto" w:fill="FF0000"/>
            <w:vAlign w:val="center"/>
          </w:tcPr>
          <w:p w14:paraId="50A0EEBF" w14:textId="77777777" w:rsidR="00D82E82" w:rsidRPr="007C734C" w:rsidRDefault="00D82E82" w:rsidP="009B1BC4">
            <w:pPr>
              <w:jc w:val="center"/>
              <w:rPr>
                <w:rFonts w:cs="Segoe UI"/>
                <w:i/>
                <w:iCs/>
              </w:rPr>
            </w:pPr>
            <w:proofErr w:type="spellStart"/>
            <w:r w:rsidRPr="007C734C">
              <w:rPr>
                <w:rFonts w:cs="Segoe UI"/>
                <w:i/>
                <w:iCs/>
              </w:rPr>
              <w:t>xxx</w:t>
            </w:r>
            <w:proofErr w:type="spellEnd"/>
          </w:p>
        </w:tc>
        <w:tc>
          <w:tcPr>
            <w:tcW w:w="1371" w:type="dxa"/>
            <w:shd w:val="clear" w:color="auto" w:fill="FFC000"/>
            <w:vAlign w:val="center"/>
          </w:tcPr>
          <w:p w14:paraId="48F3FF69" w14:textId="77777777" w:rsidR="00D82E82" w:rsidRPr="007C734C" w:rsidRDefault="00D82E82" w:rsidP="009B1BC4">
            <w:pPr>
              <w:jc w:val="center"/>
              <w:rPr>
                <w:rFonts w:cs="Segoe UI"/>
                <w:i/>
                <w:iCs/>
              </w:rPr>
            </w:pPr>
            <w:proofErr w:type="spellStart"/>
            <w:r w:rsidRPr="007C734C">
              <w:rPr>
                <w:rFonts w:cs="Segoe UI"/>
                <w:i/>
                <w:iCs/>
              </w:rPr>
              <w:t>xxx</w:t>
            </w:r>
            <w:proofErr w:type="spellEnd"/>
          </w:p>
        </w:tc>
        <w:tc>
          <w:tcPr>
            <w:tcW w:w="353" w:type="dxa"/>
            <w:tcBorders>
              <w:top w:val="none" w:sz="4" w:space="0" w:color="000000"/>
              <w:bottom w:val="none" w:sz="4" w:space="0" w:color="000000"/>
              <w:right w:val="none" w:sz="4" w:space="0" w:color="000000"/>
            </w:tcBorders>
            <w:vAlign w:val="center"/>
          </w:tcPr>
          <w:p w14:paraId="539A39CF" w14:textId="77777777" w:rsidR="00D82E82" w:rsidRPr="007C734C" w:rsidRDefault="00D82E82" w:rsidP="009B1BC4">
            <w:pPr>
              <w:jc w:val="center"/>
              <w:rPr>
                <w:rFonts w:cs="Segoe UI"/>
              </w:rPr>
            </w:pPr>
          </w:p>
        </w:tc>
        <w:tc>
          <w:tcPr>
            <w:tcW w:w="1206" w:type="dxa"/>
            <w:tcBorders>
              <w:top w:val="none" w:sz="4" w:space="0" w:color="000000"/>
              <w:left w:val="none" w:sz="4" w:space="0" w:color="000000"/>
              <w:bottom w:val="none" w:sz="4" w:space="0" w:color="000000"/>
              <w:right w:val="single" w:sz="4" w:space="0" w:color="auto"/>
            </w:tcBorders>
            <w:vAlign w:val="center"/>
          </w:tcPr>
          <w:p w14:paraId="5EA88BCB" w14:textId="77777777" w:rsidR="00D82E82" w:rsidRPr="007C734C" w:rsidRDefault="00D82E82" w:rsidP="009B1BC4">
            <w:pPr>
              <w:rPr>
                <w:rFonts w:cs="Segoe UI"/>
              </w:rPr>
            </w:pPr>
            <w:r w:rsidRPr="007C734C">
              <w:rPr>
                <w:rFonts w:cs="Segoe UI"/>
              </w:rPr>
              <w:t>Vysoká</w:t>
            </w:r>
          </w:p>
        </w:tc>
        <w:tc>
          <w:tcPr>
            <w:tcW w:w="1279" w:type="dxa"/>
            <w:tcBorders>
              <w:top w:val="single" w:sz="4" w:space="0" w:color="auto"/>
              <w:left w:val="single" w:sz="4" w:space="0" w:color="auto"/>
              <w:bottom w:val="single" w:sz="4" w:space="0" w:color="auto"/>
            </w:tcBorders>
            <w:shd w:val="clear" w:color="auto" w:fill="FF0000"/>
            <w:vAlign w:val="center"/>
          </w:tcPr>
          <w:p w14:paraId="0307E389" w14:textId="77777777" w:rsidR="00D82E82" w:rsidRPr="007C734C" w:rsidRDefault="00D82E82" w:rsidP="009B1BC4">
            <w:pPr>
              <w:rPr>
                <w:rFonts w:cs="Segoe UI"/>
              </w:rPr>
            </w:pPr>
          </w:p>
        </w:tc>
      </w:tr>
      <w:tr w:rsidR="00D82E82" w:rsidRPr="007C734C" w14:paraId="2F20454A" w14:textId="77777777" w:rsidTr="009B1BC4">
        <w:trPr>
          <w:trHeight w:val="987"/>
        </w:trPr>
        <w:tc>
          <w:tcPr>
            <w:tcW w:w="1134" w:type="dxa"/>
            <w:vMerge/>
            <w:shd w:val="clear" w:color="auto" w:fill="D5DCE4" w:themeFill="text2" w:themeFillTint="33"/>
            <w:textDirection w:val="btLr"/>
            <w:vAlign w:val="center"/>
          </w:tcPr>
          <w:p w14:paraId="7493797E" w14:textId="77777777" w:rsidR="00D82E82" w:rsidRPr="007C734C" w:rsidRDefault="00D82E82" w:rsidP="009B1BC4">
            <w:pPr>
              <w:tabs>
                <w:tab w:val="left" w:pos="0"/>
              </w:tabs>
              <w:ind w:left="113" w:right="113"/>
              <w:jc w:val="center"/>
              <w:rPr>
                <w:rFonts w:cs="Segoe UI"/>
                <w:b/>
                <w:bCs/>
              </w:rPr>
            </w:pPr>
          </w:p>
        </w:tc>
        <w:tc>
          <w:tcPr>
            <w:tcW w:w="1134" w:type="dxa"/>
            <w:shd w:val="clear" w:color="auto" w:fill="D5DCE4" w:themeFill="text2" w:themeFillTint="33"/>
            <w:vAlign w:val="center"/>
          </w:tcPr>
          <w:p w14:paraId="58A8BD46" w14:textId="77777777" w:rsidR="00D82E82" w:rsidRPr="007C734C" w:rsidRDefault="00D82E82" w:rsidP="009B1BC4">
            <w:pPr>
              <w:tabs>
                <w:tab w:val="left" w:pos="0"/>
              </w:tabs>
              <w:jc w:val="center"/>
              <w:rPr>
                <w:rFonts w:cs="Segoe UI"/>
              </w:rPr>
            </w:pPr>
            <w:r w:rsidRPr="007C734C">
              <w:rPr>
                <w:rFonts w:cs="Segoe UI"/>
              </w:rPr>
              <w:t>Střední</w:t>
            </w:r>
          </w:p>
        </w:tc>
        <w:tc>
          <w:tcPr>
            <w:tcW w:w="1086" w:type="dxa"/>
            <w:shd w:val="clear" w:color="auto" w:fill="FF0000"/>
            <w:vAlign w:val="center"/>
          </w:tcPr>
          <w:p w14:paraId="5C7212D9" w14:textId="77777777" w:rsidR="00D82E82" w:rsidRPr="007C734C" w:rsidRDefault="00D82E82" w:rsidP="009B1BC4">
            <w:pPr>
              <w:jc w:val="center"/>
              <w:rPr>
                <w:rFonts w:cs="Segoe UI"/>
                <w:i/>
                <w:iCs/>
              </w:rPr>
            </w:pPr>
            <w:proofErr w:type="spellStart"/>
            <w:r w:rsidRPr="007C734C">
              <w:rPr>
                <w:rFonts w:cs="Segoe UI"/>
                <w:i/>
                <w:iCs/>
              </w:rPr>
              <w:t>xxx</w:t>
            </w:r>
            <w:proofErr w:type="spellEnd"/>
          </w:p>
        </w:tc>
        <w:tc>
          <w:tcPr>
            <w:tcW w:w="1371" w:type="dxa"/>
            <w:shd w:val="clear" w:color="auto" w:fill="FFC000"/>
            <w:vAlign w:val="center"/>
          </w:tcPr>
          <w:p w14:paraId="1F4A08AB" w14:textId="77777777" w:rsidR="00D82E82" w:rsidRPr="007C734C" w:rsidRDefault="00D82E82" w:rsidP="009B1BC4">
            <w:pPr>
              <w:jc w:val="center"/>
              <w:rPr>
                <w:rFonts w:cs="Segoe UI"/>
                <w:i/>
                <w:iCs/>
              </w:rPr>
            </w:pPr>
            <w:proofErr w:type="spellStart"/>
            <w:r w:rsidRPr="007C734C">
              <w:rPr>
                <w:rFonts w:cs="Segoe UI"/>
                <w:i/>
                <w:iCs/>
              </w:rPr>
              <w:t>xxx</w:t>
            </w:r>
            <w:proofErr w:type="spellEnd"/>
          </w:p>
        </w:tc>
        <w:tc>
          <w:tcPr>
            <w:tcW w:w="1371" w:type="dxa"/>
            <w:shd w:val="clear" w:color="auto" w:fill="92D050"/>
            <w:vAlign w:val="center"/>
          </w:tcPr>
          <w:p w14:paraId="763B48EE" w14:textId="77777777" w:rsidR="00D82E82" w:rsidRPr="007C734C" w:rsidRDefault="00D82E82" w:rsidP="009B1BC4">
            <w:pPr>
              <w:jc w:val="center"/>
              <w:rPr>
                <w:rFonts w:cs="Segoe UI"/>
                <w:i/>
                <w:iCs/>
              </w:rPr>
            </w:pPr>
            <w:proofErr w:type="spellStart"/>
            <w:r w:rsidRPr="007C734C">
              <w:rPr>
                <w:rFonts w:cs="Segoe UI"/>
                <w:i/>
                <w:iCs/>
              </w:rPr>
              <w:t>xxx</w:t>
            </w:r>
            <w:proofErr w:type="spellEnd"/>
          </w:p>
        </w:tc>
        <w:tc>
          <w:tcPr>
            <w:tcW w:w="353" w:type="dxa"/>
            <w:tcBorders>
              <w:top w:val="none" w:sz="4" w:space="0" w:color="000000"/>
              <w:bottom w:val="none" w:sz="4" w:space="0" w:color="000000"/>
              <w:right w:val="none" w:sz="4" w:space="0" w:color="000000"/>
            </w:tcBorders>
            <w:vAlign w:val="center"/>
          </w:tcPr>
          <w:p w14:paraId="5B69D73C" w14:textId="77777777" w:rsidR="00D82E82" w:rsidRPr="007C734C" w:rsidRDefault="00D82E82" w:rsidP="009B1BC4">
            <w:pPr>
              <w:jc w:val="center"/>
              <w:rPr>
                <w:rFonts w:cs="Segoe UI"/>
              </w:rPr>
            </w:pPr>
          </w:p>
        </w:tc>
        <w:tc>
          <w:tcPr>
            <w:tcW w:w="1206" w:type="dxa"/>
            <w:tcBorders>
              <w:top w:val="none" w:sz="4" w:space="0" w:color="000000"/>
              <w:left w:val="none" w:sz="4" w:space="0" w:color="000000"/>
              <w:bottom w:val="none" w:sz="4" w:space="0" w:color="000000"/>
              <w:right w:val="single" w:sz="4" w:space="0" w:color="auto"/>
            </w:tcBorders>
            <w:vAlign w:val="center"/>
          </w:tcPr>
          <w:p w14:paraId="0672ED8B" w14:textId="77777777" w:rsidR="00D82E82" w:rsidRPr="007C734C" w:rsidRDefault="00D82E82" w:rsidP="009B1BC4">
            <w:pPr>
              <w:rPr>
                <w:rFonts w:cs="Segoe UI"/>
              </w:rPr>
            </w:pPr>
            <w:r w:rsidRPr="007C734C">
              <w:rPr>
                <w:rFonts w:cs="Segoe UI"/>
              </w:rPr>
              <w:t>Střední</w:t>
            </w:r>
          </w:p>
        </w:tc>
        <w:tc>
          <w:tcPr>
            <w:tcW w:w="1279" w:type="dxa"/>
            <w:tcBorders>
              <w:top w:val="single" w:sz="4" w:space="0" w:color="auto"/>
              <w:left w:val="single" w:sz="4" w:space="0" w:color="auto"/>
              <w:bottom w:val="single" w:sz="4" w:space="0" w:color="auto"/>
            </w:tcBorders>
            <w:shd w:val="clear" w:color="auto" w:fill="FFC000"/>
            <w:vAlign w:val="center"/>
          </w:tcPr>
          <w:p w14:paraId="020FB1AF" w14:textId="77777777" w:rsidR="00D82E82" w:rsidRPr="007C734C" w:rsidRDefault="00D82E82" w:rsidP="009B1BC4">
            <w:pPr>
              <w:rPr>
                <w:rFonts w:cs="Segoe UI"/>
              </w:rPr>
            </w:pPr>
          </w:p>
        </w:tc>
      </w:tr>
      <w:tr w:rsidR="00D82E82" w:rsidRPr="007C734C" w14:paraId="473793BA" w14:textId="77777777" w:rsidTr="009B1BC4">
        <w:trPr>
          <w:trHeight w:val="987"/>
        </w:trPr>
        <w:tc>
          <w:tcPr>
            <w:tcW w:w="1134" w:type="dxa"/>
            <w:vMerge/>
            <w:shd w:val="clear" w:color="auto" w:fill="D5DCE4" w:themeFill="text2" w:themeFillTint="33"/>
            <w:vAlign w:val="center"/>
          </w:tcPr>
          <w:p w14:paraId="040F0300" w14:textId="77777777" w:rsidR="00D82E82" w:rsidRPr="007C734C" w:rsidRDefault="00D82E82" w:rsidP="009B1BC4">
            <w:pPr>
              <w:tabs>
                <w:tab w:val="left" w:pos="0"/>
              </w:tabs>
              <w:jc w:val="center"/>
              <w:rPr>
                <w:rFonts w:cs="Segoe UI"/>
                <w:b/>
                <w:bCs/>
              </w:rPr>
            </w:pPr>
          </w:p>
        </w:tc>
        <w:tc>
          <w:tcPr>
            <w:tcW w:w="1134" w:type="dxa"/>
            <w:shd w:val="clear" w:color="auto" w:fill="D5DCE4" w:themeFill="text2" w:themeFillTint="33"/>
            <w:vAlign w:val="center"/>
          </w:tcPr>
          <w:p w14:paraId="4EF2DCAF" w14:textId="77777777" w:rsidR="00D82E82" w:rsidRPr="007C734C" w:rsidRDefault="00D82E82" w:rsidP="009B1BC4">
            <w:pPr>
              <w:tabs>
                <w:tab w:val="left" w:pos="0"/>
              </w:tabs>
              <w:jc w:val="center"/>
              <w:rPr>
                <w:rFonts w:cs="Segoe UI"/>
              </w:rPr>
            </w:pPr>
            <w:r w:rsidRPr="007C734C">
              <w:rPr>
                <w:rFonts w:cs="Segoe UI"/>
              </w:rPr>
              <w:t>Nízké</w:t>
            </w:r>
          </w:p>
        </w:tc>
        <w:tc>
          <w:tcPr>
            <w:tcW w:w="1086" w:type="dxa"/>
            <w:shd w:val="clear" w:color="auto" w:fill="FFC000"/>
            <w:vAlign w:val="center"/>
          </w:tcPr>
          <w:p w14:paraId="5608FC91" w14:textId="77777777" w:rsidR="00D82E82" w:rsidRPr="007C734C" w:rsidRDefault="00D82E82" w:rsidP="009B1BC4">
            <w:pPr>
              <w:jc w:val="center"/>
              <w:rPr>
                <w:rFonts w:cs="Segoe UI"/>
                <w:i/>
                <w:iCs/>
              </w:rPr>
            </w:pPr>
            <w:proofErr w:type="spellStart"/>
            <w:r w:rsidRPr="007C734C">
              <w:rPr>
                <w:rFonts w:cs="Segoe UI"/>
                <w:i/>
                <w:iCs/>
              </w:rPr>
              <w:t>xxx</w:t>
            </w:r>
            <w:proofErr w:type="spellEnd"/>
          </w:p>
        </w:tc>
        <w:tc>
          <w:tcPr>
            <w:tcW w:w="1371" w:type="dxa"/>
            <w:shd w:val="clear" w:color="auto" w:fill="92D050"/>
            <w:vAlign w:val="center"/>
          </w:tcPr>
          <w:p w14:paraId="31CE1C18" w14:textId="77777777" w:rsidR="00D82E82" w:rsidRPr="007C734C" w:rsidRDefault="00D82E82" w:rsidP="009B1BC4">
            <w:pPr>
              <w:jc w:val="center"/>
              <w:rPr>
                <w:rFonts w:cs="Segoe UI"/>
                <w:i/>
                <w:iCs/>
              </w:rPr>
            </w:pPr>
            <w:proofErr w:type="spellStart"/>
            <w:r w:rsidRPr="007C734C">
              <w:rPr>
                <w:rFonts w:cs="Segoe UI"/>
                <w:i/>
                <w:iCs/>
              </w:rPr>
              <w:t>xxx</w:t>
            </w:r>
            <w:proofErr w:type="spellEnd"/>
          </w:p>
        </w:tc>
        <w:tc>
          <w:tcPr>
            <w:tcW w:w="1371" w:type="dxa"/>
            <w:shd w:val="clear" w:color="auto" w:fill="92D050"/>
            <w:vAlign w:val="center"/>
          </w:tcPr>
          <w:p w14:paraId="4B18A141" w14:textId="77777777" w:rsidR="00D82E82" w:rsidRPr="007C734C" w:rsidRDefault="00D82E82" w:rsidP="009B1BC4">
            <w:pPr>
              <w:jc w:val="center"/>
              <w:rPr>
                <w:rFonts w:cs="Segoe UI"/>
                <w:i/>
                <w:iCs/>
              </w:rPr>
            </w:pPr>
            <w:proofErr w:type="spellStart"/>
            <w:r w:rsidRPr="007C734C">
              <w:rPr>
                <w:rFonts w:cs="Segoe UI"/>
                <w:i/>
                <w:iCs/>
              </w:rPr>
              <w:t>xxx</w:t>
            </w:r>
            <w:proofErr w:type="spellEnd"/>
          </w:p>
        </w:tc>
        <w:tc>
          <w:tcPr>
            <w:tcW w:w="353" w:type="dxa"/>
            <w:tcBorders>
              <w:top w:val="none" w:sz="4" w:space="0" w:color="000000"/>
              <w:right w:val="none" w:sz="4" w:space="0" w:color="000000"/>
            </w:tcBorders>
            <w:vAlign w:val="center"/>
          </w:tcPr>
          <w:p w14:paraId="0AEF20F8" w14:textId="77777777" w:rsidR="00D82E82" w:rsidRPr="007C734C" w:rsidRDefault="00D82E82" w:rsidP="009B1BC4">
            <w:pPr>
              <w:jc w:val="center"/>
              <w:rPr>
                <w:rFonts w:cs="Segoe UI"/>
              </w:rPr>
            </w:pPr>
          </w:p>
        </w:tc>
        <w:tc>
          <w:tcPr>
            <w:tcW w:w="1206" w:type="dxa"/>
            <w:tcBorders>
              <w:top w:val="none" w:sz="4" w:space="0" w:color="000000"/>
              <w:left w:val="none" w:sz="4" w:space="0" w:color="000000"/>
              <w:right w:val="single" w:sz="4" w:space="0" w:color="auto"/>
            </w:tcBorders>
            <w:vAlign w:val="center"/>
          </w:tcPr>
          <w:p w14:paraId="12D08238" w14:textId="77777777" w:rsidR="00D82E82" w:rsidRPr="007C734C" w:rsidRDefault="00D82E82" w:rsidP="009B1BC4">
            <w:pPr>
              <w:rPr>
                <w:rFonts w:cs="Segoe UI"/>
              </w:rPr>
            </w:pPr>
            <w:r w:rsidRPr="007C734C">
              <w:rPr>
                <w:rFonts w:cs="Segoe UI"/>
              </w:rPr>
              <w:t>Nízká</w:t>
            </w:r>
          </w:p>
        </w:tc>
        <w:tc>
          <w:tcPr>
            <w:tcW w:w="1279" w:type="dxa"/>
            <w:tcBorders>
              <w:top w:val="single" w:sz="4" w:space="0" w:color="auto"/>
              <w:left w:val="single" w:sz="4" w:space="0" w:color="auto"/>
            </w:tcBorders>
            <w:shd w:val="clear" w:color="auto" w:fill="92D050"/>
            <w:vAlign w:val="center"/>
          </w:tcPr>
          <w:p w14:paraId="642053B1" w14:textId="77777777" w:rsidR="00D82E82" w:rsidRPr="007C734C" w:rsidRDefault="00D82E82" w:rsidP="009B1BC4">
            <w:pPr>
              <w:rPr>
                <w:rFonts w:cs="Segoe UI"/>
              </w:rPr>
            </w:pPr>
          </w:p>
        </w:tc>
      </w:tr>
      <w:tr w:rsidR="00D82E82" w:rsidRPr="007C734C" w14:paraId="695E94B5" w14:textId="77777777" w:rsidTr="009B1BC4">
        <w:trPr>
          <w:trHeight w:val="613"/>
        </w:trPr>
        <w:tc>
          <w:tcPr>
            <w:tcW w:w="2268" w:type="dxa"/>
            <w:gridSpan w:val="2"/>
            <w:vMerge w:val="restart"/>
            <w:shd w:val="clear" w:color="auto" w:fill="D5DCE4" w:themeFill="text2" w:themeFillTint="33"/>
            <w:vAlign w:val="center"/>
          </w:tcPr>
          <w:p w14:paraId="3A2B2C06" w14:textId="77777777" w:rsidR="00D82E82" w:rsidRPr="007C734C" w:rsidRDefault="00D82E82" w:rsidP="009B1BC4">
            <w:pPr>
              <w:tabs>
                <w:tab w:val="left" w:pos="0"/>
              </w:tabs>
              <w:jc w:val="center"/>
              <w:rPr>
                <w:rFonts w:cs="Segoe UI"/>
                <w:b/>
                <w:bCs/>
              </w:rPr>
            </w:pPr>
            <w:r w:rsidRPr="007C734C">
              <w:rPr>
                <w:rFonts w:cs="Segoe UI"/>
                <w:b/>
                <w:bCs/>
              </w:rPr>
              <w:t>Vydatné srážky</w:t>
            </w:r>
          </w:p>
        </w:tc>
        <w:tc>
          <w:tcPr>
            <w:tcW w:w="3828" w:type="dxa"/>
            <w:gridSpan w:val="3"/>
            <w:shd w:val="clear" w:color="auto" w:fill="D5DCE4" w:themeFill="text2" w:themeFillTint="33"/>
            <w:vAlign w:val="center"/>
          </w:tcPr>
          <w:p w14:paraId="2544B9C6" w14:textId="77777777" w:rsidR="00D82E82" w:rsidRPr="007C734C" w:rsidRDefault="00D82E82" w:rsidP="009B1BC4">
            <w:pPr>
              <w:jc w:val="center"/>
              <w:rPr>
                <w:rFonts w:cs="Segoe UI"/>
                <w:b/>
                <w:bCs/>
              </w:rPr>
            </w:pPr>
            <w:r w:rsidRPr="007C734C">
              <w:rPr>
                <w:rFonts w:cs="Segoe UI"/>
                <w:b/>
                <w:bCs/>
              </w:rPr>
              <w:t>Expozice (nejvyšší skóre)</w:t>
            </w:r>
          </w:p>
        </w:tc>
        <w:tc>
          <w:tcPr>
            <w:tcW w:w="353" w:type="dxa"/>
            <w:tcBorders>
              <w:bottom w:val="none" w:sz="4" w:space="0" w:color="000000"/>
              <w:right w:val="none" w:sz="4" w:space="0" w:color="000000"/>
            </w:tcBorders>
            <w:vAlign w:val="center"/>
          </w:tcPr>
          <w:p w14:paraId="5897A15E" w14:textId="77777777" w:rsidR="00D82E82" w:rsidRPr="007C734C" w:rsidRDefault="00D82E82" w:rsidP="009B1BC4">
            <w:pPr>
              <w:jc w:val="center"/>
              <w:rPr>
                <w:rFonts w:cs="Segoe UI"/>
                <w:b/>
                <w:bCs/>
              </w:rPr>
            </w:pPr>
          </w:p>
        </w:tc>
        <w:tc>
          <w:tcPr>
            <w:tcW w:w="1206" w:type="dxa"/>
            <w:tcBorders>
              <w:left w:val="none" w:sz="4" w:space="0" w:color="000000"/>
              <w:bottom w:val="none" w:sz="4" w:space="0" w:color="000000"/>
              <w:right w:val="none" w:sz="4" w:space="0" w:color="000000"/>
            </w:tcBorders>
            <w:vAlign w:val="center"/>
          </w:tcPr>
          <w:p w14:paraId="4C167514" w14:textId="77777777" w:rsidR="00D82E82" w:rsidRPr="007C734C" w:rsidRDefault="00D82E82" w:rsidP="009B1BC4">
            <w:pPr>
              <w:rPr>
                <w:rFonts w:cs="Segoe UI"/>
                <w:b/>
                <w:bCs/>
              </w:rPr>
            </w:pPr>
          </w:p>
        </w:tc>
        <w:tc>
          <w:tcPr>
            <w:tcW w:w="1279" w:type="dxa"/>
            <w:tcBorders>
              <w:left w:val="none" w:sz="4" w:space="0" w:color="000000"/>
              <w:bottom w:val="none" w:sz="4" w:space="0" w:color="000000"/>
            </w:tcBorders>
            <w:vAlign w:val="center"/>
          </w:tcPr>
          <w:p w14:paraId="1496699E" w14:textId="77777777" w:rsidR="00D82E82" w:rsidRPr="007C734C" w:rsidRDefault="00D82E82" w:rsidP="009B1BC4">
            <w:pPr>
              <w:rPr>
                <w:rFonts w:cs="Segoe UI"/>
                <w:b/>
                <w:bCs/>
              </w:rPr>
            </w:pPr>
          </w:p>
        </w:tc>
      </w:tr>
      <w:tr w:rsidR="00D82E82" w:rsidRPr="007C734C" w14:paraId="0EC4BECC" w14:textId="77777777" w:rsidTr="009B1BC4">
        <w:trPr>
          <w:trHeight w:val="885"/>
        </w:trPr>
        <w:tc>
          <w:tcPr>
            <w:tcW w:w="2268" w:type="dxa"/>
            <w:gridSpan w:val="2"/>
            <w:vMerge/>
            <w:tcBorders>
              <w:bottom w:val="single" w:sz="4" w:space="0" w:color="auto"/>
            </w:tcBorders>
            <w:shd w:val="clear" w:color="auto" w:fill="D5DCE4" w:themeFill="text2" w:themeFillTint="33"/>
            <w:vAlign w:val="center"/>
          </w:tcPr>
          <w:p w14:paraId="6C7BDA70" w14:textId="77777777" w:rsidR="00D82E82" w:rsidRPr="007C734C" w:rsidRDefault="00D82E82" w:rsidP="009B1BC4">
            <w:pPr>
              <w:tabs>
                <w:tab w:val="left" w:pos="0"/>
              </w:tabs>
              <w:jc w:val="center"/>
              <w:rPr>
                <w:rFonts w:cs="Segoe UI"/>
                <w:b/>
                <w:bCs/>
              </w:rPr>
            </w:pPr>
          </w:p>
        </w:tc>
        <w:tc>
          <w:tcPr>
            <w:tcW w:w="1086" w:type="dxa"/>
            <w:tcBorders>
              <w:bottom w:val="single" w:sz="4" w:space="0" w:color="auto"/>
            </w:tcBorders>
            <w:shd w:val="clear" w:color="auto" w:fill="D5DCE4" w:themeFill="text2" w:themeFillTint="33"/>
            <w:vAlign w:val="center"/>
          </w:tcPr>
          <w:p w14:paraId="6677F019" w14:textId="77777777" w:rsidR="00D82E82" w:rsidRPr="007C734C" w:rsidRDefault="00D82E82" w:rsidP="009B1BC4">
            <w:pPr>
              <w:jc w:val="center"/>
              <w:rPr>
                <w:rFonts w:cs="Segoe UI"/>
              </w:rPr>
            </w:pPr>
            <w:r w:rsidRPr="007C734C">
              <w:rPr>
                <w:rFonts w:cs="Segoe UI"/>
              </w:rPr>
              <w:t>Vysoké</w:t>
            </w:r>
          </w:p>
        </w:tc>
        <w:tc>
          <w:tcPr>
            <w:tcW w:w="1371" w:type="dxa"/>
            <w:tcBorders>
              <w:bottom w:val="single" w:sz="4" w:space="0" w:color="auto"/>
            </w:tcBorders>
            <w:shd w:val="clear" w:color="auto" w:fill="D5DCE4" w:themeFill="text2" w:themeFillTint="33"/>
            <w:vAlign w:val="center"/>
          </w:tcPr>
          <w:p w14:paraId="2242E133" w14:textId="77777777" w:rsidR="00D82E82" w:rsidRPr="007C734C" w:rsidRDefault="00D82E82" w:rsidP="009B1BC4">
            <w:pPr>
              <w:jc w:val="center"/>
              <w:rPr>
                <w:rFonts w:cs="Segoe UI"/>
              </w:rPr>
            </w:pPr>
            <w:r w:rsidRPr="007C734C">
              <w:rPr>
                <w:rFonts w:cs="Segoe UI"/>
              </w:rPr>
              <w:t>Střední</w:t>
            </w:r>
          </w:p>
        </w:tc>
        <w:tc>
          <w:tcPr>
            <w:tcW w:w="1371" w:type="dxa"/>
            <w:tcBorders>
              <w:bottom w:val="single" w:sz="4" w:space="0" w:color="auto"/>
            </w:tcBorders>
            <w:shd w:val="clear" w:color="auto" w:fill="D5DCE4" w:themeFill="text2" w:themeFillTint="33"/>
            <w:vAlign w:val="center"/>
          </w:tcPr>
          <w:p w14:paraId="7AC62D80" w14:textId="77777777" w:rsidR="00D82E82" w:rsidRPr="007C734C" w:rsidRDefault="00D82E82" w:rsidP="009B1BC4">
            <w:pPr>
              <w:jc w:val="center"/>
              <w:rPr>
                <w:rFonts w:cs="Segoe UI"/>
              </w:rPr>
            </w:pPr>
            <w:r w:rsidRPr="007C734C">
              <w:rPr>
                <w:rFonts w:cs="Segoe UI"/>
              </w:rPr>
              <w:t>Nízké</w:t>
            </w:r>
          </w:p>
        </w:tc>
        <w:tc>
          <w:tcPr>
            <w:tcW w:w="353" w:type="dxa"/>
            <w:tcBorders>
              <w:top w:val="none" w:sz="4" w:space="0" w:color="000000"/>
              <w:bottom w:val="none" w:sz="4" w:space="0" w:color="000000"/>
              <w:right w:val="none" w:sz="4" w:space="0" w:color="000000"/>
            </w:tcBorders>
            <w:vAlign w:val="center"/>
          </w:tcPr>
          <w:p w14:paraId="1FCC8EBF" w14:textId="77777777" w:rsidR="00D82E82" w:rsidRPr="007C734C" w:rsidRDefault="00D82E82" w:rsidP="009B1BC4">
            <w:pPr>
              <w:jc w:val="center"/>
              <w:rPr>
                <w:rFonts w:cs="Segoe UI"/>
              </w:rPr>
            </w:pPr>
          </w:p>
        </w:tc>
        <w:tc>
          <w:tcPr>
            <w:tcW w:w="2485" w:type="dxa"/>
            <w:gridSpan w:val="2"/>
            <w:tcBorders>
              <w:top w:val="none" w:sz="4" w:space="0" w:color="000000"/>
              <w:left w:val="none" w:sz="4" w:space="0" w:color="000000"/>
              <w:bottom w:val="none" w:sz="4" w:space="0" w:color="000000"/>
            </w:tcBorders>
            <w:vAlign w:val="center"/>
          </w:tcPr>
          <w:p w14:paraId="058D09FC" w14:textId="77777777" w:rsidR="00D82E82" w:rsidRPr="007C734C" w:rsidRDefault="00D82E82" w:rsidP="009B1BC4">
            <w:pPr>
              <w:rPr>
                <w:rFonts w:cs="Segoe UI"/>
              </w:rPr>
            </w:pPr>
            <w:r w:rsidRPr="007C734C">
              <w:rPr>
                <w:rFonts w:cs="Segoe UI"/>
              </w:rPr>
              <w:t>Úroveň zranitelnosti:</w:t>
            </w:r>
          </w:p>
        </w:tc>
      </w:tr>
      <w:tr w:rsidR="00D82E82" w:rsidRPr="007C734C" w14:paraId="51584132" w14:textId="77777777" w:rsidTr="009B1BC4">
        <w:trPr>
          <w:trHeight w:val="987"/>
        </w:trPr>
        <w:tc>
          <w:tcPr>
            <w:tcW w:w="1134" w:type="dxa"/>
            <w:vMerge w:val="restart"/>
            <w:shd w:val="clear" w:color="auto" w:fill="D5DCE4" w:themeFill="text2" w:themeFillTint="33"/>
            <w:textDirection w:val="btLr"/>
            <w:vAlign w:val="center"/>
          </w:tcPr>
          <w:p w14:paraId="2CD85F11" w14:textId="77777777" w:rsidR="00D82E82" w:rsidRPr="007C734C" w:rsidRDefault="00D82E82" w:rsidP="009B1BC4">
            <w:pPr>
              <w:tabs>
                <w:tab w:val="left" w:pos="0"/>
              </w:tabs>
              <w:ind w:left="113" w:right="113"/>
              <w:jc w:val="center"/>
              <w:rPr>
                <w:rFonts w:cs="Segoe UI"/>
                <w:b/>
                <w:bCs/>
              </w:rPr>
            </w:pPr>
            <w:r w:rsidRPr="007C734C">
              <w:rPr>
                <w:rFonts w:cs="Segoe UI"/>
                <w:b/>
                <w:bCs/>
              </w:rPr>
              <w:t>Citlivost (nejvyšší skóre)</w:t>
            </w:r>
          </w:p>
        </w:tc>
        <w:tc>
          <w:tcPr>
            <w:tcW w:w="1134" w:type="dxa"/>
            <w:shd w:val="clear" w:color="auto" w:fill="D5DCE4" w:themeFill="text2" w:themeFillTint="33"/>
            <w:vAlign w:val="center"/>
          </w:tcPr>
          <w:p w14:paraId="03C3E98B" w14:textId="77777777" w:rsidR="00D82E82" w:rsidRPr="007C734C" w:rsidRDefault="00D82E82" w:rsidP="009B1BC4">
            <w:pPr>
              <w:tabs>
                <w:tab w:val="left" w:pos="0"/>
              </w:tabs>
              <w:jc w:val="center"/>
              <w:rPr>
                <w:rFonts w:cs="Segoe UI"/>
              </w:rPr>
            </w:pPr>
            <w:r w:rsidRPr="007C734C">
              <w:rPr>
                <w:rFonts w:cs="Segoe UI"/>
              </w:rPr>
              <w:t>Vysoké</w:t>
            </w:r>
          </w:p>
        </w:tc>
        <w:tc>
          <w:tcPr>
            <w:tcW w:w="1086" w:type="dxa"/>
            <w:shd w:val="clear" w:color="auto" w:fill="FF0000"/>
            <w:vAlign w:val="center"/>
          </w:tcPr>
          <w:p w14:paraId="0DE32F39" w14:textId="77777777" w:rsidR="00D82E82" w:rsidRPr="007C734C" w:rsidRDefault="00D82E82" w:rsidP="009B1BC4">
            <w:pPr>
              <w:jc w:val="center"/>
              <w:rPr>
                <w:rFonts w:cs="Segoe UI"/>
                <w:i/>
                <w:iCs/>
              </w:rPr>
            </w:pPr>
            <w:proofErr w:type="spellStart"/>
            <w:r w:rsidRPr="007C734C">
              <w:rPr>
                <w:rFonts w:cs="Segoe UI"/>
                <w:i/>
                <w:iCs/>
              </w:rPr>
              <w:t>xxx</w:t>
            </w:r>
            <w:proofErr w:type="spellEnd"/>
          </w:p>
        </w:tc>
        <w:tc>
          <w:tcPr>
            <w:tcW w:w="1371" w:type="dxa"/>
            <w:shd w:val="clear" w:color="auto" w:fill="FF0000"/>
            <w:vAlign w:val="center"/>
          </w:tcPr>
          <w:p w14:paraId="5F975A3F" w14:textId="77777777" w:rsidR="00D82E82" w:rsidRPr="007C734C" w:rsidRDefault="00D82E82" w:rsidP="009B1BC4">
            <w:pPr>
              <w:jc w:val="center"/>
              <w:rPr>
                <w:rFonts w:cs="Segoe UI"/>
                <w:i/>
                <w:iCs/>
              </w:rPr>
            </w:pPr>
            <w:proofErr w:type="spellStart"/>
            <w:r w:rsidRPr="007C734C">
              <w:rPr>
                <w:rFonts w:cs="Segoe UI"/>
                <w:i/>
                <w:iCs/>
              </w:rPr>
              <w:t>xxx</w:t>
            </w:r>
            <w:proofErr w:type="spellEnd"/>
          </w:p>
        </w:tc>
        <w:tc>
          <w:tcPr>
            <w:tcW w:w="1371" w:type="dxa"/>
            <w:shd w:val="clear" w:color="auto" w:fill="FFC000"/>
            <w:vAlign w:val="center"/>
          </w:tcPr>
          <w:p w14:paraId="4C6E1A19" w14:textId="77777777" w:rsidR="00D82E82" w:rsidRPr="007C734C" w:rsidRDefault="00D82E82" w:rsidP="009B1BC4">
            <w:pPr>
              <w:jc w:val="center"/>
              <w:rPr>
                <w:rFonts w:cs="Segoe UI"/>
                <w:i/>
                <w:iCs/>
              </w:rPr>
            </w:pPr>
            <w:proofErr w:type="spellStart"/>
            <w:r w:rsidRPr="007C734C">
              <w:rPr>
                <w:rFonts w:cs="Segoe UI"/>
                <w:i/>
                <w:iCs/>
              </w:rPr>
              <w:t>xxx</w:t>
            </w:r>
            <w:proofErr w:type="spellEnd"/>
          </w:p>
        </w:tc>
        <w:tc>
          <w:tcPr>
            <w:tcW w:w="353" w:type="dxa"/>
            <w:tcBorders>
              <w:top w:val="none" w:sz="4" w:space="0" w:color="000000"/>
              <w:bottom w:val="none" w:sz="4" w:space="0" w:color="000000"/>
              <w:right w:val="none" w:sz="4" w:space="0" w:color="000000"/>
            </w:tcBorders>
            <w:vAlign w:val="center"/>
          </w:tcPr>
          <w:p w14:paraId="36EC0A8C" w14:textId="77777777" w:rsidR="00D82E82" w:rsidRPr="007C734C" w:rsidRDefault="00D82E82" w:rsidP="009B1BC4">
            <w:pPr>
              <w:jc w:val="center"/>
              <w:rPr>
                <w:rFonts w:cs="Segoe UI"/>
              </w:rPr>
            </w:pPr>
          </w:p>
        </w:tc>
        <w:tc>
          <w:tcPr>
            <w:tcW w:w="1206" w:type="dxa"/>
            <w:tcBorders>
              <w:top w:val="none" w:sz="4" w:space="0" w:color="000000"/>
              <w:left w:val="none" w:sz="4" w:space="0" w:color="000000"/>
              <w:bottom w:val="none" w:sz="4" w:space="0" w:color="000000"/>
              <w:right w:val="single" w:sz="4" w:space="0" w:color="auto"/>
            </w:tcBorders>
            <w:vAlign w:val="center"/>
          </w:tcPr>
          <w:p w14:paraId="185D720E" w14:textId="77777777" w:rsidR="00D82E82" w:rsidRPr="007C734C" w:rsidRDefault="00D82E82" w:rsidP="009B1BC4">
            <w:pPr>
              <w:rPr>
                <w:rFonts w:cs="Segoe UI"/>
              </w:rPr>
            </w:pPr>
            <w:r w:rsidRPr="007C734C">
              <w:rPr>
                <w:rFonts w:cs="Segoe UI"/>
              </w:rPr>
              <w:t>Vysoká</w:t>
            </w:r>
          </w:p>
        </w:tc>
        <w:tc>
          <w:tcPr>
            <w:tcW w:w="1279" w:type="dxa"/>
            <w:tcBorders>
              <w:top w:val="single" w:sz="4" w:space="0" w:color="auto"/>
              <w:left w:val="single" w:sz="4" w:space="0" w:color="auto"/>
              <w:bottom w:val="single" w:sz="4" w:space="0" w:color="auto"/>
            </w:tcBorders>
            <w:shd w:val="clear" w:color="auto" w:fill="FF0000"/>
            <w:vAlign w:val="center"/>
          </w:tcPr>
          <w:p w14:paraId="53ED4AB7" w14:textId="77777777" w:rsidR="00D82E82" w:rsidRPr="007C734C" w:rsidRDefault="00D82E82" w:rsidP="009B1BC4">
            <w:pPr>
              <w:rPr>
                <w:rFonts w:cs="Segoe UI"/>
              </w:rPr>
            </w:pPr>
          </w:p>
        </w:tc>
      </w:tr>
      <w:tr w:rsidR="00D82E82" w:rsidRPr="007C734C" w14:paraId="00C682F6" w14:textId="77777777" w:rsidTr="009B1BC4">
        <w:trPr>
          <w:trHeight w:val="987"/>
        </w:trPr>
        <w:tc>
          <w:tcPr>
            <w:tcW w:w="1134" w:type="dxa"/>
            <w:vMerge/>
            <w:shd w:val="clear" w:color="auto" w:fill="D5DCE4" w:themeFill="text2" w:themeFillTint="33"/>
            <w:textDirection w:val="btLr"/>
            <w:vAlign w:val="center"/>
          </w:tcPr>
          <w:p w14:paraId="41C9F886" w14:textId="77777777" w:rsidR="00D82E82" w:rsidRPr="007C734C" w:rsidRDefault="00D82E82" w:rsidP="009B1BC4">
            <w:pPr>
              <w:tabs>
                <w:tab w:val="left" w:pos="0"/>
              </w:tabs>
              <w:ind w:left="113" w:right="113"/>
              <w:jc w:val="center"/>
              <w:rPr>
                <w:rFonts w:cs="Segoe UI"/>
                <w:b/>
                <w:bCs/>
              </w:rPr>
            </w:pPr>
          </w:p>
        </w:tc>
        <w:tc>
          <w:tcPr>
            <w:tcW w:w="1134" w:type="dxa"/>
            <w:shd w:val="clear" w:color="auto" w:fill="D5DCE4" w:themeFill="text2" w:themeFillTint="33"/>
            <w:vAlign w:val="center"/>
          </w:tcPr>
          <w:p w14:paraId="7C5012F4" w14:textId="77777777" w:rsidR="00D82E82" w:rsidRPr="007C734C" w:rsidRDefault="00D82E82" w:rsidP="009B1BC4">
            <w:pPr>
              <w:tabs>
                <w:tab w:val="left" w:pos="0"/>
              </w:tabs>
              <w:jc w:val="center"/>
              <w:rPr>
                <w:rFonts w:cs="Segoe UI"/>
              </w:rPr>
            </w:pPr>
            <w:r w:rsidRPr="007C734C">
              <w:rPr>
                <w:rFonts w:cs="Segoe UI"/>
              </w:rPr>
              <w:t>Střední</w:t>
            </w:r>
          </w:p>
        </w:tc>
        <w:tc>
          <w:tcPr>
            <w:tcW w:w="1086" w:type="dxa"/>
            <w:shd w:val="clear" w:color="auto" w:fill="FF0000"/>
            <w:vAlign w:val="center"/>
          </w:tcPr>
          <w:p w14:paraId="26F41886" w14:textId="77777777" w:rsidR="00D82E82" w:rsidRPr="007C734C" w:rsidRDefault="00D82E82" w:rsidP="009B1BC4">
            <w:pPr>
              <w:jc w:val="center"/>
              <w:rPr>
                <w:rFonts w:cs="Segoe UI"/>
                <w:i/>
                <w:iCs/>
              </w:rPr>
            </w:pPr>
            <w:proofErr w:type="spellStart"/>
            <w:r w:rsidRPr="007C734C">
              <w:rPr>
                <w:rFonts w:cs="Segoe UI"/>
                <w:i/>
                <w:iCs/>
              </w:rPr>
              <w:t>xxx</w:t>
            </w:r>
            <w:proofErr w:type="spellEnd"/>
          </w:p>
        </w:tc>
        <w:tc>
          <w:tcPr>
            <w:tcW w:w="1371" w:type="dxa"/>
            <w:shd w:val="clear" w:color="auto" w:fill="FFC000"/>
            <w:vAlign w:val="center"/>
          </w:tcPr>
          <w:p w14:paraId="7D5D8625" w14:textId="77777777" w:rsidR="00D82E82" w:rsidRPr="007C734C" w:rsidRDefault="00D82E82" w:rsidP="009B1BC4">
            <w:pPr>
              <w:jc w:val="center"/>
              <w:rPr>
                <w:rFonts w:cs="Segoe UI"/>
                <w:i/>
                <w:iCs/>
              </w:rPr>
            </w:pPr>
            <w:proofErr w:type="spellStart"/>
            <w:r w:rsidRPr="007C734C">
              <w:rPr>
                <w:rFonts w:cs="Segoe UI"/>
                <w:i/>
                <w:iCs/>
              </w:rPr>
              <w:t>xxx</w:t>
            </w:r>
            <w:proofErr w:type="spellEnd"/>
          </w:p>
        </w:tc>
        <w:tc>
          <w:tcPr>
            <w:tcW w:w="1371" w:type="dxa"/>
            <w:shd w:val="clear" w:color="auto" w:fill="92D050"/>
            <w:vAlign w:val="center"/>
          </w:tcPr>
          <w:p w14:paraId="07F045DC" w14:textId="77777777" w:rsidR="00D82E82" w:rsidRPr="007C734C" w:rsidRDefault="00D82E82" w:rsidP="009B1BC4">
            <w:pPr>
              <w:jc w:val="center"/>
              <w:rPr>
                <w:rFonts w:cs="Segoe UI"/>
                <w:i/>
                <w:iCs/>
              </w:rPr>
            </w:pPr>
            <w:proofErr w:type="spellStart"/>
            <w:r w:rsidRPr="007C734C">
              <w:rPr>
                <w:rFonts w:cs="Segoe UI"/>
                <w:i/>
                <w:iCs/>
              </w:rPr>
              <w:t>xxx</w:t>
            </w:r>
            <w:proofErr w:type="spellEnd"/>
          </w:p>
        </w:tc>
        <w:tc>
          <w:tcPr>
            <w:tcW w:w="353" w:type="dxa"/>
            <w:tcBorders>
              <w:top w:val="none" w:sz="4" w:space="0" w:color="000000"/>
              <w:bottom w:val="none" w:sz="4" w:space="0" w:color="000000"/>
              <w:right w:val="none" w:sz="4" w:space="0" w:color="000000"/>
            </w:tcBorders>
            <w:vAlign w:val="center"/>
          </w:tcPr>
          <w:p w14:paraId="27B4CBAF" w14:textId="77777777" w:rsidR="00D82E82" w:rsidRPr="007C734C" w:rsidRDefault="00D82E82" w:rsidP="009B1BC4">
            <w:pPr>
              <w:jc w:val="center"/>
              <w:rPr>
                <w:rFonts w:cs="Segoe UI"/>
              </w:rPr>
            </w:pPr>
          </w:p>
        </w:tc>
        <w:tc>
          <w:tcPr>
            <w:tcW w:w="1206" w:type="dxa"/>
            <w:tcBorders>
              <w:top w:val="none" w:sz="4" w:space="0" w:color="000000"/>
              <w:left w:val="none" w:sz="4" w:space="0" w:color="000000"/>
              <w:bottom w:val="none" w:sz="4" w:space="0" w:color="000000"/>
              <w:right w:val="single" w:sz="4" w:space="0" w:color="auto"/>
            </w:tcBorders>
            <w:vAlign w:val="center"/>
          </w:tcPr>
          <w:p w14:paraId="5DF6CC58" w14:textId="77777777" w:rsidR="00D82E82" w:rsidRPr="007C734C" w:rsidRDefault="00D82E82" w:rsidP="009B1BC4">
            <w:pPr>
              <w:rPr>
                <w:rFonts w:cs="Segoe UI"/>
              </w:rPr>
            </w:pPr>
            <w:r w:rsidRPr="007C734C">
              <w:rPr>
                <w:rFonts w:cs="Segoe UI"/>
              </w:rPr>
              <w:t>Střední</w:t>
            </w:r>
          </w:p>
        </w:tc>
        <w:tc>
          <w:tcPr>
            <w:tcW w:w="1279" w:type="dxa"/>
            <w:tcBorders>
              <w:top w:val="single" w:sz="4" w:space="0" w:color="auto"/>
              <w:left w:val="single" w:sz="4" w:space="0" w:color="auto"/>
              <w:bottom w:val="single" w:sz="4" w:space="0" w:color="auto"/>
            </w:tcBorders>
            <w:shd w:val="clear" w:color="auto" w:fill="FFC000"/>
            <w:vAlign w:val="center"/>
          </w:tcPr>
          <w:p w14:paraId="600A28A7" w14:textId="77777777" w:rsidR="00D82E82" w:rsidRPr="007C734C" w:rsidRDefault="00D82E82" w:rsidP="009B1BC4">
            <w:pPr>
              <w:rPr>
                <w:rFonts w:cs="Segoe UI"/>
              </w:rPr>
            </w:pPr>
          </w:p>
        </w:tc>
      </w:tr>
      <w:tr w:rsidR="00D82E82" w:rsidRPr="007C734C" w14:paraId="406ADD6B" w14:textId="77777777" w:rsidTr="009B1BC4">
        <w:trPr>
          <w:trHeight w:val="987"/>
        </w:trPr>
        <w:tc>
          <w:tcPr>
            <w:tcW w:w="1134" w:type="dxa"/>
            <w:vMerge/>
            <w:shd w:val="clear" w:color="auto" w:fill="D5DCE4" w:themeFill="text2" w:themeFillTint="33"/>
            <w:vAlign w:val="center"/>
          </w:tcPr>
          <w:p w14:paraId="5A9AC73F" w14:textId="77777777" w:rsidR="00D82E82" w:rsidRPr="007C734C" w:rsidRDefault="00D82E82" w:rsidP="009B1BC4">
            <w:pPr>
              <w:tabs>
                <w:tab w:val="left" w:pos="0"/>
              </w:tabs>
              <w:jc w:val="center"/>
              <w:rPr>
                <w:rFonts w:cs="Segoe UI"/>
                <w:b/>
                <w:bCs/>
              </w:rPr>
            </w:pPr>
          </w:p>
        </w:tc>
        <w:tc>
          <w:tcPr>
            <w:tcW w:w="1134" w:type="dxa"/>
            <w:shd w:val="clear" w:color="auto" w:fill="D5DCE4" w:themeFill="text2" w:themeFillTint="33"/>
            <w:vAlign w:val="center"/>
          </w:tcPr>
          <w:p w14:paraId="7EDA9859" w14:textId="77777777" w:rsidR="00D82E82" w:rsidRPr="007C734C" w:rsidRDefault="00D82E82" w:rsidP="009B1BC4">
            <w:pPr>
              <w:tabs>
                <w:tab w:val="left" w:pos="0"/>
              </w:tabs>
              <w:jc w:val="center"/>
              <w:rPr>
                <w:rFonts w:cs="Segoe UI"/>
              </w:rPr>
            </w:pPr>
            <w:r w:rsidRPr="007C734C">
              <w:rPr>
                <w:rFonts w:cs="Segoe UI"/>
              </w:rPr>
              <w:t>Nízké</w:t>
            </w:r>
          </w:p>
        </w:tc>
        <w:tc>
          <w:tcPr>
            <w:tcW w:w="1086" w:type="dxa"/>
            <w:shd w:val="clear" w:color="auto" w:fill="FFC000"/>
            <w:vAlign w:val="center"/>
          </w:tcPr>
          <w:p w14:paraId="2313792F" w14:textId="77777777" w:rsidR="00D82E82" w:rsidRPr="007C734C" w:rsidRDefault="00D82E82" w:rsidP="009B1BC4">
            <w:pPr>
              <w:jc w:val="center"/>
              <w:rPr>
                <w:rFonts w:cs="Segoe UI"/>
                <w:i/>
                <w:iCs/>
              </w:rPr>
            </w:pPr>
            <w:proofErr w:type="spellStart"/>
            <w:r w:rsidRPr="007C734C">
              <w:rPr>
                <w:rFonts w:cs="Segoe UI"/>
                <w:i/>
                <w:iCs/>
              </w:rPr>
              <w:t>xxx</w:t>
            </w:r>
            <w:proofErr w:type="spellEnd"/>
          </w:p>
        </w:tc>
        <w:tc>
          <w:tcPr>
            <w:tcW w:w="1371" w:type="dxa"/>
            <w:shd w:val="clear" w:color="auto" w:fill="92D050"/>
            <w:vAlign w:val="center"/>
          </w:tcPr>
          <w:p w14:paraId="3D1CB473" w14:textId="77777777" w:rsidR="00D82E82" w:rsidRPr="007C734C" w:rsidRDefault="00D82E82" w:rsidP="009B1BC4">
            <w:pPr>
              <w:jc w:val="center"/>
              <w:rPr>
                <w:rFonts w:cs="Segoe UI"/>
                <w:i/>
                <w:iCs/>
              </w:rPr>
            </w:pPr>
            <w:proofErr w:type="spellStart"/>
            <w:r w:rsidRPr="007C734C">
              <w:rPr>
                <w:rFonts w:cs="Segoe UI"/>
                <w:i/>
                <w:iCs/>
              </w:rPr>
              <w:t>xxx</w:t>
            </w:r>
            <w:proofErr w:type="spellEnd"/>
          </w:p>
        </w:tc>
        <w:tc>
          <w:tcPr>
            <w:tcW w:w="1371" w:type="dxa"/>
            <w:shd w:val="clear" w:color="auto" w:fill="92D050"/>
            <w:vAlign w:val="center"/>
          </w:tcPr>
          <w:p w14:paraId="11437859" w14:textId="77777777" w:rsidR="00D82E82" w:rsidRPr="007C734C" w:rsidRDefault="00D82E82" w:rsidP="009B1BC4">
            <w:pPr>
              <w:jc w:val="center"/>
              <w:rPr>
                <w:rFonts w:cs="Segoe UI"/>
                <w:i/>
                <w:iCs/>
              </w:rPr>
            </w:pPr>
            <w:proofErr w:type="spellStart"/>
            <w:r w:rsidRPr="007C734C">
              <w:rPr>
                <w:rFonts w:cs="Segoe UI"/>
                <w:i/>
                <w:iCs/>
              </w:rPr>
              <w:t>xxx</w:t>
            </w:r>
            <w:proofErr w:type="spellEnd"/>
          </w:p>
        </w:tc>
        <w:tc>
          <w:tcPr>
            <w:tcW w:w="353" w:type="dxa"/>
            <w:tcBorders>
              <w:top w:val="none" w:sz="4" w:space="0" w:color="000000"/>
              <w:right w:val="none" w:sz="4" w:space="0" w:color="000000"/>
            </w:tcBorders>
            <w:vAlign w:val="center"/>
          </w:tcPr>
          <w:p w14:paraId="646C9644" w14:textId="77777777" w:rsidR="00D82E82" w:rsidRPr="007C734C" w:rsidRDefault="00D82E82" w:rsidP="009B1BC4">
            <w:pPr>
              <w:jc w:val="center"/>
              <w:rPr>
                <w:rFonts w:cs="Segoe UI"/>
              </w:rPr>
            </w:pPr>
          </w:p>
        </w:tc>
        <w:tc>
          <w:tcPr>
            <w:tcW w:w="1206" w:type="dxa"/>
            <w:tcBorders>
              <w:top w:val="none" w:sz="4" w:space="0" w:color="000000"/>
              <w:left w:val="none" w:sz="4" w:space="0" w:color="000000"/>
              <w:right w:val="single" w:sz="4" w:space="0" w:color="auto"/>
            </w:tcBorders>
            <w:vAlign w:val="center"/>
          </w:tcPr>
          <w:p w14:paraId="34CDA7CA" w14:textId="77777777" w:rsidR="00D82E82" w:rsidRPr="007C734C" w:rsidRDefault="00D82E82" w:rsidP="009B1BC4">
            <w:pPr>
              <w:rPr>
                <w:rFonts w:cs="Segoe UI"/>
              </w:rPr>
            </w:pPr>
            <w:r w:rsidRPr="007C734C">
              <w:rPr>
                <w:rFonts w:cs="Segoe UI"/>
              </w:rPr>
              <w:t>Nízká</w:t>
            </w:r>
          </w:p>
        </w:tc>
        <w:tc>
          <w:tcPr>
            <w:tcW w:w="1279" w:type="dxa"/>
            <w:tcBorders>
              <w:top w:val="single" w:sz="4" w:space="0" w:color="auto"/>
              <w:left w:val="single" w:sz="4" w:space="0" w:color="auto"/>
            </w:tcBorders>
            <w:shd w:val="clear" w:color="auto" w:fill="92D050"/>
            <w:vAlign w:val="center"/>
          </w:tcPr>
          <w:p w14:paraId="50AAB83D" w14:textId="77777777" w:rsidR="00D82E82" w:rsidRPr="007C734C" w:rsidRDefault="00D82E82" w:rsidP="009B1BC4">
            <w:pPr>
              <w:rPr>
                <w:rFonts w:cs="Segoe UI"/>
              </w:rPr>
            </w:pPr>
          </w:p>
        </w:tc>
      </w:tr>
      <w:tr w:rsidR="00D82E82" w:rsidRPr="007C734C" w14:paraId="0B283D8A" w14:textId="77777777" w:rsidTr="009B1BC4">
        <w:trPr>
          <w:trHeight w:val="613"/>
        </w:trPr>
        <w:tc>
          <w:tcPr>
            <w:tcW w:w="2268" w:type="dxa"/>
            <w:gridSpan w:val="2"/>
            <w:vMerge w:val="restart"/>
            <w:shd w:val="clear" w:color="auto" w:fill="D5DCE4" w:themeFill="text2" w:themeFillTint="33"/>
            <w:vAlign w:val="center"/>
          </w:tcPr>
          <w:p w14:paraId="5EBD22DE" w14:textId="77777777" w:rsidR="00D82E82" w:rsidRPr="007C734C" w:rsidRDefault="00D82E82" w:rsidP="009B1BC4">
            <w:pPr>
              <w:tabs>
                <w:tab w:val="left" w:pos="0"/>
              </w:tabs>
              <w:jc w:val="center"/>
              <w:rPr>
                <w:rFonts w:cs="Segoe UI"/>
                <w:b/>
                <w:bCs/>
              </w:rPr>
            </w:pPr>
            <w:r w:rsidRPr="007C734C">
              <w:rPr>
                <w:rFonts w:cs="Segoe UI"/>
                <w:b/>
                <w:bCs/>
              </w:rPr>
              <w:t>Zvyšování teplot</w:t>
            </w:r>
          </w:p>
        </w:tc>
        <w:tc>
          <w:tcPr>
            <w:tcW w:w="3828" w:type="dxa"/>
            <w:gridSpan w:val="3"/>
            <w:shd w:val="clear" w:color="auto" w:fill="D5DCE4" w:themeFill="text2" w:themeFillTint="33"/>
            <w:vAlign w:val="center"/>
          </w:tcPr>
          <w:p w14:paraId="18EF860D" w14:textId="77777777" w:rsidR="00D82E82" w:rsidRPr="007C734C" w:rsidRDefault="00D82E82" w:rsidP="009B1BC4">
            <w:pPr>
              <w:jc w:val="center"/>
              <w:rPr>
                <w:rFonts w:cs="Segoe UI"/>
                <w:b/>
                <w:bCs/>
              </w:rPr>
            </w:pPr>
            <w:r w:rsidRPr="007C734C">
              <w:rPr>
                <w:rFonts w:cs="Segoe UI"/>
                <w:b/>
                <w:bCs/>
              </w:rPr>
              <w:t>Expozice (nejvyšší skóre)</w:t>
            </w:r>
          </w:p>
        </w:tc>
        <w:tc>
          <w:tcPr>
            <w:tcW w:w="353" w:type="dxa"/>
            <w:tcBorders>
              <w:bottom w:val="none" w:sz="4" w:space="0" w:color="000000"/>
              <w:right w:val="none" w:sz="4" w:space="0" w:color="000000"/>
            </w:tcBorders>
            <w:vAlign w:val="center"/>
          </w:tcPr>
          <w:p w14:paraId="37F66DAD" w14:textId="77777777" w:rsidR="00D82E82" w:rsidRPr="007C734C" w:rsidRDefault="00D82E82" w:rsidP="009B1BC4">
            <w:pPr>
              <w:jc w:val="center"/>
              <w:rPr>
                <w:rFonts w:cs="Segoe UI"/>
                <w:b/>
                <w:bCs/>
              </w:rPr>
            </w:pPr>
          </w:p>
        </w:tc>
        <w:tc>
          <w:tcPr>
            <w:tcW w:w="1206" w:type="dxa"/>
            <w:tcBorders>
              <w:left w:val="none" w:sz="4" w:space="0" w:color="000000"/>
              <w:bottom w:val="none" w:sz="4" w:space="0" w:color="000000"/>
              <w:right w:val="none" w:sz="4" w:space="0" w:color="000000"/>
            </w:tcBorders>
            <w:vAlign w:val="center"/>
          </w:tcPr>
          <w:p w14:paraId="03DA4E3B" w14:textId="77777777" w:rsidR="00D82E82" w:rsidRPr="007C734C" w:rsidRDefault="00D82E82" w:rsidP="009B1BC4">
            <w:pPr>
              <w:rPr>
                <w:rFonts w:cs="Segoe UI"/>
                <w:b/>
                <w:bCs/>
              </w:rPr>
            </w:pPr>
          </w:p>
        </w:tc>
        <w:tc>
          <w:tcPr>
            <w:tcW w:w="1279" w:type="dxa"/>
            <w:tcBorders>
              <w:left w:val="none" w:sz="4" w:space="0" w:color="000000"/>
              <w:bottom w:val="none" w:sz="4" w:space="0" w:color="000000"/>
            </w:tcBorders>
            <w:vAlign w:val="center"/>
          </w:tcPr>
          <w:p w14:paraId="68F7F2BD" w14:textId="77777777" w:rsidR="00D82E82" w:rsidRPr="007C734C" w:rsidRDefault="00D82E82" w:rsidP="009B1BC4">
            <w:pPr>
              <w:rPr>
                <w:rFonts w:cs="Segoe UI"/>
                <w:b/>
                <w:bCs/>
              </w:rPr>
            </w:pPr>
          </w:p>
        </w:tc>
      </w:tr>
      <w:tr w:rsidR="00D82E82" w:rsidRPr="007C734C" w14:paraId="261272D8" w14:textId="77777777" w:rsidTr="009B1BC4">
        <w:trPr>
          <w:trHeight w:val="885"/>
        </w:trPr>
        <w:tc>
          <w:tcPr>
            <w:tcW w:w="2268" w:type="dxa"/>
            <w:gridSpan w:val="2"/>
            <w:vMerge/>
            <w:tcBorders>
              <w:bottom w:val="single" w:sz="4" w:space="0" w:color="auto"/>
            </w:tcBorders>
            <w:shd w:val="clear" w:color="auto" w:fill="D5DCE4" w:themeFill="text2" w:themeFillTint="33"/>
            <w:vAlign w:val="center"/>
          </w:tcPr>
          <w:p w14:paraId="21CD9ACC" w14:textId="77777777" w:rsidR="00D82E82" w:rsidRPr="007C734C" w:rsidRDefault="00D82E82" w:rsidP="009B1BC4">
            <w:pPr>
              <w:tabs>
                <w:tab w:val="left" w:pos="0"/>
              </w:tabs>
              <w:jc w:val="center"/>
              <w:rPr>
                <w:rFonts w:cs="Segoe UI"/>
                <w:b/>
                <w:bCs/>
              </w:rPr>
            </w:pPr>
          </w:p>
        </w:tc>
        <w:tc>
          <w:tcPr>
            <w:tcW w:w="1086" w:type="dxa"/>
            <w:tcBorders>
              <w:bottom w:val="single" w:sz="4" w:space="0" w:color="auto"/>
            </w:tcBorders>
            <w:shd w:val="clear" w:color="auto" w:fill="D5DCE4" w:themeFill="text2" w:themeFillTint="33"/>
            <w:vAlign w:val="center"/>
          </w:tcPr>
          <w:p w14:paraId="67B83868" w14:textId="77777777" w:rsidR="00D82E82" w:rsidRPr="007C734C" w:rsidRDefault="00D82E82" w:rsidP="009B1BC4">
            <w:pPr>
              <w:jc w:val="center"/>
              <w:rPr>
                <w:rFonts w:cs="Segoe UI"/>
              </w:rPr>
            </w:pPr>
            <w:r w:rsidRPr="007C734C">
              <w:rPr>
                <w:rFonts w:cs="Segoe UI"/>
              </w:rPr>
              <w:t>Vysoké</w:t>
            </w:r>
          </w:p>
        </w:tc>
        <w:tc>
          <w:tcPr>
            <w:tcW w:w="1371" w:type="dxa"/>
            <w:tcBorders>
              <w:bottom w:val="single" w:sz="4" w:space="0" w:color="auto"/>
            </w:tcBorders>
            <w:shd w:val="clear" w:color="auto" w:fill="D5DCE4" w:themeFill="text2" w:themeFillTint="33"/>
            <w:vAlign w:val="center"/>
          </w:tcPr>
          <w:p w14:paraId="2158E5BE" w14:textId="77777777" w:rsidR="00D82E82" w:rsidRPr="007C734C" w:rsidRDefault="00D82E82" w:rsidP="009B1BC4">
            <w:pPr>
              <w:jc w:val="center"/>
              <w:rPr>
                <w:rFonts w:cs="Segoe UI"/>
              </w:rPr>
            </w:pPr>
            <w:r w:rsidRPr="007C734C">
              <w:rPr>
                <w:rFonts w:cs="Segoe UI"/>
              </w:rPr>
              <w:t>Střední</w:t>
            </w:r>
          </w:p>
        </w:tc>
        <w:tc>
          <w:tcPr>
            <w:tcW w:w="1371" w:type="dxa"/>
            <w:tcBorders>
              <w:bottom w:val="single" w:sz="4" w:space="0" w:color="auto"/>
            </w:tcBorders>
            <w:shd w:val="clear" w:color="auto" w:fill="D5DCE4" w:themeFill="text2" w:themeFillTint="33"/>
            <w:vAlign w:val="center"/>
          </w:tcPr>
          <w:p w14:paraId="6A727C71" w14:textId="77777777" w:rsidR="00D82E82" w:rsidRPr="007C734C" w:rsidRDefault="00D82E82" w:rsidP="009B1BC4">
            <w:pPr>
              <w:jc w:val="center"/>
              <w:rPr>
                <w:rFonts w:cs="Segoe UI"/>
              </w:rPr>
            </w:pPr>
            <w:r w:rsidRPr="007C734C">
              <w:rPr>
                <w:rFonts w:cs="Segoe UI"/>
              </w:rPr>
              <w:t>Nízké</w:t>
            </w:r>
          </w:p>
        </w:tc>
        <w:tc>
          <w:tcPr>
            <w:tcW w:w="353" w:type="dxa"/>
            <w:tcBorders>
              <w:top w:val="none" w:sz="4" w:space="0" w:color="000000"/>
              <w:bottom w:val="none" w:sz="4" w:space="0" w:color="000000"/>
              <w:right w:val="none" w:sz="4" w:space="0" w:color="000000"/>
            </w:tcBorders>
            <w:vAlign w:val="center"/>
          </w:tcPr>
          <w:p w14:paraId="451CF3C3" w14:textId="77777777" w:rsidR="00D82E82" w:rsidRPr="007C734C" w:rsidRDefault="00D82E82" w:rsidP="009B1BC4">
            <w:pPr>
              <w:jc w:val="center"/>
              <w:rPr>
                <w:rFonts w:cs="Segoe UI"/>
              </w:rPr>
            </w:pPr>
          </w:p>
        </w:tc>
        <w:tc>
          <w:tcPr>
            <w:tcW w:w="2485" w:type="dxa"/>
            <w:gridSpan w:val="2"/>
            <w:tcBorders>
              <w:top w:val="none" w:sz="4" w:space="0" w:color="000000"/>
              <w:left w:val="none" w:sz="4" w:space="0" w:color="000000"/>
              <w:bottom w:val="none" w:sz="4" w:space="0" w:color="000000"/>
            </w:tcBorders>
            <w:vAlign w:val="center"/>
          </w:tcPr>
          <w:p w14:paraId="02C04B39" w14:textId="77777777" w:rsidR="00D82E82" w:rsidRPr="007C734C" w:rsidRDefault="00D82E82" w:rsidP="009B1BC4">
            <w:pPr>
              <w:rPr>
                <w:rFonts w:cs="Segoe UI"/>
              </w:rPr>
            </w:pPr>
            <w:r w:rsidRPr="007C734C">
              <w:rPr>
                <w:rFonts w:cs="Segoe UI"/>
              </w:rPr>
              <w:t>Úroveň zranitelnosti:</w:t>
            </w:r>
          </w:p>
        </w:tc>
      </w:tr>
      <w:tr w:rsidR="00D82E82" w:rsidRPr="007C734C" w14:paraId="2D5ADE1E" w14:textId="77777777" w:rsidTr="009B1BC4">
        <w:trPr>
          <w:trHeight w:val="987"/>
        </w:trPr>
        <w:tc>
          <w:tcPr>
            <w:tcW w:w="1134" w:type="dxa"/>
            <w:vMerge w:val="restart"/>
            <w:shd w:val="clear" w:color="auto" w:fill="D5DCE4" w:themeFill="text2" w:themeFillTint="33"/>
            <w:textDirection w:val="btLr"/>
            <w:vAlign w:val="center"/>
          </w:tcPr>
          <w:p w14:paraId="2CCC9799" w14:textId="77777777" w:rsidR="00D82E82" w:rsidRPr="007C734C" w:rsidRDefault="00D82E82" w:rsidP="009B1BC4">
            <w:pPr>
              <w:tabs>
                <w:tab w:val="left" w:pos="0"/>
              </w:tabs>
              <w:ind w:left="113" w:right="113"/>
              <w:jc w:val="center"/>
              <w:rPr>
                <w:rFonts w:cs="Segoe UI"/>
                <w:b/>
                <w:bCs/>
              </w:rPr>
            </w:pPr>
            <w:r w:rsidRPr="007C734C">
              <w:rPr>
                <w:rFonts w:cs="Segoe UI"/>
                <w:b/>
                <w:bCs/>
              </w:rPr>
              <w:lastRenderedPageBreak/>
              <w:t>Citlivost (nejvyšší skóre)</w:t>
            </w:r>
          </w:p>
        </w:tc>
        <w:tc>
          <w:tcPr>
            <w:tcW w:w="1134" w:type="dxa"/>
            <w:shd w:val="clear" w:color="auto" w:fill="D5DCE4" w:themeFill="text2" w:themeFillTint="33"/>
            <w:vAlign w:val="center"/>
          </w:tcPr>
          <w:p w14:paraId="3FE08BDE" w14:textId="77777777" w:rsidR="00D82E82" w:rsidRPr="007C734C" w:rsidRDefault="00D82E82" w:rsidP="009B1BC4">
            <w:pPr>
              <w:tabs>
                <w:tab w:val="left" w:pos="0"/>
              </w:tabs>
              <w:jc w:val="center"/>
              <w:rPr>
                <w:rFonts w:cs="Segoe UI"/>
              </w:rPr>
            </w:pPr>
            <w:r w:rsidRPr="007C734C">
              <w:rPr>
                <w:rFonts w:cs="Segoe UI"/>
              </w:rPr>
              <w:t>Vysoké</w:t>
            </w:r>
          </w:p>
        </w:tc>
        <w:tc>
          <w:tcPr>
            <w:tcW w:w="1086" w:type="dxa"/>
            <w:shd w:val="clear" w:color="auto" w:fill="FF0000"/>
            <w:vAlign w:val="center"/>
          </w:tcPr>
          <w:p w14:paraId="2462A1D6" w14:textId="77777777" w:rsidR="00D82E82" w:rsidRPr="007C734C" w:rsidRDefault="00D82E82" w:rsidP="009B1BC4">
            <w:pPr>
              <w:jc w:val="center"/>
              <w:rPr>
                <w:rFonts w:cs="Segoe UI"/>
                <w:i/>
                <w:iCs/>
              </w:rPr>
            </w:pPr>
            <w:proofErr w:type="spellStart"/>
            <w:r w:rsidRPr="007C734C">
              <w:rPr>
                <w:rFonts w:cs="Segoe UI"/>
                <w:i/>
                <w:iCs/>
              </w:rPr>
              <w:t>xxx</w:t>
            </w:r>
            <w:proofErr w:type="spellEnd"/>
          </w:p>
        </w:tc>
        <w:tc>
          <w:tcPr>
            <w:tcW w:w="1371" w:type="dxa"/>
            <w:shd w:val="clear" w:color="auto" w:fill="FF0000"/>
            <w:vAlign w:val="center"/>
          </w:tcPr>
          <w:p w14:paraId="76E74E94" w14:textId="77777777" w:rsidR="00D82E82" w:rsidRPr="007C734C" w:rsidRDefault="00D82E82" w:rsidP="009B1BC4">
            <w:pPr>
              <w:jc w:val="center"/>
              <w:rPr>
                <w:rFonts w:cs="Segoe UI"/>
                <w:i/>
                <w:iCs/>
              </w:rPr>
            </w:pPr>
            <w:proofErr w:type="spellStart"/>
            <w:r w:rsidRPr="007C734C">
              <w:rPr>
                <w:rFonts w:cs="Segoe UI"/>
                <w:i/>
                <w:iCs/>
              </w:rPr>
              <w:t>xxx</w:t>
            </w:r>
            <w:proofErr w:type="spellEnd"/>
          </w:p>
        </w:tc>
        <w:tc>
          <w:tcPr>
            <w:tcW w:w="1371" w:type="dxa"/>
            <w:shd w:val="clear" w:color="auto" w:fill="FFC000"/>
            <w:vAlign w:val="center"/>
          </w:tcPr>
          <w:p w14:paraId="22BE7AAE" w14:textId="77777777" w:rsidR="00D82E82" w:rsidRPr="007C734C" w:rsidRDefault="00D82E82" w:rsidP="009B1BC4">
            <w:pPr>
              <w:jc w:val="center"/>
              <w:rPr>
                <w:rFonts w:cs="Segoe UI"/>
                <w:i/>
                <w:iCs/>
              </w:rPr>
            </w:pPr>
            <w:proofErr w:type="spellStart"/>
            <w:r w:rsidRPr="007C734C">
              <w:rPr>
                <w:rFonts w:cs="Segoe UI"/>
                <w:i/>
                <w:iCs/>
              </w:rPr>
              <w:t>xxx</w:t>
            </w:r>
            <w:proofErr w:type="spellEnd"/>
          </w:p>
        </w:tc>
        <w:tc>
          <w:tcPr>
            <w:tcW w:w="353" w:type="dxa"/>
            <w:tcBorders>
              <w:top w:val="none" w:sz="4" w:space="0" w:color="000000"/>
              <w:bottom w:val="none" w:sz="4" w:space="0" w:color="000000"/>
              <w:right w:val="none" w:sz="4" w:space="0" w:color="000000"/>
            </w:tcBorders>
            <w:vAlign w:val="center"/>
          </w:tcPr>
          <w:p w14:paraId="007522E2" w14:textId="77777777" w:rsidR="00D82E82" w:rsidRPr="007C734C" w:rsidRDefault="00D82E82" w:rsidP="009B1BC4">
            <w:pPr>
              <w:jc w:val="center"/>
              <w:rPr>
                <w:rFonts w:cs="Segoe UI"/>
              </w:rPr>
            </w:pPr>
          </w:p>
        </w:tc>
        <w:tc>
          <w:tcPr>
            <w:tcW w:w="1206" w:type="dxa"/>
            <w:tcBorders>
              <w:top w:val="none" w:sz="4" w:space="0" w:color="000000"/>
              <w:left w:val="none" w:sz="4" w:space="0" w:color="000000"/>
              <w:bottom w:val="none" w:sz="4" w:space="0" w:color="000000"/>
              <w:right w:val="single" w:sz="4" w:space="0" w:color="auto"/>
            </w:tcBorders>
            <w:vAlign w:val="center"/>
          </w:tcPr>
          <w:p w14:paraId="28C7D806" w14:textId="77777777" w:rsidR="00D82E82" w:rsidRPr="007C734C" w:rsidRDefault="00D82E82" w:rsidP="009B1BC4">
            <w:pPr>
              <w:rPr>
                <w:rFonts w:cs="Segoe UI"/>
              </w:rPr>
            </w:pPr>
            <w:r w:rsidRPr="007C734C">
              <w:rPr>
                <w:rFonts w:cs="Segoe UI"/>
              </w:rPr>
              <w:t>Vysoká</w:t>
            </w:r>
          </w:p>
        </w:tc>
        <w:tc>
          <w:tcPr>
            <w:tcW w:w="1279" w:type="dxa"/>
            <w:tcBorders>
              <w:top w:val="single" w:sz="4" w:space="0" w:color="auto"/>
              <w:left w:val="single" w:sz="4" w:space="0" w:color="auto"/>
              <w:bottom w:val="single" w:sz="4" w:space="0" w:color="auto"/>
            </w:tcBorders>
            <w:shd w:val="clear" w:color="auto" w:fill="FF0000"/>
            <w:vAlign w:val="center"/>
          </w:tcPr>
          <w:p w14:paraId="15B72032" w14:textId="77777777" w:rsidR="00D82E82" w:rsidRPr="007C734C" w:rsidRDefault="00D82E82" w:rsidP="009B1BC4">
            <w:pPr>
              <w:rPr>
                <w:rFonts w:cs="Segoe UI"/>
              </w:rPr>
            </w:pPr>
          </w:p>
        </w:tc>
      </w:tr>
      <w:tr w:rsidR="00D82E82" w:rsidRPr="007C734C" w14:paraId="37A3B05E" w14:textId="77777777" w:rsidTr="009B1BC4">
        <w:trPr>
          <w:trHeight w:val="987"/>
        </w:trPr>
        <w:tc>
          <w:tcPr>
            <w:tcW w:w="1134" w:type="dxa"/>
            <w:vMerge/>
            <w:shd w:val="clear" w:color="auto" w:fill="D5DCE4" w:themeFill="text2" w:themeFillTint="33"/>
            <w:textDirection w:val="btLr"/>
            <w:vAlign w:val="center"/>
          </w:tcPr>
          <w:p w14:paraId="1207ECB8" w14:textId="77777777" w:rsidR="00D82E82" w:rsidRPr="007C734C" w:rsidRDefault="00D82E82" w:rsidP="009B1BC4">
            <w:pPr>
              <w:tabs>
                <w:tab w:val="left" w:pos="0"/>
              </w:tabs>
              <w:ind w:left="113" w:right="113"/>
              <w:jc w:val="center"/>
              <w:rPr>
                <w:rFonts w:cs="Segoe UI"/>
                <w:b/>
                <w:bCs/>
              </w:rPr>
            </w:pPr>
          </w:p>
        </w:tc>
        <w:tc>
          <w:tcPr>
            <w:tcW w:w="1134" w:type="dxa"/>
            <w:shd w:val="clear" w:color="auto" w:fill="D5DCE4" w:themeFill="text2" w:themeFillTint="33"/>
            <w:vAlign w:val="center"/>
          </w:tcPr>
          <w:p w14:paraId="5511196F" w14:textId="77777777" w:rsidR="00D82E82" w:rsidRPr="007C734C" w:rsidRDefault="00D82E82" w:rsidP="009B1BC4">
            <w:pPr>
              <w:tabs>
                <w:tab w:val="left" w:pos="0"/>
              </w:tabs>
              <w:jc w:val="center"/>
              <w:rPr>
                <w:rFonts w:cs="Segoe UI"/>
              </w:rPr>
            </w:pPr>
            <w:r w:rsidRPr="007C734C">
              <w:rPr>
                <w:rFonts w:cs="Segoe UI"/>
              </w:rPr>
              <w:t>Střední</w:t>
            </w:r>
          </w:p>
        </w:tc>
        <w:tc>
          <w:tcPr>
            <w:tcW w:w="1086" w:type="dxa"/>
            <w:shd w:val="clear" w:color="auto" w:fill="FF0000"/>
            <w:vAlign w:val="center"/>
          </w:tcPr>
          <w:p w14:paraId="0C099D91" w14:textId="77777777" w:rsidR="00D82E82" w:rsidRPr="007C734C" w:rsidRDefault="00D82E82" w:rsidP="009B1BC4">
            <w:pPr>
              <w:jc w:val="center"/>
              <w:rPr>
                <w:rFonts w:cs="Segoe UI"/>
                <w:i/>
                <w:iCs/>
              </w:rPr>
            </w:pPr>
            <w:proofErr w:type="spellStart"/>
            <w:r w:rsidRPr="007C734C">
              <w:rPr>
                <w:rFonts w:cs="Segoe UI"/>
                <w:i/>
                <w:iCs/>
              </w:rPr>
              <w:t>xxx</w:t>
            </w:r>
            <w:proofErr w:type="spellEnd"/>
          </w:p>
        </w:tc>
        <w:tc>
          <w:tcPr>
            <w:tcW w:w="1371" w:type="dxa"/>
            <w:shd w:val="clear" w:color="auto" w:fill="FFC000"/>
            <w:vAlign w:val="center"/>
          </w:tcPr>
          <w:p w14:paraId="67EE8490" w14:textId="77777777" w:rsidR="00D82E82" w:rsidRPr="007C734C" w:rsidRDefault="00D82E82" w:rsidP="009B1BC4">
            <w:pPr>
              <w:jc w:val="center"/>
              <w:rPr>
                <w:rFonts w:cs="Segoe UI"/>
                <w:i/>
                <w:iCs/>
              </w:rPr>
            </w:pPr>
            <w:proofErr w:type="spellStart"/>
            <w:r w:rsidRPr="007C734C">
              <w:rPr>
                <w:rFonts w:cs="Segoe UI"/>
                <w:i/>
                <w:iCs/>
              </w:rPr>
              <w:t>xxx</w:t>
            </w:r>
            <w:proofErr w:type="spellEnd"/>
          </w:p>
        </w:tc>
        <w:tc>
          <w:tcPr>
            <w:tcW w:w="1371" w:type="dxa"/>
            <w:shd w:val="clear" w:color="auto" w:fill="92D050"/>
            <w:vAlign w:val="center"/>
          </w:tcPr>
          <w:p w14:paraId="44606DB1" w14:textId="77777777" w:rsidR="00D82E82" w:rsidRPr="007C734C" w:rsidRDefault="00D82E82" w:rsidP="009B1BC4">
            <w:pPr>
              <w:jc w:val="center"/>
              <w:rPr>
                <w:rFonts w:cs="Segoe UI"/>
                <w:i/>
                <w:iCs/>
              </w:rPr>
            </w:pPr>
            <w:proofErr w:type="spellStart"/>
            <w:r w:rsidRPr="007C734C">
              <w:rPr>
                <w:rFonts w:cs="Segoe UI"/>
                <w:i/>
                <w:iCs/>
              </w:rPr>
              <w:t>xxx</w:t>
            </w:r>
            <w:proofErr w:type="spellEnd"/>
          </w:p>
        </w:tc>
        <w:tc>
          <w:tcPr>
            <w:tcW w:w="353" w:type="dxa"/>
            <w:tcBorders>
              <w:top w:val="none" w:sz="4" w:space="0" w:color="000000"/>
              <w:bottom w:val="none" w:sz="4" w:space="0" w:color="000000"/>
              <w:right w:val="none" w:sz="4" w:space="0" w:color="000000"/>
            </w:tcBorders>
            <w:vAlign w:val="center"/>
          </w:tcPr>
          <w:p w14:paraId="425CEFEC" w14:textId="77777777" w:rsidR="00D82E82" w:rsidRPr="007C734C" w:rsidRDefault="00D82E82" w:rsidP="009B1BC4">
            <w:pPr>
              <w:jc w:val="center"/>
              <w:rPr>
                <w:rFonts w:cs="Segoe UI"/>
              </w:rPr>
            </w:pPr>
          </w:p>
        </w:tc>
        <w:tc>
          <w:tcPr>
            <w:tcW w:w="1206" w:type="dxa"/>
            <w:tcBorders>
              <w:top w:val="none" w:sz="4" w:space="0" w:color="000000"/>
              <w:left w:val="none" w:sz="4" w:space="0" w:color="000000"/>
              <w:bottom w:val="none" w:sz="4" w:space="0" w:color="000000"/>
              <w:right w:val="single" w:sz="4" w:space="0" w:color="auto"/>
            </w:tcBorders>
            <w:vAlign w:val="center"/>
          </w:tcPr>
          <w:p w14:paraId="026D1BA9" w14:textId="77777777" w:rsidR="00D82E82" w:rsidRPr="007C734C" w:rsidRDefault="00D82E82" w:rsidP="009B1BC4">
            <w:pPr>
              <w:rPr>
                <w:rFonts w:cs="Segoe UI"/>
              </w:rPr>
            </w:pPr>
            <w:r w:rsidRPr="007C734C">
              <w:rPr>
                <w:rFonts w:cs="Segoe UI"/>
              </w:rPr>
              <w:t>Střední</w:t>
            </w:r>
          </w:p>
        </w:tc>
        <w:tc>
          <w:tcPr>
            <w:tcW w:w="1279" w:type="dxa"/>
            <w:tcBorders>
              <w:top w:val="single" w:sz="4" w:space="0" w:color="auto"/>
              <w:left w:val="single" w:sz="4" w:space="0" w:color="auto"/>
              <w:bottom w:val="single" w:sz="4" w:space="0" w:color="auto"/>
            </w:tcBorders>
            <w:shd w:val="clear" w:color="auto" w:fill="FFC000"/>
            <w:vAlign w:val="center"/>
          </w:tcPr>
          <w:p w14:paraId="2ECADD97" w14:textId="77777777" w:rsidR="00D82E82" w:rsidRPr="007C734C" w:rsidRDefault="00D82E82" w:rsidP="009B1BC4">
            <w:pPr>
              <w:rPr>
                <w:rFonts w:cs="Segoe UI"/>
              </w:rPr>
            </w:pPr>
          </w:p>
        </w:tc>
      </w:tr>
      <w:tr w:rsidR="00D82E82" w:rsidRPr="007C734C" w14:paraId="7952F3BC" w14:textId="77777777" w:rsidTr="009B1BC4">
        <w:trPr>
          <w:trHeight w:val="987"/>
        </w:trPr>
        <w:tc>
          <w:tcPr>
            <w:tcW w:w="1134" w:type="dxa"/>
            <w:vMerge/>
            <w:shd w:val="clear" w:color="auto" w:fill="D5DCE4" w:themeFill="text2" w:themeFillTint="33"/>
            <w:vAlign w:val="center"/>
          </w:tcPr>
          <w:p w14:paraId="1DB1CDB5" w14:textId="77777777" w:rsidR="00D82E82" w:rsidRPr="007C734C" w:rsidRDefault="00D82E82" w:rsidP="009B1BC4">
            <w:pPr>
              <w:tabs>
                <w:tab w:val="left" w:pos="0"/>
              </w:tabs>
              <w:jc w:val="center"/>
              <w:rPr>
                <w:rFonts w:cs="Segoe UI"/>
                <w:b/>
                <w:bCs/>
              </w:rPr>
            </w:pPr>
          </w:p>
        </w:tc>
        <w:tc>
          <w:tcPr>
            <w:tcW w:w="1134" w:type="dxa"/>
            <w:shd w:val="clear" w:color="auto" w:fill="D5DCE4" w:themeFill="text2" w:themeFillTint="33"/>
            <w:vAlign w:val="center"/>
          </w:tcPr>
          <w:p w14:paraId="492D5E23" w14:textId="77777777" w:rsidR="00D82E82" w:rsidRPr="007C734C" w:rsidRDefault="00D82E82" w:rsidP="009B1BC4">
            <w:pPr>
              <w:tabs>
                <w:tab w:val="left" w:pos="0"/>
              </w:tabs>
              <w:jc w:val="center"/>
              <w:rPr>
                <w:rFonts w:cs="Segoe UI"/>
              </w:rPr>
            </w:pPr>
            <w:r w:rsidRPr="007C734C">
              <w:rPr>
                <w:rFonts w:cs="Segoe UI"/>
              </w:rPr>
              <w:t>Nízké</w:t>
            </w:r>
          </w:p>
        </w:tc>
        <w:tc>
          <w:tcPr>
            <w:tcW w:w="1086" w:type="dxa"/>
            <w:shd w:val="clear" w:color="auto" w:fill="FFC000"/>
            <w:vAlign w:val="center"/>
          </w:tcPr>
          <w:p w14:paraId="6C814632" w14:textId="77777777" w:rsidR="00D82E82" w:rsidRPr="007C734C" w:rsidRDefault="00D82E82" w:rsidP="009B1BC4">
            <w:pPr>
              <w:jc w:val="center"/>
              <w:rPr>
                <w:rFonts w:cs="Segoe UI"/>
                <w:i/>
                <w:iCs/>
              </w:rPr>
            </w:pPr>
            <w:proofErr w:type="spellStart"/>
            <w:r w:rsidRPr="007C734C">
              <w:rPr>
                <w:rFonts w:cs="Segoe UI"/>
                <w:i/>
                <w:iCs/>
              </w:rPr>
              <w:t>xxx</w:t>
            </w:r>
            <w:proofErr w:type="spellEnd"/>
          </w:p>
        </w:tc>
        <w:tc>
          <w:tcPr>
            <w:tcW w:w="1371" w:type="dxa"/>
            <w:shd w:val="clear" w:color="auto" w:fill="92D050"/>
            <w:vAlign w:val="center"/>
          </w:tcPr>
          <w:p w14:paraId="366ED211" w14:textId="77777777" w:rsidR="00D82E82" w:rsidRPr="007C734C" w:rsidRDefault="00D82E82" w:rsidP="009B1BC4">
            <w:pPr>
              <w:jc w:val="center"/>
              <w:rPr>
                <w:rFonts w:cs="Segoe UI"/>
                <w:i/>
                <w:iCs/>
              </w:rPr>
            </w:pPr>
            <w:proofErr w:type="spellStart"/>
            <w:r w:rsidRPr="007C734C">
              <w:rPr>
                <w:rFonts w:cs="Segoe UI"/>
                <w:i/>
                <w:iCs/>
              </w:rPr>
              <w:t>xxx</w:t>
            </w:r>
            <w:proofErr w:type="spellEnd"/>
          </w:p>
        </w:tc>
        <w:tc>
          <w:tcPr>
            <w:tcW w:w="1371" w:type="dxa"/>
            <w:shd w:val="clear" w:color="auto" w:fill="92D050"/>
            <w:vAlign w:val="center"/>
          </w:tcPr>
          <w:p w14:paraId="547DB136" w14:textId="77777777" w:rsidR="00D82E82" w:rsidRPr="007C734C" w:rsidRDefault="00D82E82" w:rsidP="009B1BC4">
            <w:pPr>
              <w:jc w:val="center"/>
              <w:rPr>
                <w:rFonts w:cs="Segoe UI"/>
                <w:i/>
                <w:iCs/>
              </w:rPr>
            </w:pPr>
            <w:proofErr w:type="spellStart"/>
            <w:r w:rsidRPr="007C734C">
              <w:rPr>
                <w:rFonts w:cs="Segoe UI"/>
                <w:i/>
                <w:iCs/>
              </w:rPr>
              <w:t>xxx</w:t>
            </w:r>
            <w:proofErr w:type="spellEnd"/>
          </w:p>
        </w:tc>
        <w:tc>
          <w:tcPr>
            <w:tcW w:w="353" w:type="dxa"/>
            <w:tcBorders>
              <w:top w:val="none" w:sz="4" w:space="0" w:color="000000"/>
              <w:right w:val="none" w:sz="4" w:space="0" w:color="000000"/>
            </w:tcBorders>
            <w:vAlign w:val="center"/>
          </w:tcPr>
          <w:p w14:paraId="7504590E" w14:textId="77777777" w:rsidR="00D82E82" w:rsidRPr="007C734C" w:rsidRDefault="00D82E82" w:rsidP="009B1BC4">
            <w:pPr>
              <w:jc w:val="center"/>
              <w:rPr>
                <w:rFonts w:cs="Segoe UI"/>
              </w:rPr>
            </w:pPr>
          </w:p>
        </w:tc>
        <w:tc>
          <w:tcPr>
            <w:tcW w:w="1206" w:type="dxa"/>
            <w:tcBorders>
              <w:top w:val="none" w:sz="4" w:space="0" w:color="000000"/>
              <w:left w:val="none" w:sz="4" w:space="0" w:color="000000"/>
              <w:right w:val="single" w:sz="4" w:space="0" w:color="auto"/>
            </w:tcBorders>
            <w:vAlign w:val="center"/>
          </w:tcPr>
          <w:p w14:paraId="42D95244" w14:textId="77777777" w:rsidR="00D82E82" w:rsidRPr="007C734C" w:rsidRDefault="00D82E82" w:rsidP="009B1BC4">
            <w:pPr>
              <w:rPr>
                <w:rFonts w:cs="Segoe UI"/>
              </w:rPr>
            </w:pPr>
            <w:r w:rsidRPr="007C734C">
              <w:rPr>
                <w:rFonts w:cs="Segoe UI"/>
              </w:rPr>
              <w:t>Nízká</w:t>
            </w:r>
          </w:p>
        </w:tc>
        <w:tc>
          <w:tcPr>
            <w:tcW w:w="1279" w:type="dxa"/>
            <w:tcBorders>
              <w:top w:val="single" w:sz="4" w:space="0" w:color="auto"/>
              <w:left w:val="single" w:sz="4" w:space="0" w:color="auto"/>
            </w:tcBorders>
            <w:shd w:val="clear" w:color="auto" w:fill="92D050"/>
            <w:vAlign w:val="center"/>
          </w:tcPr>
          <w:p w14:paraId="2635CF00" w14:textId="77777777" w:rsidR="00D82E82" w:rsidRPr="007C734C" w:rsidRDefault="00D82E82" w:rsidP="009B1BC4">
            <w:pPr>
              <w:rPr>
                <w:rFonts w:cs="Segoe UI"/>
              </w:rPr>
            </w:pPr>
          </w:p>
        </w:tc>
      </w:tr>
      <w:tr w:rsidR="00D82E82" w:rsidRPr="007C734C" w14:paraId="78DC6CCF" w14:textId="77777777" w:rsidTr="009B1BC4">
        <w:trPr>
          <w:trHeight w:val="613"/>
        </w:trPr>
        <w:tc>
          <w:tcPr>
            <w:tcW w:w="2268" w:type="dxa"/>
            <w:gridSpan w:val="2"/>
            <w:vMerge w:val="restart"/>
            <w:shd w:val="clear" w:color="auto" w:fill="D5DCE4" w:themeFill="text2" w:themeFillTint="33"/>
            <w:vAlign w:val="center"/>
          </w:tcPr>
          <w:p w14:paraId="7E5D7119" w14:textId="77777777" w:rsidR="00D82E82" w:rsidRPr="007C734C" w:rsidRDefault="00D82E82" w:rsidP="009B1BC4">
            <w:pPr>
              <w:tabs>
                <w:tab w:val="left" w:pos="0"/>
              </w:tabs>
              <w:jc w:val="center"/>
              <w:rPr>
                <w:rFonts w:cs="Segoe UI"/>
                <w:b/>
                <w:bCs/>
              </w:rPr>
            </w:pPr>
            <w:r w:rsidRPr="007C734C">
              <w:rPr>
                <w:rFonts w:cs="Segoe UI"/>
                <w:b/>
                <w:bCs/>
              </w:rPr>
              <w:t>Extrémně vysoké teploty</w:t>
            </w:r>
          </w:p>
        </w:tc>
        <w:tc>
          <w:tcPr>
            <w:tcW w:w="3828" w:type="dxa"/>
            <w:gridSpan w:val="3"/>
            <w:shd w:val="clear" w:color="auto" w:fill="D5DCE4" w:themeFill="text2" w:themeFillTint="33"/>
            <w:vAlign w:val="center"/>
          </w:tcPr>
          <w:p w14:paraId="61C8CB62" w14:textId="77777777" w:rsidR="00D82E82" w:rsidRPr="007C734C" w:rsidRDefault="00D82E82" w:rsidP="009B1BC4">
            <w:pPr>
              <w:jc w:val="center"/>
              <w:rPr>
                <w:rFonts w:cs="Segoe UI"/>
                <w:b/>
                <w:bCs/>
              </w:rPr>
            </w:pPr>
            <w:r w:rsidRPr="007C734C">
              <w:rPr>
                <w:rFonts w:cs="Segoe UI"/>
                <w:b/>
                <w:bCs/>
              </w:rPr>
              <w:t>Expozice (nejvyšší skóre)</w:t>
            </w:r>
          </w:p>
        </w:tc>
        <w:tc>
          <w:tcPr>
            <w:tcW w:w="353" w:type="dxa"/>
            <w:tcBorders>
              <w:bottom w:val="none" w:sz="4" w:space="0" w:color="000000"/>
              <w:right w:val="none" w:sz="4" w:space="0" w:color="000000"/>
            </w:tcBorders>
            <w:vAlign w:val="center"/>
          </w:tcPr>
          <w:p w14:paraId="6F2F5FD1" w14:textId="77777777" w:rsidR="00D82E82" w:rsidRPr="007C734C" w:rsidRDefault="00D82E82" w:rsidP="009B1BC4">
            <w:pPr>
              <w:jc w:val="center"/>
              <w:rPr>
                <w:rFonts w:cs="Segoe UI"/>
                <w:b/>
                <w:bCs/>
              </w:rPr>
            </w:pPr>
          </w:p>
        </w:tc>
        <w:tc>
          <w:tcPr>
            <w:tcW w:w="1206" w:type="dxa"/>
            <w:tcBorders>
              <w:left w:val="none" w:sz="4" w:space="0" w:color="000000"/>
              <w:bottom w:val="none" w:sz="4" w:space="0" w:color="000000"/>
              <w:right w:val="none" w:sz="4" w:space="0" w:color="000000"/>
            </w:tcBorders>
            <w:vAlign w:val="center"/>
          </w:tcPr>
          <w:p w14:paraId="077BC060" w14:textId="77777777" w:rsidR="00D82E82" w:rsidRPr="007C734C" w:rsidRDefault="00D82E82" w:rsidP="009B1BC4">
            <w:pPr>
              <w:rPr>
                <w:rFonts w:cs="Segoe UI"/>
                <w:b/>
                <w:bCs/>
              </w:rPr>
            </w:pPr>
          </w:p>
        </w:tc>
        <w:tc>
          <w:tcPr>
            <w:tcW w:w="1279" w:type="dxa"/>
            <w:tcBorders>
              <w:left w:val="none" w:sz="4" w:space="0" w:color="000000"/>
              <w:bottom w:val="none" w:sz="4" w:space="0" w:color="000000"/>
            </w:tcBorders>
            <w:vAlign w:val="center"/>
          </w:tcPr>
          <w:p w14:paraId="318FE8A2" w14:textId="77777777" w:rsidR="00D82E82" w:rsidRPr="007C734C" w:rsidRDefault="00D82E82" w:rsidP="009B1BC4">
            <w:pPr>
              <w:rPr>
                <w:rFonts w:cs="Segoe UI"/>
                <w:b/>
                <w:bCs/>
              </w:rPr>
            </w:pPr>
          </w:p>
        </w:tc>
      </w:tr>
      <w:tr w:rsidR="00D82E82" w:rsidRPr="007C734C" w14:paraId="6297CC9A" w14:textId="77777777" w:rsidTr="009B1BC4">
        <w:trPr>
          <w:trHeight w:val="885"/>
        </w:trPr>
        <w:tc>
          <w:tcPr>
            <w:tcW w:w="2268" w:type="dxa"/>
            <w:gridSpan w:val="2"/>
            <w:vMerge/>
            <w:tcBorders>
              <w:bottom w:val="single" w:sz="4" w:space="0" w:color="auto"/>
            </w:tcBorders>
            <w:shd w:val="clear" w:color="auto" w:fill="D5DCE4" w:themeFill="text2" w:themeFillTint="33"/>
            <w:vAlign w:val="center"/>
          </w:tcPr>
          <w:p w14:paraId="3B4738DC" w14:textId="77777777" w:rsidR="00D82E82" w:rsidRPr="007C734C" w:rsidRDefault="00D82E82" w:rsidP="009B1BC4">
            <w:pPr>
              <w:tabs>
                <w:tab w:val="left" w:pos="0"/>
              </w:tabs>
              <w:jc w:val="center"/>
              <w:rPr>
                <w:rFonts w:cs="Segoe UI"/>
                <w:b/>
                <w:bCs/>
              </w:rPr>
            </w:pPr>
          </w:p>
        </w:tc>
        <w:tc>
          <w:tcPr>
            <w:tcW w:w="1086" w:type="dxa"/>
            <w:tcBorders>
              <w:bottom w:val="single" w:sz="4" w:space="0" w:color="auto"/>
            </w:tcBorders>
            <w:shd w:val="clear" w:color="auto" w:fill="D5DCE4" w:themeFill="text2" w:themeFillTint="33"/>
            <w:vAlign w:val="center"/>
          </w:tcPr>
          <w:p w14:paraId="365D2CE9" w14:textId="77777777" w:rsidR="00D82E82" w:rsidRPr="007C734C" w:rsidRDefault="00D82E82" w:rsidP="009B1BC4">
            <w:pPr>
              <w:jc w:val="center"/>
              <w:rPr>
                <w:rFonts w:cs="Segoe UI"/>
              </w:rPr>
            </w:pPr>
            <w:r w:rsidRPr="007C734C">
              <w:rPr>
                <w:rFonts w:cs="Segoe UI"/>
              </w:rPr>
              <w:t>Vysoké</w:t>
            </w:r>
          </w:p>
        </w:tc>
        <w:tc>
          <w:tcPr>
            <w:tcW w:w="1371" w:type="dxa"/>
            <w:tcBorders>
              <w:bottom w:val="single" w:sz="4" w:space="0" w:color="auto"/>
            </w:tcBorders>
            <w:shd w:val="clear" w:color="auto" w:fill="D5DCE4" w:themeFill="text2" w:themeFillTint="33"/>
            <w:vAlign w:val="center"/>
          </w:tcPr>
          <w:p w14:paraId="2F90AA15" w14:textId="77777777" w:rsidR="00D82E82" w:rsidRPr="007C734C" w:rsidRDefault="00D82E82" w:rsidP="009B1BC4">
            <w:pPr>
              <w:jc w:val="center"/>
              <w:rPr>
                <w:rFonts w:cs="Segoe UI"/>
              </w:rPr>
            </w:pPr>
            <w:r w:rsidRPr="007C734C">
              <w:rPr>
                <w:rFonts w:cs="Segoe UI"/>
              </w:rPr>
              <w:t>Střední</w:t>
            </w:r>
          </w:p>
        </w:tc>
        <w:tc>
          <w:tcPr>
            <w:tcW w:w="1371" w:type="dxa"/>
            <w:tcBorders>
              <w:bottom w:val="single" w:sz="4" w:space="0" w:color="auto"/>
            </w:tcBorders>
            <w:shd w:val="clear" w:color="auto" w:fill="D5DCE4" w:themeFill="text2" w:themeFillTint="33"/>
            <w:vAlign w:val="center"/>
          </w:tcPr>
          <w:p w14:paraId="5BD9AD63" w14:textId="77777777" w:rsidR="00D82E82" w:rsidRPr="007C734C" w:rsidRDefault="00D82E82" w:rsidP="009B1BC4">
            <w:pPr>
              <w:jc w:val="center"/>
              <w:rPr>
                <w:rFonts w:cs="Segoe UI"/>
              </w:rPr>
            </w:pPr>
            <w:r w:rsidRPr="007C734C">
              <w:rPr>
                <w:rFonts w:cs="Segoe UI"/>
              </w:rPr>
              <w:t>Nízké</w:t>
            </w:r>
          </w:p>
        </w:tc>
        <w:tc>
          <w:tcPr>
            <w:tcW w:w="353" w:type="dxa"/>
            <w:tcBorders>
              <w:top w:val="none" w:sz="4" w:space="0" w:color="000000"/>
              <w:bottom w:val="none" w:sz="4" w:space="0" w:color="000000"/>
              <w:right w:val="none" w:sz="4" w:space="0" w:color="000000"/>
            </w:tcBorders>
            <w:vAlign w:val="center"/>
          </w:tcPr>
          <w:p w14:paraId="48DD8CED" w14:textId="77777777" w:rsidR="00D82E82" w:rsidRPr="007C734C" w:rsidRDefault="00D82E82" w:rsidP="009B1BC4">
            <w:pPr>
              <w:jc w:val="center"/>
              <w:rPr>
                <w:rFonts w:cs="Segoe UI"/>
              </w:rPr>
            </w:pPr>
          </w:p>
        </w:tc>
        <w:tc>
          <w:tcPr>
            <w:tcW w:w="2485" w:type="dxa"/>
            <w:gridSpan w:val="2"/>
            <w:tcBorders>
              <w:top w:val="none" w:sz="4" w:space="0" w:color="000000"/>
              <w:left w:val="none" w:sz="4" w:space="0" w:color="000000"/>
              <w:bottom w:val="none" w:sz="4" w:space="0" w:color="000000"/>
            </w:tcBorders>
            <w:vAlign w:val="center"/>
          </w:tcPr>
          <w:p w14:paraId="76743164" w14:textId="77777777" w:rsidR="00D82E82" w:rsidRPr="007C734C" w:rsidRDefault="00D82E82" w:rsidP="009B1BC4">
            <w:pPr>
              <w:rPr>
                <w:rFonts w:cs="Segoe UI"/>
              </w:rPr>
            </w:pPr>
            <w:r w:rsidRPr="007C734C">
              <w:rPr>
                <w:rFonts w:cs="Segoe UI"/>
              </w:rPr>
              <w:t>Úroveň zranitelnosti:</w:t>
            </w:r>
          </w:p>
        </w:tc>
      </w:tr>
      <w:tr w:rsidR="00D82E82" w:rsidRPr="007C734C" w14:paraId="0C189F33" w14:textId="77777777" w:rsidTr="009B1BC4">
        <w:trPr>
          <w:trHeight w:val="987"/>
        </w:trPr>
        <w:tc>
          <w:tcPr>
            <w:tcW w:w="1134" w:type="dxa"/>
            <w:vMerge w:val="restart"/>
            <w:shd w:val="clear" w:color="auto" w:fill="D5DCE4" w:themeFill="text2" w:themeFillTint="33"/>
            <w:textDirection w:val="btLr"/>
            <w:vAlign w:val="center"/>
          </w:tcPr>
          <w:p w14:paraId="749112C6" w14:textId="77777777" w:rsidR="00D82E82" w:rsidRPr="007C734C" w:rsidRDefault="00D82E82" w:rsidP="009B1BC4">
            <w:pPr>
              <w:tabs>
                <w:tab w:val="left" w:pos="0"/>
              </w:tabs>
              <w:ind w:left="113" w:right="113"/>
              <w:jc w:val="center"/>
              <w:rPr>
                <w:rFonts w:cs="Segoe UI"/>
                <w:b/>
                <w:bCs/>
              </w:rPr>
            </w:pPr>
            <w:r w:rsidRPr="007C734C">
              <w:rPr>
                <w:rFonts w:cs="Segoe UI"/>
                <w:b/>
                <w:bCs/>
              </w:rPr>
              <w:t>Citlivost (nejvyšší skóre)</w:t>
            </w:r>
          </w:p>
        </w:tc>
        <w:tc>
          <w:tcPr>
            <w:tcW w:w="1134" w:type="dxa"/>
            <w:shd w:val="clear" w:color="auto" w:fill="D5DCE4" w:themeFill="text2" w:themeFillTint="33"/>
            <w:vAlign w:val="center"/>
          </w:tcPr>
          <w:p w14:paraId="7C8A262B" w14:textId="77777777" w:rsidR="00D82E82" w:rsidRPr="007C734C" w:rsidRDefault="00D82E82" w:rsidP="009B1BC4">
            <w:pPr>
              <w:tabs>
                <w:tab w:val="left" w:pos="0"/>
              </w:tabs>
              <w:jc w:val="center"/>
              <w:rPr>
                <w:rFonts w:cs="Segoe UI"/>
              </w:rPr>
            </w:pPr>
            <w:r w:rsidRPr="007C734C">
              <w:rPr>
                <w:rFonts w:cs="Segoe UI"/>
              </w:rPr>
              <w:t>Vysoké</w:t>
            </w:r>
          </w:p>
        </w:tc>
        <w:tc>
          <w:tcPr>
            <w:tcW w:w="1086" w:type="dxa"/>
            <w:shd w:val="clear" w:color="auto" w:fill="FF0000"/>
            <w:vAlign w:val="center"/>
          </w:tcPr>
          <w:p w14:paraId="5AE743B8" w14:textId="77777777" w:rsidR="00D82E82" w:rsidRPr="007C734C" w:rsidRDefault="00D82E82" w:rsidP="009B1BC4">
            <w:pPr>
              <w:jc w:val="center"/>
              <w:rPr>
                <w:rFonts w:cs="Segoe UI"/>
                <w:i/>
                <w:iCs/>
              </w:rPr>
            </w:pPr>
            <w:proofErr w:type="spellStart"/>
            <w:r w:rsidRPr="007C734C">
              <w:rPr>
                <w:rFonts w:cs="Segoe UI"/>
                <w:i/>
                <w:iCs/>
              </w:rPr>
              <w:t>xxx</w:t>
            </w:r>
            <w:proofErr w:type="spellEnd"/>
          </w:p>
        </w:tc>
        <w:tc>
          <w:tcPr>
            <w:tcW w:w="1371" w:type="dxa"/>
            <w:shd w:val="clear" w:color="auto" w:fill="FF0000"/>
            <w:vAlign w:val="center"/>
          </w:tcPr>
          <w:p w14:paraId="751DCCAC" w14:textId="77777777" w:rsidR="00D82E82" w:rsidRPr="007C734C" w:rsidRDefault="00D82E82" w:rsidP="009B1BC4">
            <w:pPr>
              <w:jc w:val="center"/>
              <w:rPr>
                <w:rFonts w:cs="Segoe UI"/>
                <w:i/>
                <w:iCs/>
              </w:rPr>
            </w:pPr>
            <w:proofErr w:type="spellStart"/>
            <w:r w:rsidRPr="007C734C">
              <w:rPr>
                <w:rFonts w:cs="Segoe UI"/>
                <w:i/>
                <w:iCs/>
              </w:rPr>
              <w:t>xxx</w:t>
            </w:r>
            <w:proofErr w:type="spellEnd"/>
          </w:p>
        </w:tc>
        <w:tc>
          <w:tcPr>
            <w:tcW w:w="1371" w:type="dxa"/>
            <w:shd w:val="clear" w:color="auto" w:fill="FFC000"/>
            <w:vAlign w:val="center"/>
          </w:tcPr>
          <w:p w14:paraId="1341D2BB" w14:textId="77777777" w:rsidR="00D82E82" w:rsidRPr="007C734C" w:rsidRDefault="00D82E82" w:rsidP="009B1BC4">
            <w:pPr>
              <w:jc w:val="center"/>
              <w:rPr>
                <w:rFonts w:cs="Segoe UI"/>
                <w:i/>
                <w:iCs/>
              </w:rPr>
            </w:pPr>
            <w:proofErr w:type="spellStart"/>
            <w:r w:rsidRPr="007C734C">
              <w:rPr>
                <w:rFonts w:cs="Segoe UI"/>
                <w:i/>
                <w:iCs/>
              </w:rPr>
              <w:t>xxx</w:t>
            </w:r>
            <w:proofErr w:type="spellEnd"/>
          </w:p>
        </w:tc>
        <w:tc>
          <w:tcPr>
            <w:tcW w:w="353" w:type="dxa"/>
            <w:tcBorders>
              <w:top w:val="none" w:sz="4" w:space="0" w:color="000000"/>
              <w:bottom w:val="none" w:sz="4" w:space="0" w:color="000000"/>
              <w:right w:val="none" w:sz="4" w:space="0" w:color="000000"/>
            </w:tcBorders>
            <w:vAlign w:val="center"/>
          </w:tcPr>
          <w:p w14:paraId="5F3E074E" w14:textId="77777777" w:rsidR="00D82E82" w:rsidRPr="007C734C" w:rsidRDefault="00D82E82" w:rsidP="009B1BC4">
            <w:pPr>
              <w:jc w:val="center"/>
              <w:rPr>
                <w:rFonts w:cs="Segoe UI"/>
              </w:rPr>
            </w:pPr>
          </w:p>
        </w:tc>
        <w:tc>
          <w:tcPr>
            <w:tcW w:w="1206" w:type="dxa"/>
            <w:tcBorders>
              <w:top w:val="none" w:sz="4" w:space="0" w:color="000000"/>
              <w:left w:val="none" w:sz="4" w:space="0" w:color="000000"/>
              <w:bottom w:val="none" w:sz="4" w:space="0" w:color="000000"/>
              <w:right w:val="single" w:sz="4" w:space="0" w:color="auto"/>
            </w:tcBorders>
            <w:vAlign w:val="center"/>
          </w:tcPr>
          <w:p w14:paraId="69AB1E17" w14:textId="77777777" w:rsidR="00D82E82" w:rsidRPr="007C734C" w:rsidRDefault="00D82E82" w:rsidP="009B1BC4">
            <w:pPr>
              <w:rPr>
                <w:rFonts w:cs="Segoe UI"/>
              </w:rPr>
            </w:pPr>
            <w:r w:rsidRPr="007C734C">
              <w:rPr>
                <w:rFonts w:cs="Segoe UI"/>
              </w:rPr>
              <w:t>Vysoká</w:t>
            </w:r>
          </w:p>
        </w:tc>
        <w:tc>
          <w:tcPr>
            <w:tcW w:w="1279" w:type="dxa"/>
            <w:tcBorders>
              <w:top w:val="single" w:sz="4" w:space="0" w:color="auto"/>
              <w:left w:val="single" w:sz="4" w:space="0" w:color="auto"/>
              <w:bottom w:val="single" w:sz="4" w:space="0" w:color="auto"/>
            </w:tcBorders>
            <w:shd w:val="clear" w:color="auto" w:fill="FF0000"/>
            <w:vAlign w:val="center"/>
          </w:tcPr>
          <w:p w14:paraId="64AE41A1" w14:textId="77777777" w:rsidR="00D82E82" w:rsidRPr="007C734C" w:rsidRDefault="00D82E82" w:rsidP="009B1BC4">
            <w:pPr>
              <w:rPr>
                <w:rFonts w:cs="Segoe UI"/>
              </w:rPr>
            </w:pPr>
          </w:p>
        </w:tc>
      </w:tr>
      <w:tr w:rsidR="00D82E82" w:rsidRPr="007C734C" w14:paraId="1AE4DDC8" w14:textId="77777777" w:rsidTr="009B1BC4">
        <w:trPr>
          <w:trHeight w:val="987"/>
        </w:trPr>
        <w:tc>
          <w:tcPr>
            <w:tcW w:w="1134" w:type="dxa"/>
            <w:vMerge/>
            <w:shd w:val="clear" w:color="auto" w:fill="D5DCE4" w:themeFill="text2" w:themeFillTint="33"/>
            <w:textDirection w:val="btLr"/>
            <w:vAlign w:val="center"/>
          </w:tcPr>
          <w:p w14:paraId="27A0159C" w14:textId="77777777" w:rsidR="00D82E82" w:rsidRPr="007C734C" w:rsidRDefault="00D82E82" w:rsidP="009B1BC4">
            <w:pPr>
              <w:tabs>
                <w:tab w:val="left" w:pos="0"/>
              </w:tabs>
              <w:ind w:left="113" w:right="113"/>
              <w:jc w:val="center"/>
              <w:rPr>
                <w:rFonts w:cs="Segoe UI"/>
                <w:b/>
                <w:bCs/>
              </w:rPr>
            </w:pPr>
          </w:p>
        </w:tc>
        <w:tc>
          <w:tcPr>
            <w:tcW w:w="1134" w:type="dxa"/>
            <w:shd w:val="clear" w:color="auto" w:fill="D5DCE4" w:themeFill="text2" w:themeFillTint="33"/>
            <w:vAlign w:val="center"/>
          </w:tcPr>
          <w:p w14:paraId="4369D059" w14:textId="77777777" w:rsidR="00D82E82" w:rsidRPr="007C734C" w:rsidRDefault="00D82E82" w:rsidP="009B1BC4">
            <w:pPr>
              <w:tabs>
                <w:tab w:val="left" w:pos="0"/>
              </w:tabs>
              <w:jc w:val="center"/>
              <w:rPr>
                <w:rFonts w:cs="Segoe UI"/>
              </w:rPr>
            </w:pPr>
            <w:r w:rsidRPr="007C734C">
              <w:rPr>
                <w:rFonts w:cs="Segoe UI"/>
              </w:rPr>
              <w:t>Střední</w:t>
            </w:r>
          </w:p>
        </w:tc>
        <w:tc>
          <w:tcPr>
            <w:tcW w:w="1086" w:type="dxa"/>
            <w:shd w:val="clear" w:color="auto" w:fill="FF0000"/>
            <w:vAlign w:val="center"/>
          </w:tcPr>
          <w:p w14:paraId="4D6AB588" w14:textId="77777777" w:rsidR="00D82E82" w:rsidRPr="007C734C" w:rsidRDefault="00D82E82" w:rsidP="009B1BC4">
            <w:pPr>
              <w:jc w:val="center"/>
              <w:rPr>
                <w:rFonts w:cs="Segoe UI"/>
                <w:i/>
                <w:iCs/>
              </w:rPr>
            </w:pPr>
            <w:proofErr w:type="spellStart"/>
            <w:r w:rsidRPr="007C734C">
              <w:rPr>
                <w:rFonts w:cs="Segoe UI"/>
                <w:i/>
                <w:iCs/>
              </w:rPr>
              <w:t>xxx</w:t>
            </w:r>
            <w:proofErr w:type="spellEnd"/>
          </w:p>
        </w:tc>
        <w:tc>
          <w:tcPr>
            <w:tcW w:w="1371" w:type="dxa"/>
            <w:shd w:val="clear" w:color="auto" w:fill="FFC000"/>
            <w:vAlign w:val="center"/>
          </w:tcPr>
          <w:p w14:paraId="11C2FC06" w14:textId="77777777" w:rsidR="00D82E82" w:rsidRPr="007C734C" w:rsidRDefault="00D82E82" w:rsidP="009B1BC4">
            <w:pPr>
              <w:jc w:val="center"/>
              <w:rPr>
                <w:rFonts w:cs="Segoe UI"/>
                <w:i/>
                <w:iCs/>
              </w:rPr>
            </w:pPr>
            <w:proofErr w:type="spellStart"/>
            <w:r w:rsidRPr="007C734C">
              <w:rPr>
                <w:rFonts w:cs="Segoe UI"/>
                <w:i/>
                <w:iCs/>
              </w:rPr>
              <w:t>xxx</w:t>
            </w:r>
            <w:proofErr w:type="spellEnd"/>
          </w:p>
        </w:tc>
        <w:tc>
          <w:tcPr>
            <w:tcW w:w="1371" w:type="dxa"/>
            <w:shd w:val="clear" w:color="auto" w:fill="92D050"/>
            <w:vAlign w:val="center"/>
          </w:tcPr>
          <w:p w14:paraId="004B2EF3" w14:textId="77777777" w:rsidR="00D82E82" w:rsidRPr="007C734C" w:rsidRDefault="00D82E82" w:rsidP="009B1BC4">
            <w:pPr>
              <w:jc w:val="center"/>
              <w:rPr>
                <w:rFonts w:cs="Segoe UI"/>
                <w:i/>
                <w:iCs/>
              </w:rPr>
            </w:pPr>
            <w:proofErr w:type="spellStart"/>
            <w:r w:rsidRPr="007C734C">
              <w:rPr>
                <w:rFonts w:cs="Segoe UI"/>
                <w:i/>
                <w:iCs/>
              </w:rPr>
              <w:t>xxx</w:t>
            </w:r>
            <w:proofErr w:type="spellEnd"/>
          </w:p>
        </w:tc>
        <w:tc>
          <w:tcPr>
            <w:tcW w:w="353" w:type="dxa"/>
            <w:tcBorders>
              <w:top w:val="none" w:sz="4" w:space="0" w:color="000000"/>
              <w:bottom w:val="none" w:sz="4" w:space="0" w:color="000000"/>
              <w:right w:val="none" w:sz="4" w:space="0" w:color="000000"/>
            </w:tcBorders>
            <w:vAlign w:val="center"/>
          </w:tcPr>
          <w:p w14:paraId="5F54DFAA" w14:textId="77777777" w:rsidR="00D82E82" w:rsidRPr="007C734C" w:rsidRDefault="00D82E82" w:rsidP="009B1BC4">
            <w:pPr>
              <w:jc w:val="center"/>
              <w:rPr>
                <w:rFonts w:cs="Segoe UI"/>
              </w:rPr>
            </w:pPr>
          </w:p>
        </w:tc>
        <w:tc>
          <w:tcPr>
            <w:tcW w:w="1206" w:type="dxa"/>
            <w:tcBorders>
              <w:top w:val="none" w:sz="4" w:space="0" w:color="000000"/>
              <w:left w:val="none" w:sz="4" w:space="0" w:color="000000"/>
              <w:bottom w:val="none" w:sz="4" w:space="0" w:color="000000"/>
              <w:right w:val="single" w:sz="4" w:space="0" w:color="auto"/>
            </w:tcBorders>
            <w:vAlign w:val="center"/>
          </w:tcPr>
          <w:p w14:paraId="56157039" w14:textId="77777777" w:rsidR="00D82E82" w:rsidRPr="007C734C" w:rsidRDefault="00D82E82" w:rsidP="009B1BC4">
            <w:pPr>
              <w:rPr>
                <w:rFonts w:cs="Segoe UI"/>
              </w:rPr>
            </w:pPr>
            <w:r w:rsidRPr="007C734C">
              <w:rPr>
                <w:rFonts w:cs="Segoe UI"/>
              </w:rPr>
              <w:t>Střední</w:t>
            </w:r>
          </w:p>
        </w:tc>
        <w:tc>
          <w:tcPr>
            <w:tcW w:w="1279" w:type="dxa"/>
            <w:tcBorders>
              <w:top w:val="single" w:sz="4" w:space="0" w:color="auto"/>
              <w:left w:val="single" w:sz="4" w:space="0" w:color="auto"/>
              <w:bottom w:val="single" w:sz="4" w:space="0" w:color="auto"/>
            </w:tcBorders>
            <w:shd w:val="clear" w:color="auto" w:fill="FFC000"/>
            <w:vAlign w:val="center"/>
          </w:tcPr>
          <w:p w14:paraId="0F7F1F6A" w14:textId="77777777" w:rsidR="00D82E82" w:rsidRPr="007C734C" w:rsidRDefault="00D82E82" w:rsidP="009B1BC4">
            <w:pPr>
              <w:rPr>
                <w:rFonts w:cs="Segoe UI"/>
              </w:rPr>
            </w:pPr>
          </w:p>
        </w:tc>
      </w:tr>
      <w:tr w:rsidR="00D82E82" w:rsidRPr="007C734C" w14:paraId="53790626" w14:textId="77777777" w:rsidTr="009B1BC4">
        <w:trPr>
          <w:trHeight w:val="987"/>
        </w:trPr>
        <w:tc>
          <w:tcPr>
            <w:tcW w:w="1134" w:type="dxa"/>
            <w:vMerge/>
            <w:shd w:val="clear" w:color="auto" w:fill="D5DCE4" w:themeFill="text2" w:themeFillTint="33"/>
            <w:vAlign w:val="center"/>
          </w:tcPr>
          <w:p w14:paraId="591D04F1" w14:textId="77777777" w:rsidR="00D82E82" w:rsidRPr="007C734C" w:rsidRDefault="00D82E82" w:rsidP="009B1BC4">
            <w:pPr>
              <w:tabs>
                <w:tab w:val="left" w:pos="0"/>
              </w:tabs>
              <w:jc w:val="center"/>
              <w:rPr>
                <w:rFonts w:cs="Segoe UI"/>
                <w:b/>
                <w:bCs/>
              </w:rPr>
            </w:pPr>
          </w:p>
        </w:tc>
        <w:tc>
          <w:tcPr>
            <w:tcW w:w="1134" w:type="dxa"/>
            <w:shd w:val="clear" w:color="auto" w:fill="D5DCE4" w:themeFill="text2" w:themeFillTint="33"/>
            <w:vAlign w:val="center"/>
          </w:tcPr>
          <w:p w14:paraId="49536FBC" w14:textId="77777777" w:rsidR="00D82E82" w:rsidRPr="007C734C" w:rsidRDefault="00D82E82" w:rsidP="009B1BC4">
            <w:pPr>
              <w:tabs>
                <w:tab w:val="left" w:pos="0"/>
              </w:tabs>
              <w:jc w:val="center"/>
              <w:rPr>
                <w:rFonts w:cs="Segoe UI"/>
              </w:rPr>
            </w:pPr>
            <w:r w:rsidRPr="007C734C">
              <w:rPr>
                <w:rFonts w:cs="Segoe UI"/>
              </w:rPr>
              <w:t>Nízké</w:t>
            </w:r>
          </w:p>
        </w:tc>
        <w:tc>
          <w:tcPr>
            <w:tcW w:w="1086" w:type="dxa"/>
            <w:shd w:val="clear" w:color="auto" w:fill="FFC000"/>
            <w:vAlign w:val="center"/>
          </w:tcPr>
          <w:p w14:paraId="20F26580" w14:textId="77777777" w:rsidR="00D82E82" w:rsidRPr="007C734C" w:rsidRDefault="00D82E82" w:rsidP="009B1BC4">
            <w:pPr>
              <w:jc w:val="center"/>
              <w:rPr>
                <w:rFonts w:cs="Segoe UI"/>
                <w:i/>
                <w:iCs/>
              </w:rPr>
            </w:pPr>
            <w:proofErr w:type="spellStart"/>
            <w:r w:rsidRPr="007C734C">
              <w:rPr>
                <w:rFonts w:cs="Segoe UI"/>
                <w:i/>
                <w:iCs/>
              </w:rPr>
              <w:t>xxx</w:t>
            </w:r>
            <w:proofErr w:type="spellEnd"/>
          </w:p>
        </w:tc>
        <w:tc>
          <w:tcPr>
            <w:tcW w:w="1371" w:type="dxa"/>
            <w:shd w:val="clear" w:color="auto" w:fill="92D050"/>
            <w:vAlign w:val="center"/>
          </w:tcPr>
          <w:p w14:paraId="0E2CB00D" w14:textId="77777777" w:rsidR="00D82E82" w:rsidRPr="007C734C" w:rsidRDefault="00D82E82" w:rsidP="009B1BC4">
            <w:pPr>
              <w:jc w:val="center"/>
              <w:rPr>
                <w:rFonts w:cs="Segoe UI"/>
                <w:i/>
                <w:iCs/>
              </w:rPr>
            </w:pPr>
            <w:proofErr w:type="spellStart"/>
            <w:r w:rsidRPr="007C734C">
              <w:rPr>
                <w:rFonts w:cs="Segoe UI"/>
                <w:i/>
                <w:iCs/>
              </w:rPr>
              <w:t>xxx</w:t>
            </w:r>
            <w:proofErr w:type="spellEnd"/>
          </w:p>
        </w:tc>
        <w:tc>
          <w:tcPr>
            <w:tcW w:w="1371" w:type="dxa"/>
            <w:shd w:val="clear" w:color="auto" w:fill="92D050"/>
            <w:vAlign w:val="center"/>
          </w:tcPr>
          <w:p w14:paraId="636AA050" w14:textId="77777777" w:rsidR="00D82E82" w:rsidRPr="007C734C" w:rsidRDefault="00D82E82" w:rsidP="009B1BC4">
            <w:pPr>
              <w:jc w:val="center"/>
              <w:rPr>
                <w:rFonts w:cs="Segoe UI"/>
                <w:i/>
                <w:iCs/>
              </w:rPr>
            </w:pPr>
            <w:proofErr w:type="spellStart"/>
            <w:r w:rsidRPr="007C734C">
              <w:rPr>
                <w:rFonts w:cs="Segoe UI"/>
                <w:i/>
                <w:iCs/>
              </w:rPr>
              <w:t>xxx</w:t>
            </w:r>
            <w:proofErr w:type="spellEnd"/>
          </w:p>
        </w:tc>
        <w:tc>
          <w:tcPr>
            <w:tcW w:w="353" w:type="dxa"/>
            <w:tcBorders>
              <w:top w:val="none" w:sz="4" w:space="0" w:color="000000"/>
              <w:right w:val="none" w:sz="4" w:space="0" w:color="000000"/>
            </w:tcBorders>
            <w:vAlign w:val="center"/>
          </w:tcPr>
          <w:p w14:paraId="0C9502BE" w14:textId="77777777" w:rsidR="00D82E82" w:rsidRPr="007C734C" w:rsidRDefault="00D82E82" w:rsidP="009B1BC4">
            <w:pPr>
              <w:jc w:val="center"/>
              <w:rPr>
                <w:rFonts w:cs="Segoe UI"/>
              </w:rPr>
            </w:pPr>
          </w:p>
        </w:tc>
        <w:tc>
          <w:tcPr>
            <w:tcW w:w="1206" w:type="dxa"/>
            <w:tcBorders>
              <w:top w:val="none" w:sz="4" w:space="0" w:color="000000"/>
              <w:left w:val="none" w:sz="4" w:space="0" w:color="000000"/>
              <w:right w:val="single" w:sz="4" w:space="0" w:color="auto"/>
            </w:tcBorders>
            <w:vAlign w:val="center"/>
          </w:tcPr>
          <w:p w14:paraId="4B96F928" w14:textId="77777777" w:rsidR="00D82E82" w:rsidRPr="007C734C" w:rsidRDefault="00D82E82" w:rsidP="009B1BC4">
            <w:pPr>
              <w:rPr>
                <w:rFonts w:cs="Segoe UI"/>
              </w:rPr>
            </w:pPr>
            <w:r w:rsidRPr="007C734C">
              <w:rPr>
                <w:rFonts w:cs="Segoe UI"/>
              </w:rPr>
              <w:t>Nízká</w:t>
            </w:r>
          </w:p>
        </w:tc>
        <w:tc>
          <w:tcPr>
            <w:tcW w:w="1279" w:type="dxa"/>
            <w:tcBorders>
              <w:top w:val="single" w:sz="4" w:space="0" w:color="auto"/>
              <w:left w:val="single" w:sz="4" w:space="0" w:color="auto"/>
            </w:tcBorders>
            <w:shd w:val="clear" w:color="auto" w:fill="92D050"/>
            <w:vAlign w:val="center"/>
          </w:tcPr>
          <w:p w14:paraId="79E14DF7" w14:textId="77777777" w:rsidR="00D82E82" w:rsidRPr="007C734C" w:rsidRDefault="00D82E82" w:rsidP="009B1BC4">
            <w:pPr>
              <w:rPr>
                <w:rFonts w:cs="Segoe UI"/>
              </w:rPr>
            </w:pPr>
          </w:p>
        </w:tc>
      </w:tr>
      <w:tr w:rsidR="00D82E82" w:rsidRPr="007C734C" w14:paraId="3015C466" w14:textId="77777777" w:rsidTr="009B1BC4">
        <w:trPr>
          <w:trHeight w:val="613"/>
        </w:trPr>
        <w:tc>
          <w:tcPr>
            <w:tcW w:w="2268" w:type="dxa"/>
            <w:gridSpan w:val="2"/>
            <w:vMerge w:val="restart"/>
            <w:shd w:val="clear" w:color="auto" w:fill="D5DCE4" w:themeFill="text2" w:themeFillTint="33"/>
            <w:vAlign w:val="center"/>
          </w:tcPr>
          <w:p w14:paraId="64EDBEBD" w14:textId="77777777" w:rsidR="00D82E82" w:rsidRPr="007C734C" w:rsidRDefault="00D82E82" w:rsidP="009B1BC4">
            <w:pPr>
              <w:tabs>
                <w:tab w:val="left" w:pos="0"/>
              </w:tabs>
              <w:jc w:val="center"/>
              <w:rPr>
                <w:rFonts w:cs="Segoe UI"/>
                <w:b/>
                <w:bCs/>
              </w:rPr>
            </w:pPr>
            <w:r w:rsidRPr="007C734C">
              <w:rPr>
                <w:rFonts w:cs="Segoe UI"/>
                <w:b/>
                <w:bCs/>
              </w:rPr>
              <w:t>Extrémní vítr</w:t>
            </w:r>
          </w:p>
        </w:tc>
        <w:tc>
          <w:tcPr>
            <w:tcW w:w="3828" w:type="dxa"/>
            <w:gridSpan w:val="3"/>
            <w:shd w:val="clear" w:color="auto" w:fill="D5DCE4" w:themeFill="text2" w:themeFillTint="33"/>
            <w:vAlign w:val="center"/>
          </w:tcPr>
          <w:p w14:paraId="0FBB37D3" w14:textId="77777777" w:rsidR="00D82E82" w:rsidRPr="007C734C" w:rsidRDefault="00D82E82" w:rsidP="009B1BC4">
            <w:pPr>
              <w:jc w:val="center"/>
              <w:rPr>
                <w:rFonts w:cs="Segoe UI"/>
                <w:b/>
                <w:bCs/>
              </w:rPr>
            </w:pPr>
            <w:r w:rsidRPr="007C734C">
              <w:rPr>
                <w:rFonts w:cs="Segoe UI"/>
                <w:b/>
                <w:bCs/>
              </w:rPr>
              <w:t>Expozice (nejvyšší skóre)</w:t>
            </w:r>
          </w:p>
        </w:tc>
        <w:tc>
          <w:tcPr>
            <w:tcW w:w="353" w:type="dxa"/>
            <w:tcBorders>
              <w:bottom w:val="none" w:sz="4" w:space="0" w:color="000000"/>
              <w:right w:val="none" w:sz="4" w:space="0" w:color="000000"/>
            </w:tcBorders>
            <w:vAlign w:val="center"/>
          </w:tcPr>
          <w:p w14:paraId="1C5940FE" w14:textId="77777777" w:rsidR="00D82E82" w:rsidRPr="007C734C" w:rsidRDefault="00D82E82" w:rsidP="009B1BC4">
            <w:pPr>
              <w:jc w:val="center"/>
              <w:rPr>
                <w:rFonts w:cs="Segoe UI"/>
                <w:b/>
                <w:bCs/>
              </w:rPr>
            </w:pPr>
          </w:p>
        </w:tc>
        <w:tc>
          <w:tcPr>
            <w:tcW w:w="1206" w:type="dxa"/>
            <w:tcBorders>
              <w:left w:val="none" w:sz="4" w:space="0" w:color="000000"/>
              <w:bottom w:val="none" w:sz="4" w:space="0" w:color="000000"/>
              <w:right w:val="none" w:sz="4" w:space="0" w:color="000000"/>
            </w:tcBorders>
            <w:vAlign w:val="center"/>
          </w:tcPr>
          <w:p w14:paraId="271F119D" w14:textId="77777777" w:rsidR="00D82E82" w:rsidRPr="007C734C" w:rsidRDefault="00D82E82" w:rsidP="009B1BC4">
            <w:pPr>
              <w:rPr>
                <w:rFonts w:cs="Segoe UI"/>
                <w:b/>
                <w:bCs/>
              </w:rPr>
            </w:pPr>
          </w:p>
        </w:tc>
        <w:tc>
          <w:tcPr>
            <w:tcW w:w="1279" w:type="dxa"/>
            <w:tcBorders>
              <w:left w:val="none" w:sz="4" w:space="0" w:color="000000"/>
              <w:bottom w:val="none" w:sz="4" w:space="0" w:color="000000"/>
            </w:tcBorders>
            <w:vAlign w:val="center"/>
          </w:tcPr>
          <w:p w14:paraId="6DF3767E" w14:textId="77777777" w:rsidR="00D82E82" w:rsidRPr="007C734C" w:rsidRDefault="00D82E82" w:rsidP="009B1BC4">
            <w:pPr>
              <w:rPr>
                <w:rFonts w:cs="Segoe UI"/>
                <w:b/>
                <w:bCs/>
              </w:rPr>
            </w:pPr>
          </w:p>
        </w:tc>
      </w:tr>
      <w:tr w:rsidR="00D82E82" w:rsidRPr="007C734C" w14:paraId="4BBD6DAF" w14:textId="77777777" w:rsidTr="009B1BC4">
        <w:trPr>
          <w:trHeight w:val="885"/>
        </w:trPr>
        <w:tc>
          <w:tcPr>
            <w:tcW w:w="2268" w:type="dxa"/>
            <w:gridSpan w:val="2"/>
            <w:vMerge/>
            <w:tcBorders>
              <w:bottom w:val="single" w:sz="4" w:space="0" w:color="auto"/>
            </w:tcBorders>
            <w:shd w:val="clear" w:color="auto" w:fill="D5DCE4" w:themeFill="text2" w:themeFillTint="33"/>
            <w:vAlign w:val="center"/>
          </w:tcPr>
          <w:p w14:paraId="4E1C4403" w14:textId="77777777" w:rsidR="00D82E82" w:rsidRPr="007C734C" w:rsidRDefault="00D82E82" w:rsidP="009B1BC4">
            <w:pPr>
              <w:tabs>
                <w:tab w:val="left" w:pos="0"/>
              </w:tabs>
              <w:jc w:val="center"/>
              <w:rPr>
                <w:rFonts w:cs="Segoe UI"/>
                <w:b/>
                <w:bCs/>
              </w:rPr>
            </w:pPr>
          </w:p>
        </w:tc>
        <w:tc>
          <w:tcPr>
            <w:tcW w:w="1086" w:type="dxa"/>
            <w:tcBorders>
              <w:bottom w:val="single" w:sz="4" w:space="0" w:color="auto"/>
            </w:tcBorders>
            <w:shd w:val="clear" w:color="auto" w:fill="D5DCE4" w:themeFill="text2" w:themeFillTint="33"/>
            <w:vAlign w:val="center"/>
          </w:tcPr>
          <w:p w14:paraId="2D6A0174" w14:textId="77777777" w:rsidR="00D82E82" w:rsidRPr="007C734C" w:rsidRDefault="00D82E82" w:rsidP="009B1BC4">
            <w:pPr>
              <w:jc w:val="center"/>
              <w:rPr>
                <w:rFonts w:cs="Segoe UI"/>
              </w:rPr>
            </w:pPr>
            <w:r w:rsidRPr="007C734C">
              <w:rPr>
                <w:rFonts w:cs="Segoe UI"/>
              </w:rPr>
              <w:t>Vysoké</w:t>
            </w:r>
          </w:p>
        </w:tc>
        <w:tc>
          <w:tcPr>
            <w:tcW w:w="1371" w:type="dxa"/>
            <w:tcBorders>
              <w:bottom w:val="single" w:sz="4" w:space="0" w:color="auto"/>
            </w:tcBorders>
            <w:shd w:val="clear" w:color="auto" w:fill="D5DCE4" w:themeFill="text2" w:themeFillTint="33"/>
            <w:vAlign w:val="center"/>
          </w:tcPr>
          <w:p w14:paraId="56C69B3A" w14:textId="77777777" w:rsidR="00D82E82" w:rsidRPr="007C734C" w:rsidRDefault="00D82E82" w:rsidP="009B1BC4">
            <w:pPr>
              <w:jc w:val="center"/>
              <w:rPr>
                <w:rFonts w:cs="Segoe UI"/>
              </w:rPr>
            </w:pPr>
            <w:r w:rsidRPr="007C734C">
              <w:rPr>
                <w:rFonts w:cs="Segoe UI"/>
              </w:rPr>
              <w:t>Střední</w:t>
            </w:r>
          </w:p>
        </w:tc>
        <w:tc>
          <w:tcPr>
            <w:tcW w:w="1371" w:type="dxa"/>
            <w:tcBorders>
              <w:bottom w:val="single" w:sz="4" w:space="0" w:color="auto"/>
            </w:tcBorders>
            <w:shd w:val="clear" w:color="auto" w:fill="D5DCE4" w:themeFill="text2" w:themeFillTint="33"/>
            <w:vAlign w:val="center"/>
          </w:tcPr>
          <w:p w14:paraId="1C3DE2FA" w14:textId="77777777" w:rsidR="00D82E82" w:rsidRPr="007C734C" w:rsidRDefault="00D82E82" w:rsidP="009B1BC4">
            <w:pPr>
              <w:jc w:val="center"/>
              <w:rPr>
                <w:rFonts w:cs="Segoe UI"/>
              </w:rPr>
            </w:pPr>
            <w:r w:rsidRPr="007C734C">
              <w:rPr>
                <w:rFonts w:cs="Segoe UI"/>
              </w:rPr>
              <w:t>Nízké</w:t>
            </w:r>
          </w:p>
        </w:tc>
        <w:tc>
          <w:tcPr>
            <w:tcW w:w="353" w:type="dxa"/>
            <w:tcBorders>
              <w:top w:val="none" w:sz="4" w:space="0" w:color="000000"/>
              <w:bottom w:val="none" w:sz="4" w:space="0" w:color="000000"/>
              <w:right w:val="none" w:sz="4" w:space="0" w:color="000000"/>
            </w:tcBorders>
            <w:vAlign w:val="center"/>
          </w:tcPr>
          <w:p w14:paraId="0D3961AC" w14:textId="77777777" w:rsidR="00D82E82" w:rsidRPr="007C734C" w:rsidRDefault="00D82E82" w:rsidP="009B1BC4">
            <w:pPr>
              <w:jc w:val="center"/>
              <w:rPr>
                <w:rFonts w:cs="Segoe UI"/>
              </w:rPr>
            </w:pPr>
          </w:p>
        </w:tc>
        <w:tc>
          <w:tcPr>
            <w:tcW w:w="2485" w:type="dxa"/>
            <w:gridSpan w:val="2"/>
            <w:tcBorders>
              <w:top w:val="none" w:sz="4" w:space="0" w:color="000000"/>
              <w:left w:val="none" w:sz="4" w:space="0" w:color="000000"/>
              <w:bottom w:val="none" w:sz="4" w:space="0" w:color="000000"/>
            </w:tcBorders>
            <w:vAlign w:val="center"/>
          </w:tcPr>
          <w:p w14:paraId="6D64B695" w14:textId="77777777" w:rsidR="00D82E82" w:rsidRPr="007C734C" w:rsidRDefault="00D82E82" w:rsidP="009B1BC4">
            <w:pPr>
              <w:rPr>
                <w:rFonts w:cs="Segoe UI"/>
              </w:rPr>
            </w:pPr>
            <w:r w:rsidRPr="007C734C">
              <w:rPr>
                <w:rFonts w:cs="Segoe UI"/>
              </w:rPr>
              <w:t>Úroveň zranitelnosti:</w:t>
            </w:r>
          </w:p>
        </w:tc>
      </w:tr>
      <w:tr w:rsidR="00D82E82" w:rsidRPr="007C734C" w14:paraId="6D704368" w14:textId="77777777" w:rsidTr="009B1BC4">
        <w:trPr>
          <w:trHeight w:val="987"/>
        </w:trPr>
        <w:tc>
          <w:tcPr>
            <w:tcW w:w="1134" w:type="dxa"/>
            <w:vMerge w:val="restart"/>
            <w:shd w:val="clear" w:color="auto" w:fill="D5DCE4" w:themeFill="text2" w:themeFillTint="33"/>
            <w:textDirection w:val="btLr"/>
            <w:vAlign w:val="center"/>
          </w:tcPr>
          <w:p w14:paraId="3D25C0A5" w14:textId="77777777" w:rsidR="00D82E82" w:rsidRPr="007C734C" w:rsidRDefault="00D82E82" w:rsidP="009B1BC4">
            <w:pPr>
              <w:tabs>
                <w:tab w:val="left" w:pos="0"/>
              </w:tabs>
              <w:ind w:left="113" w:right="113"/>
              <w:jc w:val="center"/>
              <w:rPr>
                <w:rFonts w:cs="Segoe UI"/>
                <w:b/>
                <w:bCs/>
              </w:rPr>
            </w:pPr>
            <w:r w:rsidRPr="007C734C">
              <w:rPr>
                <w:rFonts w:cs="Segoe UI"/>
                <w:b/>
                <w:bCs/>
              </w:rPr>
              <w:t>Citlivost (nejvyšší skóre)</w:t>
            </w:r>
          </w:p>
        </w:tc>
        <w:tc>
          <w:tcPr>
            <w:tcW w:w="1134" w:type="dxa"/>
            <w:shd w:val="clear" w:color="auto" w:fill="D5DCE4" w:themeFill="text2" w:themeFillTint="33"/>
            <w:vAlign w:val="center"/>
          </w:tcPr>
          <w:p w14:paraId="6C5C4D42" w14:textId="77777777" w:rsidR="00D82E82" w:rsidRPr="007C734C" w:rsidRDefault="00D82E82" w:rsidP="009B1BC4">
            <w:pPr>
              <w:tabs>
                <w:tab w:val="left" w:pos="0"/>
              </w:tabs>
              <w:jc w:val="center"/>
              <w:rPr>
                <w:rFonts w:cs="Segoe UI"/>
              </w:rPr>
            </w:pPr>
            <w:r w:rsidRPr="007C734C">
              <w:rPr>
                <w:rFonts w:cs="Segoe UI"/>
              </w:rPr>
              <w:t>Vysoké</w:t>
            </w:r>
          </w:p>
        </w:tc>
        <w:tc>
          <w:tcPr>
            <w:tcW w:w="1086" w:type="dxa"/>
            <w:shd w:val="clear" w:color="auto" w:fill="FF0000"/>
            <w:vAlign w:val="center"/>
          </w:tcPr>
          <w:p w14:paraId="2C0CDC95" w14:textId="77777777" w:rsidR="00D82E82" w:rsidRPr="007C734C" w:rsidRDefault="00D82E82" w:rsidP="009B1BC4">
            <w:pPr>
              <w:jc w:val="center"/>
              <w:rPr>
                <w:rFonts w:cs="Segoe UI"/>
                <w:i/>
                <w:iCs/>
              </w:rPr>
            </w:pPr>
            <w:proofErr w:type="spellStart"/>
            <w:r w:rsidRPr="007C734C">
              <w:rPr>
                <w:rFonts w:cs="Segoe UI"/>
                <w:i/>
                <w:iCs/>
              </w:rPr>
              <w:t>xxx</w:t>
            </w:r>
            <w:proofErr w:type="spellEnd"/>
          </w:p>
        </w:tc>
        <w:tc>
          <w:tcPr>
            <w:tcW w:w="1371" w:type="dxa"/>
            <w:shd w:val="clear" w:color="auto" w:fill="FF0000"/>
            <w:vAlign w:val="center"/>
          </w:tcPr>
          <w:p w14:paraId="0477007F" w14:textId="77777777" w:rsidR="00D82E82" w:rsidRPr="007C734C" w:rsidRDefault="00D82E82" w:rsidP="009B1BC4">
            <w:pPr>
              <w:jc w:val="center"/>
              <w:rPr>
                <w:rFonts w:cs="Segoe UI"/>
                <w:i/>
                <w:iCs/>
              </w:rPr>
            </w:pPr>
            <w:proofErr w:type="spellStart"/>
            <w:r w:rsidRPr="007C734C">
              <w:rPr>
                <w:rFonts w:cs="Segoe UI"/>
                <w:i/>
                <w:iCs/>
              </w:rPr>
              <w:t>xxx</w:t>
            </w:r>
            <w:proofErr w:type="spellEnd"/>
          </w:p>
        </w:tc>
        <w:tc>
          <w:tcPr>
            <w:tcW w:w="1371" w:type="dxa"/>
            <w:shd w:val="clear" w:color="auto" w:fill="FFC000"/>
            <w:vAlign w:val="center"/>
          </w:tcPr>
          <w:p w14:paraId="645ABCBC" w14:textId="77777777" w:rsidR="00D82E82" w:rsidRPr="007C734C" w:rsidRDefault="00D82E82" w:rsidP="009B1BC4">
            <w:pPr>
              <w:jc w:val="center"/>
              <w:rPr>
                <w:rFonts w:cs="Segoe UI"/>
                <w:i/>
                <w:iCs/>
              </w:rPr>
            </w:pPr>
            <w:proofErr w:type="spellStart"/>
            <w:r w:rsidRPr="007C734C">
              <w:rPr>
                <w:rFonts w:cs="Segoe UI"/>
                <w:i/>
                <w:iCs/>
              </w:rPr>
              <w:t>xxx</w:t>
            </w:r>
            <w:proofErr w:type="spellEnd"/>
          </w:p>
        </w:tc>
        <w:tc>
          <w:tcPr>
            <w:tcW w:w="353" w:type="dxa"/>
            <w:tcBorders>
              <w:top w:val="none" w:sz="4" w:space="0" w:color="000000"/>
              <w:bottom w:val="none" w:sz="4" w:space="0" w:color="000000"/>
              <w:right w:val="none" w:sz="4" w:space="0" w:color="000000"/>
            </w:tcBorders>
            <w:vAlign w:val="center"/>
          </w:tcPr>
          <w:p w14:paraId="080765C5" w14:textId="77777777" w:rsidR="00D82E82" w:rsidRPr="007C734C" w:rsidRDefault="00D82E82" w:rsidP="009B1BC4">
            <w:pPr>
              <w:jc w:val="center"/>
              <w:rPr>
                <w:rFonts w:cs="Segoe UI"/>
              </w:rPr>
            </w:pPr>
          </w:p>
        </w:tc>
        <w:tc>
          <w:tcPr>
            <w:tcW w:w="1206" w:type="dxa"/>
            <w:tcBorders>
              <w:top w:val="none" w:sz="4" w:space="0" w:color="000000"/>
              <w:left w:val="none" w:sz="4" w:space="0" w:color="000000"/>
              <w:bottom w:val="none" w:sz="4" w:space="0" w:color="000000"/>
              <w:right w:val="single" w:sz="4" w:space="0" w:color="auto"/>
            </w:tcBorders>
            <w:vAlign w:val="center"/>
          </w:tcPr>
          <w:p w14:paraId="1ED7F881" w14:textId="77777777" w:rsidR="00D82E82" w:rsidRPr="007C734C" w:rsidRDefault="00D82E82" w:rsidP="009B1BC4">
            <w:pPr>
              <w:rPr>
                <w:rFonts w:cs="Segoe UI"/>
              </w:rPr>
            </w:pPr>
            <w:r w:rsidRPr="007C734C">
              <w:rPr>
                <w:rFonts w:cs="Segoe UI"/>
              </w:rPr>
              <w:t>Vysoká</w:t>
            </w:r>
          </w:p>
        </w:tc>
        <w:tc>
          <w:tcPr>
            <w:tcW w:w="1279" w:type="dxa"/>
            <w:tcBorders>
              <w:top w:val="single" w:sz="4" w:space="0" w:color="auto"/>
              <w:left w:val="single" w:sz="4" w:space="0" w:color="auto"/>
              <w:bottom w:val="single" w:sz="4" w:space="0" w:color="auto"/>
            </w:tcBorders>
            <w:shd w:val="clear" w:color="auto" w:fill="FF0000"/>
            <w:vAlign w:val="center"/>
          </w:tcPr>
          <w:p w14:paraId="5E6540B5" w14:textId="77777777" w:rsidR="00D82E82" w:rsidRPr="007C734C" w:rsidRDefault="00D82E82" w:rsidP="009B1BC4">
            <w:pPr>
              <w:rPr>
                <w:rFonts w:cs="Segoe UI"/>
              </w:rPr>
            </w:pPr>
          </w:p>
        </w:tc>
      </w:tr>
      <w:tr w:rsidR="00D82E82" w:rsidRPr="007C734C" w14:paraId="6ECEDA77" w14:textId="77777777" w:rsidTr="009B1BC4">
        <w:trPr>
          <w:trHeight w:val="987"/>
        </w:trPr>
        <w:tc>
          <w:tcPr>
            <w:tcW w:w="1134" w:type="dxa"/>
            <w:vMerge/>
            <w:shd w:val="clear" w:color="auto" w:fill="D5DCE4" w:themeFill="text2" w:themeFillTint="33"/>
            <w:textDirection w:val="btLr"/>
            <w:vAlign w:val="center"/>
          </w:tcPr>
          <w:p w14:paraId="06D6DCF4" w14:textId="77777777" w:rsidR="00D82E82" w:rsidRPr="007C734C" w:rsidRDefault="00D82E82" w:rsidP="009B1BC4">
            <w:pPr>
              <w:tabs>
                <w:tab w:val="left" w:pos="0"/>
              </w:tabs>
              <w:ind w:left="113" w:right="113"/>
              <w:jc w:val="center"/>
              <w:rPr>
                <w:rFonts w:cs="Segoe UI"/>
                <w:b/>
                <w:bCs/>
              </w:rPr>
            </w:pPr>
          </w:p>
        </w:tc>
        <w:tc>
          <w:tcPr>
            <w:tcW w:w="1134" w:type="dxa"/>
            <w:shd w:val="clear" w:color="auto" w:fill="D5DCE4" w:themeFill="text2" w:themeFillTint="33"/>
            <w:vAlign w:val="center"/>
          </w:tcPr>
          <w:p w14:paraId="7BE72CF7" w14:textId="77777777" w:rsidR="00D82E82" w:rsidRPr="007C734C" w:rsidRDefault="00D82E82" w:rsidP="009B1BC4">
            <w:pPr>
              <w:tabs>
                <w:tab w:val="left" w:pos="0"/>
              </w:tabs>
              <w:jc w:val="center"/>
              <w:rPr>
                <w:rFonts w:cs="Segoe UI"/>
              </w:rPr>
            </w:pPr>
            <w:r w:rsidRPr="007C734C">
              <w:rPr>
                <w:rFonts w:cs="Segoe UI"/>
              </w:rPr>
              <w:t>Střední</w:t>
            </w:r>
          </w:p>
        </w:tc>
        <w:tc>
          <w:tcPr>
            <w:tcW w:w="1086" w:type="dxa"/>
            <w:shd w:val="clear" w:color="auto" w:fill="FF0000"/>
            <w:vAlign w:val="center"/>
          </w:tcPr>
          <w:p w14:paraId="6EB50600" w14:textId="77777777" w:rsidR="00D82E82" w:rsidRPr="007C734C" w:rsidRDefault="00D82E82" w:rsidP="009B1BC4">
            <w:pPr>
              <w:jc w:val="center"/>
              <w:rPr>
                <w:rFonts w:cs="Segoe UI"/>
                <w:i/>
                <w:iCs/>
              </w:rPr>
            </w:pPr>
            <w:proofErr w:type="spellStart"/>
            <w:r w:rsidRPr="007C734C">
              <w:rPr>
                <w:rFonts w:cs="Segoe UI"/>
                <w:i/>
                <w:iCs/>
              </w:rPr>
              <w:t>xxx</w:t>
            </w:r>
            <w:proofErr w:type="spellEnd"/>
          </w:p>
        </w:tc>
        <w:tc>
          <w:tcPr>
            <w:tcW w:w="1371" w:type="dxa"/>
            <w:shd w:val="clear" w:color="auto" w:fill="FFC000"/>
            <w:vAlign w:val="center"/>
          </w:tcPr>
          <w:p w14:paraId="31B41B06" w14:textId="77777777" w:rsidR="00D82E82" w:rsidRPr="007C734C" w:rsidRDefault="00D82E82" w:rsidP="009B1BC4">
            <w:pPr>
              <w:jc w:val="center"/>
              <w:rPr>
                <w:rFonts w:cs="Segoe UI"/>
                <w:i/>
                <w:iCs/>
              </w:rPr>
            </w:pPr>
            <w:proofErr w:type="spellStart"/>
            <w:r w:rsidRPr="007C734C">
              <w:rPr>
                <w:rFonts w:cs="Segoe UI"/>
                <w:i/>
                <w:iCs/>
              </w:rPr>
              <w:t>xxx</w:t>
            </w:r>
            <w:proofErr w:type="spellEnd"/>
          </w:p>
        </w:tc>
        <w:tc>
          <w:tcPr>
            <w:tcW w:w="1371" w:type="dxa"/>
            <w:shd w:val="clear" w:color="auto" w:fill="92D050"/>
            <w:vAlign w:val="center"/>
          </w:tcPr>
          <w:p w14:paraId="657D73BE" w14:textId="77777777" w:rsidR="00D82E82" w:rsidRPr="007C734C" w:rsidRDefault="00D82E82" w:rsidP="009B1BC4">
            <w:pPr>
              <w:jc w:val="center"/>
              <w:rPr>
                <w:rFonts w:cs="Segoe UI"/>
                <w:i/>
                <w:iCs/>
              </w:rPr>
            </w:pPr>
            <w:proofErr w:type="spellStart"/>
            <w:r w:rsidRPr="007C734C">
              <w:rPr>
                <w:rFonts w:cs="Segoe UI"/>
                <w:i/>
                <w:iCs/>
              </w:rPr>
              <w:t>xxx</w:t>
            </w:r>
            <w:proofErr w:type="spellEnd"/>
          </w:p>
        </w:tc>
        <w:tc>
          <w:tcPr>
            <w:tcW w:w="353" w:type="dxa"/>
            <w:tcBorders>
              <w:top w:val="none" w:sz="4" w:space="0" w:color="000000"/>
              <w:bottom w:val="none" w:sz="4" w:space="0" w:color="000000"/>
              <w:right w:val="none" w:sz="4" w:space="0" w:color="000000"/>
            </w:tcBorders>
            <w:vAlign w:val="center"/>
          </w:tcPr>
          <w:p w14:paraId="18CE3391" w14:textId="77777777" w:rsidR="00D82E82" w:rsidRPr="007C734C" w:rsidRDefault="00D82E82" w:rsidP="009B1BC4">
            <w:pPr>
              <w:jc w:val="center"/>
              <w:rPr>
                <w:rFonts w:cs="Segoe UI"/>
              </w:rPr>
            </w:pPr>
          </w:p>
        </w:tc>
        <w:tc>
          <w:tcPr>
            <w:tcW w:w="1206" w:type="dxa"/>
            <w:tcBorders>
              <w:top w:val="none" w:sz="4" w:space="0" w:color="000000"/>
              <w:left w:val="none" w:sz="4" w:space="0" w:color="000000"/>
              <w:bottom w:val="none" w:sz="4" w:space="0" w:color="000000"/>
              <w:right w:val="single" w:sz="4" w:space="0" w:color="auto"/>
            </w:tcBorders>
            <w:vAlign w:val="center"/>
          </w:tcPr>
          <w:p w14:paraId="399CF899" w14:textId="77777777" w:rsidR="00D82E82" w:rsidRPr="007C734C" w:rsidRDefault="00D82E82" w:rsidP="009B1BC4">
            <w:pPr>
              <w:rPr>
                <w:rFonts w:cs="Segoe UI"/>
              </w:rPr>
            </w:pPr>
            <w:r w:rsidRPr="007C734C">
              <w:rPr>
                <w:rFonts w:cs="Segoe UI"/>
              </w:rPr>
              <w:t>Střední</w:t>
            </w:r>
          </w:p>
        </w:tc>
        <w:tc>
          <w:tcPr>
            <w:tcW w:w="1279" w:type="dxa"/>
            <w:tcBorders>
              <w:top w:val="single" w:sz="4" w:space="0" w:color="auto"/>
              <w:left w:val="single" w:sz="4" w:space="0" w:color="auto"/>
              <w:bottom w:val="single" w:sz="4" w:space="0" w:color="auto"/>
            </w:tcBorders>
            <w:shd w:val="clear" w:color="auto" w:fill="FFC000"/>
            <w:vAlign w:val="center"/>
          </w:tcPr>
          <w:p w14:paraId="55F9E4E4" w14:textId="77777777" w:rsidR="00D82E82" w:rsidRPr="007C734C" w:rsidRDefault="00D82E82" w:rsidP="009B1BC4">
            <w:pPr>
              <w:rPr>
                <w:rFonts w:cs="Segoe UI"/>
              </w:rPr>
            </w:pPr>
          </w:p>
        </w:tc>
      </w:tr>
      <w:tr w:rsidR="00D82E82" w:rsidRPr="007C734C" w14:paraId="67B5FC52" w14:textId="77777777" w:rsidTr="009B1BC4">
        <w:trPr>
          <w:trHeight w:val="987"/>
        </w:trPr>
        <w:tc>
          <w:tcPr>
            <w:tcW w:w="1134" w:type="dxa"/>
            <w:vMerge/>
            <w:shd w:val="clear" w:color="auto" w:fill="D5DCE4" w:themeFill="text2" w:themeFillTint="33"/>
            <w:vAlign w:val="center"/>
          </w:tcPr>
          <w:p w14:paraId="109FE6B1" w14:textId="77777777" w:rsidR="00D82E82" w:rsidRPr="007C734C" w:rsidRDefault="00D82E82" w:rsidP="009B1BC4">
            <w:pPr>
              <w:tabs>
                <w:tab w:val="left" w:pos="0"/>
              </w:tabs>
              <w:jc w:val="center"/>
              <w:rPr>
                <w:rFonts w:cs="Segoe UI"/>
                <w:b/>
                <w:bCs/>
              </w:rPr>
            </w:pPr>
          </w:p>
        </w:tc>
        <w:tc>
          <w:tcPr>
            <w:tcW w:w="1134" w:type="dxa"/>
            <w:shd w:val="clear" w:color="auto" w:fill="D5DCE4" w:themeFill="text2" w:themeFillTint="33"/>
            <w:vAlign w:val="center"/>
          </w:tcPr>
          <w:p w14:paraId="6161D7A9" w14:textId="77777777" w:rsidR="00D82E82" w:rsidRPr="007C734C" w:rsidRDefault="00D82E82" w:rsidP="009B1BC4">
            <w:pPr>
              <w:tabs>
                <w:tab w:val="left" w:pos="0"/>
              </w:tabs>
              <w:jc w:val="center"/>
              <w:rPr>
                <w:rFonts w:cs="Segoe UI"/>
              </w:rPr>
            </w:pPr>
            <w:r w:rsidRPr="007C734C">
              <w:rPr>
                <w:rFonts w:cs="Segoe UI"/>
              </w:rPr>
              <w:t>Nízké</w:t>
            </w:r>
          </w:p>
        </w:tc>
        <w:tc>
          <w:tcPr>
            <w:tcW w:w="1086" w:type="dxa"/>
            <w:shd w:val="clear" w:color="auto" w:fill="FFC000"/>
            <w:vAlign w:val="center"/>
          </w:tcPr>
          <w:p w14:paraId="019B538D" w14:textId="77777777" w:rsidR="00D82E82" w:rsidRPr="007C734C" w:rsidRDefault="00D82E82" w:rsidP="009B1BC4">
            <w:pPr>
              <w:jc w:val="center"/>
              <w:rPr>
                <w:rFonts w:cs="Segoe UI"/>
                <w:i/>
                <w:iCs/>
              </w:rPr>
            </w:pPr>
            <w:proofErr w:type="spellStart"/>
            <w:r w:rsidRPr="007C734C">
              <w:rPr>
                <w:rFonts w:cs="Segoe UI"/>
                <w:i/>
                <w:iCs/>
              </w:rPr>
              <w:t>xxx</w:t>
            </w:r>
            <w:proofErr w:type="spellEnd"/>
          </w:p>
        </w:tc>
        <w:tc>
          <w:tcPr>
            <w:tcW w:w="1371" w:type="dxa"/>
            <w:shd w:val="clear" w:color="auto" w:fill="92D050"/>
            <w:vAlign w:val="center"/>
          </w:tcPr>
          <w:p w14:paraId="3EE103F1" w14:textId="77777777" w:rsidR="00D82E82" w:rsidRPr="007C734C" w:rsidRDefault="00D82E82" w:rsidP="009B1BC4">
            <w:pPr>
              <w:jc w:val="center"/>
              <w:rPr>
                <w:rFonts w:cs="Segoe UI"/>
                <w:i/>
                <w:iCs/>
              </w:rPr>
            </w:pPr>
            <w:proofErr w:type="spellStart"/>
            <w:r w:rsidRPr="007C734C">
              <w:rPr>
                <w:rFonts w:cs="Segoe UI"/>
                <w:i/>
                <w:iCs/>
              </w:rPr>
              <w:t>xxx</w:t>
            </w:r>
            <w:proofErr w:type="spellEnd"/>
          </w:p>
        </w:tc>
        <w:tc>
          <w:tcPr>
            <w:tcW w:w="1371" w:type="dxa"/>
            <w:shd w:val="clear" w:color="auto" w:fill="92D050"/>
            <w:vAlign w:val="center"/>
          </w:tcPr>
          <w:p w14:paraId="59610579" w14:textId="77777777" w:rsidR="00D82E82" w:rsidRPr="007C734C" w:rsidRDefault="00D82E82" w:rsidP="009B1BC4">
            <w:pPr>
              <w:jc w:val="center"/>
              <w:rPr>
                <w:rFonts w:cs="Segoe UI"/>
                <w:i/>
                <w:iCs/>
              </w:rPr>
            </w:pPr>
            <w:proofErr w:type="spellStart"/>
            <w:r w:rsidRPr="007C734C">
              <w:rPr>
                <w:rFonts w:cs="Segoe UI"/>
                <w:i/>
                <w:iCs/>
              </w:rPr>
              <w:t>xxx</w:t>
            </w:r>
            <w:proofErr w:type="spellEnd"/>
          </w:p>
        </w:tc>
        <w:tc>
          <w:tcPr>
            <w:tcW w:w="353" w:type="dxa"/>
            <w:tcBorders>
              <w:top w:val="none" w:sz="4" w:space="0" w:color="000000"/>
              <w:right w:val="none" w:sz="4" w:space="0" w:color="000000"/>
            </w:tcBorders>
            <w:vAlign w:val="center"/>
          </w:tcPr>
          <w:p w14:paraId="7A1BDEDA" w14:textId="77777777" w:rsidR="00D82E82" w:rsidRPr="007C734C" w:rsidRDefault="00D82E82" w:rsidP="009B1BC4">
            <w:pPr>
              <w:jc w:val="center"/>
              <w:rPr>
                <w:rFonts w:cs="Segoe UI"/>
              </w:rPr>
            </w:pPr>
          </w:p>
        </w:tc>
        <w:tc>
          <w:tcPr>
            <w:tcW w:w="1206" w:type="dxa"/>
            <w:tcBorders>
              <w:top w:val="none" w:sz="4" w:space="0" w:color="000000"/>
              <w:left w:val="none" w:sz="4" w:space="0" w:color="000000"/>
              <w:right w:val="single" w:sz="4" w:space="0" w:color="auto"/>
            </w:tcBorders>
            <w:vAlign w:val="center"/>
          </w:tcPr>
          <w:p w14:paraId="1A41409E" w14:textId="77777777" w:rsidR="00D82E82" w:rsidRPr="007C734C" w:rsidRDefault="00D82E82" w:rsidP="009B1BC4">
            <w:pPr>
              <w:rPr>
                <w:rFonts w:cs="Segoe UI"/>
              </w:rPr>
            </w:pPr>
            <w:r w:rsidRPr="007C734C">
              <w:rPr>
                <w:rFonts w:cs="Segoe UI"/>
              </w:rPr>
              <w:t>Nízká</w:t>
            </w:r>
          </w:p>
        </w:tc>
        <w:tc>
          <w:tcPr>
            <w:tcW w:w="1279" w:type="dxa"/>
            <w:tcBorders>
              <w:top w:val="single" w:sz="4" w:space="0" w:color="auto"/>
              <w:left w:val="single" w:sz="4" w:space="0" w:color="auto"/>
            </w:tcBorders>
            <w:shd w:val="clear" w:color="auto" w:fill="92D050"/>
            <w:vAlign w:val="center"/>
          </w:tcPr>
          <w:p w14:paraId="5458A4C5" w14:textId="77777777" w:rsidR="00D82E82" w:rsidRPr="007C734C" w:rsidRDefault="00D82E82" w:rsidP="009B1BC4">
            <w:pPr>
              <w:rPr>
                <w:rFonts w:cs="Segoe UI"/>
              </w:rPr>
            </w:pPr>
          </w:p>
        </w:tc>
      </w:tr>
      <w:tr w:rsidR="00D82E82" w:rsidRPr="007C734C" w14:paraId="1C5009D3" w14:textId="77777777" w:rsidTr="009B1BC4">
        <w:trPr>
          <w:trHeight w:val="613"/>
        </w:trPr>
        <w:tc>
          <w:tcPr>
            <w:tcW w:w="2268" w:type="dxa"/>
            <w:gridSpan w:val="2"/>
            <w:vMerge w:val="restart"/>
            <w:shd w:val="clear" w:color="auto" w:fill="D5DCE4" w:themeFill="text2" w:themeFillTint="33"/>
            <w:vAlign w:val="center"/>
          </w:tcPr>
          <w:p w14:paraId="4B9DBF10" w14:textId="77777777" w:rsidR="00D82E82" w:rsidRPr="007C734C" w:rsidRDefault="00D82E82" w:rsidP="009B1BC4">
            <w:pPr>
              <w:tabs>
                <w:tab w:val="left" w:pos="0"/>
              </w:tabs>
              <w:jc w:val="center"/>
              <w:rPr>
                <w:rFonts w:cs="Segoe UI"/>
                <w:b/>
                <w:bCs/>
              </w:rPr>
            </w:pPr>
            <w:r w:rsidRPr="007C734C">
              <w:rPr>
                <w:rFonts w:cs="Segoe UI"/>
                <w:b/>
                <w:bCs/>
              </w:rPr>
              <w:t>Požáry vegetace</w:t>
            </w:r>
          </w:p>
        </w:tc>
        <w:tc>
          <w:tcPr>
            <w:tcW w:w="3828" w:type="dxa"/>
            <w:gridSpan w:val="3"/>
            <w:shd w:val="clear" w:color="auto" w:fill="D5DCE4" w:themeFill="text2" w:themeFillTint="33"/>
            <w:vAlign w:val="center"/>
          </w:tcPr>
          <w:p w14:paraId="7DB7AA84" w14:textId="77777777" w:rsidR="00D82E82" w:rsidRPr="007C734C" w:rsidRDefault="00D82E82" w:rsidP="009B1BC4">
            <w:pPr>
              <w:jc w:val="center"/>
              <w:rPr>
                <w:rFonts w:cs="Segoe UI"/>
                <w:b/>
                <w:bCs/>
              </w:rPr>
            </w:pPr>
            <w:r w:rsidRPr="007C734C">
              <w:rPr>
                <w:rFonts w:cs="Segoe UI"/>
                <w:b/>
                <w:bCs/>
              </w:rPr>
              <w:t>Expozice (nejvyšší skóre)</w:t>
            </w:r>
          </w:p>
        </w:tc>
        <w:tc>
          <w:tcPr>
            <w:tcW w:w="353" w:type="dxa"/>
            <w:tcBorders>
              <w:bottom w:val="none" w:sz="4" w:space="0" w:color="000000"/>
              <w:right w:val="none" w:sz="4" w:space="0" w:color="000000"/>
            </w:tcBorders>
            <w:vAlign w:val="center"/>
          </w:tcPr>
          <w:p w14:paraId="0A1584C4" w14:textId="77777777" w:rsidR="00D82E82" w:rsidRPr="007C734C" w:rsidRDefault="00D82E82" w:rsidP="009B1BC4">
            <w:pPr>
              <w:jc w:val="center"/>
              <w:rPr>
                <w:rFonts w:cs="Segoe UI"/>
                <w:b/>
                <w:bCs/>
              </w:rPr>
            </w:pPr>
          </w:p>
        </w:tc>
        <w:tc>
          <w:tcPr>
            <w:tcW w:w="1206" w:type="dxa"/>
            <w:tcBorders>
              <w:left w:val="none" w:sz="4" w:space="0" w:color="000000"/>
              <w:bottom w:val="none" w:sz="4" w:space="0" w:color="000000"/>
              <w:right w:val="none" w:sz="4" w:space="0" w:color="000000"/>
            </w:tcBorders>
            <w:vAlign w:val="center"/>
          </w:tcPr>
          <w:p w14:paraId="7692FB96" w14:textId="77777777" w:rsidR="00D82E82" w:rsidRPr="007C734C" w:rsidRDefault="00D82E82" w:rsidP="009B1BC4">
            <w:pPr>
              <w:rPr>
                <w:rFonts w:cs="Segoe UI"/>
                <w:b/>
                <w:bCs/>
              </w:rPr>
            </w:pPr>
          </w:p>
        </w:tc>
        <w:tc>
          <w:tcPr>
            <w:tcW w:w="1279" w:type="dxa"/>
            <w:tcBorders>
              <w:left w:val="none" w:sz="4" w:space="0" w:color="000000"/>
              <w:bottom w:val="none" w:sz="4" w:space="0" w:color="000000"/>
            </w:tcBorders>
            <w:vAlign w:val="center"/>
          </w:tcPr>
          <w:p w14:paraId="7FCAA605" w14:textId="77777777" w:rsidR="00D82E82" w:rsidRPr="007C734C" w:rsidRDefault="00D82E82" w:rsidP="009B1BC4">
            <w:pPr>
              <w:rPr>
                <w:rFonts w:cs="Segoe UI"/>
                <w:b/>
                <w:bCs/>
              </w:rPr>
            </w:pPr>
          </w:p>
        </w:tc>
      </w:tr>
      <w:tr w:rsidR="00D82E82" w:rsidRPr="007C734C" w14:paraId="3FFBCB47" w14:textId="77777777" w:rsidTr="009B1BC4">
        <w:trPr>
          <w:trHeight w:val="885"/>
        </w:trPr>
        <w:tc>
          <w:tcPr>
            <w:tcW w:w="2268" w:type="dxa"/>
            <w:gridSpan w:val="2"/>
            <w:vMerge/>
            <w:tcBorders>
              <w:bottom w:val="single" w:sz="4" w:space="0" w:color="auto"/>
            </w:tcBorders>
            <w:shd w:val="clear" w:color="auto" w:fill="D5DCE4" w:themeFill="text2" w:themeFillTint="33"/>
            <w:vAlign w:val="center"/>
          </w:tcPr>
          <w:p w14:paraId="4595AECE" w14:textId="77777777" w:rsidR="00D82E82" w:rsidRPr="007C734C" w:rsidRDefault="00D82E82" w:rsidP="009B1BC4">
            <w:pPr>
              <w:tabs>
                <w:tab w:val="left" w:pos="0"/>
              </w:tabs>
              <w:jc w:val="center"/>
              <w:rPr>
                <w:rFonts w:cs="Segoe UI"/>
                <w:b/>
                <w:bCs/>
              </w:rPr>
            </w:pPr>
          </w:p>
        </w:tc>
        <w:tc>
          <w:tcPr>
            <w:tcW w:w="1086" w:type="dxa"/>
            <w:tcBorders>
              <w:bottom w:val="single" w:sz="4" w:space="0" w:color="auto"/>
            </w:tcBorders>
            <w:shd w:val="clear" w:color="auto" w:fill="D5DCE4" w:themeFill="text2" w:themeFillTint="33"/>
            <w:vAlign w:val="center"/>
          </w:tcPr>
          <w:p w14:paraId="1A5FF5CC" w14:textId="77777777" w:rsidR="00D82E82" w:rsidRPr="007C734C" w:rsidRDefault="00D82E82" w:rsidP="009B1BC4">
            <w:pPr>
              <w:jc w:val="center"/>
              <w:rPr>
                <w:rFonts w:cs="Segoe UI"/>
              </w:rPr>
            </w:pPr>
            <w:r w:rsidRPr="007C734C">
              <w:rPr>
                <w:rFonts w:cs="Segoe UI"/>
              </w:rPr>
              <w:t>Vysoké</w:t>
            </w:r>
          </w:p>
        </w:tc>
        <w:tc>
          <w:tcPr>
            <w:tcW w:w="1371" w:type="dxa"/>
            <w:tcBorders>
              <w:bottom w:val="single" w:sz="4" w:space="0" w:color="auto"/>
            </w:tcBorders>
            <w:shd w:val="clear" w:color="auto" w:fill="D5DCE4" w:themeFill="text2" w:themeFillTint="33"/>
            <w:vAlign w:val="center"/>
          </w:tcPr>
          <w:p w14:paraId="6E65483B" w14:textId="77777777" w:rsidR="00D82E82" w:rsidRPr="007C734C" w:rsidRDefault="00D82E82" w:rsidP="009B1BC4">
            <w:pPr>
              <w:jc w:val="center"/>
              <w:rPr>
                <w:rFonts w:cs="Segoe UI"/>
              </w:rPr>
            </w:pPr>
            <w:r w:rsidRPr="007C734C">
              <w:rPr>
                <w:rFonts w:cs="Segoe UI"/>
              </w:rPr>
              <w:t>Střední</w:t>
            </w:r>
          </w:p>
        </w:tc>
        <w:tc>
          <w:tcPr>
            <w:tcW w:w="1371" w:type="dxa"/>
            <w:tcBorders>
              <w:bottom w:val="single" w:sz="4" w:space="0" w:color="auto"/>
            </w:tcBorders>
            <w:shd w:val="clear" w:color="auto" w:fill="D5DCE4" w:themeFill="text2" w:themeFillTint="33"/>
            <w:vAlign w:val="center"/>
          </w:tcPr>
          <w:p w14:paraId="3E90F752" w14:textId="77777777" w:rsidR="00D82E82" w:rsidRPr="007C734C" w:rsidRDefault="00D82E82" w:rsidP="009B1BC4">
            <w:pPr>
              <w:jc w:val="center"/>
              <w:rPr>
                <w:rFonts w:cs="Segoe UI"/>
              </w:rPr>
            </w:pPr>
            <w:r w:rsidRPr="007C734C">
              <w:rPr>
                <w:rFonts w:cs="Segoe UI"/>
              </w:rPr>
              <w:t>Nízké</w:t>
            </w:r>
          </w:p>
        </w:tc>
        <w:tc>
          <w:tcPr>
            <w:tcW w:w="353" w:type="dxa"/>
            <w:tcBorders>
              <w:top w:val="none" w:sz="4" w:space="0" w:color="000000"/>
              <w:bottom w:val="none" w:sz="4" w:space="0" w:color="000000"/>
              <w:right w:val="none" w:sz="4" w:space="0" w:color="000000"/>
            </w:tcBorders>
            <w:vAlign w:val="center"/>
          </w:tcPr>
          <w:p w14:paraId="5A6CD03E" w14:textId="77777777" w:rsidR="00D82E82" w:rsidRPr="007C734C" w:rsidRDefault="00D82E82" w:rsidP="009B1BC4">
            <w:pPr>
              <w:jc w:val="center"/>
              <w:rPr>
                <w:rFonts w:cs="Segoe UI"/>
              </w:rPr>
            </w:pPr>
          </w:p>
        </w:tc>
        <w:tc>
          <w:tcPr>
            <w:tcW w:w="2485" w:type="dxa"/>
            <w:gridSpan w:val="2"/>
            <w:tcBorders>
              <w:top w:val="none" w:sz="4" w:space="0" w:color="000000"/>
              <w:left w:val="none" w:sz="4" w:space="0" w:color="000000"/>
              <w:bottom w:val="none" w:sz="4" w:space="0" w:color="000000"/>
            </w:tcBorders>
            <w:vAlign w:val="center"/>
          </w:tcPr>
          <w:p w14:paraId="1B7DB0FE" w14:textId="77777777" w:rsidR="00D82E82" w:rsidRPr="007C734C" w:rsidRDefault="00D82E82" w:rsidP="009B1BC4">
            <w:pPr>
              <w:rPr>
                <w:rFonts w:cs="Segoe UI"/>
              </w:rPr>
            </w:pPr>
            <w:r w:rsidRPr="007C734C">
              <w:rPr>
                <w:rFonts w:cs="Segoe UI"/>
              </w:rPr>
              <w:t>Úroveň zranitelnosti:</w:t>
            </w:r>
          </w:p>
        </w:tc>
      </w:tr>
      <w:tr w:rsidR="00D82E82" w:rsidRPr="007C734C" w14:paraId="2A38BE13" w14:textId="77777777" w:rsidTr="009B1BC4">
        <w:trPr>
          <w:trHeight w:val="987"/>
        </w:trPr>
        <w:tc>
          <w:tcPr>
            <w:tcW w:w="1134" w:type="dxa"/>
            <w:vMerge w:val="restart"/>
            <w:shd w:val="clear" w:color="auto" w:fill="D5DCE4" w:themeFill="text2" w:themeFillTint="33"/>
            <w:textDirection w:val="btLr"/>
            <w:vAlign w:val="center"/>
          </w:tcPr>
          <w:p w14:paraId="39B235D0" w14:textId="77777777" w:rsidR="00D82E82" w:rsidRPr="007C734C" w:rsidRDefault="00D82E82" w:rsidP="009B1BC4">
            <w:pPr>
              <w:tabs>
                <w:tab w:val="left" w:pos="0"/>
              </w:tabs>
              <w:ind w:left="113" w:right="113"/>
              <w:jc w:val="center"/>
              <w:rPr>
                <w:rFonts w:cs="Segoe UI"/>
                <w:b/>
                <w:bCs/>
              </w:rPr>
            </w:pPr>
            <w:r w:rsidRPr="007C734C">
              <w:rPr>
                <w:rFonts w:cs="Segoe UI"/>
                <w:b/>
                <w:bCs/>
              </w:rPr>
              <w:lastRenderedPageBreak/>
              <w:t>Citlivost (nejvyšší skóre)</w:t>
            </w:r>
          </w:p>
        </w:tc>
        <w:tc>
          <w:tcPr>
            <w:tcW w:w="1134" w:type="dxa"/>
            <w:shd w:val="clear" w:color="auto" w:fill="D5DCE4" w:themeFill="text2" w:themeFillTint="33"/>
            <w:vAlign w:val="center"/>
          </w:tcPr>
          <w:p w14:paraId="04C7504C" w14:textId="77777777" w:rsidR="00D82E82" w:rsidRPr="007C734C" w:rsidRDefault="00D82E82" w:rsidP="009B1BC4">
            <w:pPr>
              <w:tabs>
                <w:tab w:val="left" w:pos="0"/>
              </w:tabs>
              <w:jc w:val="center"/>
              <w:rPr>
                <w:rFonts w:cs="Segoe UI"/>
              </w:rPr>
            </w:pPr>
            <w:r w:rsidRPr="007C734C">
              <w:rPr>
                <w:rFonts w:cs="Segoe UI"/>
              </w:rPr>
              <w:t>Vysoké</w:t>
            </w:r>
          </w:p>
        </w:tc>
        <w:tc>
          <w:tcPr>
            <w:tcW w:w="1086" w:type="dxa"/>
            <w:shd w:val="clear" w:color="auto" w:fill="FF0000"/>
            <w:vAlign w:val="center"/>
          </w:tcPr>
          <w:p w14:paraId="6D601E04" w14:textId="77777777" w:rsidR="00D82E82" w:rsidRPr="007C734C" w:rsidRDefault="00D82E82" w:rsidP="009B1BC4">
            <w:pPr>
              <w:jc w:val="center"/>
              <w:rPr>
                <w:rFonts w:cs="Segoe UI"/>
                <w:i/>
                <w:iCs/>
              </w:rPr>
            </w:pPr>
            <w:proofErr w:type="spellStart"/>
            <w:r w:rsidRPr="007C734C">
              <w:rPr>
                <w:rFonts w:cs="Segoe UI"/>
                <w:i/>
                <w:iCs/>
              </w:rPr>
              <w:t>xxx</w:t>
            </w:r>
            <w:proofErr w:type="spellEnd"/>
          </w:p>
        </w:tc>
        <w:tc>
          <w:tcPr>
            <w:tcW w:w="1371" w:type="dxa"/>
            <w:shd w:val="clear" w:color="auto" w:fill="FF0000"/>
            <w:vAlign w:val="center"/>
          </w:tcPr>
          <w:p w14:paraId="1B6C7851" w14:textId="77777777" w:rsidR="00D82E82" w:rsidRPr="007C734C" w:rsidRDefault="00D82E82" w:rsidP="009B1BC4">
            <w:pPr>
              <w:jc w:val="center"/>
              <w:rPr>
                <w:rFonts w:cs="Segoe UI"/>
                <w:i/>
                <w:iCs/>
              </w:rPr>
            </w:pPr>
            <w:proofErr w:type="spellStart"/>
            <w:r w:rsidRPr="007C734C">
              <w:rPr>
                <w:rFonts w:cs="Segoe UI"/>
                <w:i/>
                <w:iCs/>
              </w:rPr>
              <w:t>xxx</w:t>
            </w:r>
            <w:proofErr w:type="spellEnd"/>
          </w:p>
        </w:tc>
        <w:tc>
          <w:tcPr>
            <w:tcW w:w="1371" w:type="dxa"/>
            <w:shd w:val="clear" w:color="auto" w:fill="FFC000"/>
            <w:vAlign w:val="center"/>
          </w:tcPr>
          <w:p w14:paraId="2B506E74" w14:textId="77777777" w:rsidR="00D82E82" w:rsidRPr="007C734C" w:rsidRDefault="00D82E82" w:rsidP="009B1BC4">
            <w:pPr>
              <w:jc w:val="center"/>
              <w:rPr>
                <w:rFonts w:cs="Segoe UI"/>
                <w:i/>
                <w:iCs/>
              </w:rPr>
            </w:pPr>
            <w:proofErr w:type="spellStart"/>
            <w:r w:rsidRPr="007C734C">
              <w:rPr>
                <w:rFonts w:cs="Segoe UI"/>
                <w:i/>
                <w:iCs/>
              </w:rPr>
              <w:t>xxx</w:t>
            </w:r>
            <w:proofErr w:type="spellEnd"/>
          </w:p>
        </w:tc>
        <w:tc>
          <w:tcPr>
            <w:tcW w:w="353" w:type="dxa"/>
            <w:tcBorders>
              <w:top w:val="none" w:sz="4" w:space="0" w:color="000000"/>
              <w:bottom w:val="none" w:sz="4" w:space="0" w:color="000000"/>
              <w:right w:val="none" w:sz="4" w:space="0" w:color="000000"/>
            </w:tcBorders>
            <w:vAlign w:val="center"/>
          </w:tcPr>
          <w:p w14:paraId="47AA265E" w14:textId="77777777" w:rsidR="00D82E82" w:rsidRPr="007C734C" w:rsidRDefault="00D82E82" w:rsidP="009B1BC4">
            <w:pPr>
              <w:jc w:val="center"/>
              <w:rPr>
                <w:rFonts w:cs="Segoe UI"/>
              </w:rPr>
            </w:pPr>
          </w:p>
        </w:tc>
        <w:tc>
          <w:tcPr>
            <w:tcW w:w="1206" w:type="dxa"/>
            <w:tcBorders>
              <w:top w:val="none" w:sz="4" w:space="0" w:color="000000"/>
              <w:left w:val="none" w:sz="4" w:space="0" w:color="000000"/>
              <w:bottom w:val="none" w:sz="4" w:space="0" w:color="000000"/>
              <w:right w:val="single" w:sz="4" w:space="0" w:color="auto"/>
            </w:tcBorders>
            <w:vAlign w:val="center"/>
          </w:tcPr>
          <w:p w14:paraId="658EAFE6" w14:textId="77777777" w:rsidR="00D82E82" w:rsidRPr="007C734C" w:rsidRDefault="00D82E82" w:rsidP="009B1BC4">
            <w:pPr>
              <w:rPr>
                <w:rFonts w:cs="Segoe UI"/>
              </w:rPr>
            </w:pPr>
            <w:r w:rsidRPr="007C734C">
              <w:rPr>
                <w:rFonts w:cs="Segoe UI"/>
              </w:rPr>
              <w:t>Vysoká</w:t>
            </w:r>
          </w:p>
        </w:tc>
        <w:tc>
          <w:tcPr>
            <w:tcW w:w="1279" w:type="dxa"/>
            <w:tcBorders>
              <w:top w:val="single" w:sz="4" w:space="0" w:color="auto"/>
              <w:left w:val="single" w:sz="4" w:space="0" w:color="auto"/>
              <w:bottom w:val="single" w:sz="4" w:space="0" w:color="auto"/>
            </w:tcBorders>
            <w:shd w:val="clear" w:color="auto" w:fill="FF0000"/>
            <w:vAlign w:val="center"/>
          </w:tcPr>
          <w:p w14:paraId="2DFEFCE6" w14:textId="77777777" w:rsidR="00D82E82" w:rsidRPr="007C734C" w:rsidRDefault="00D82E82" w:rsidP="009B1BC4">
            <w:pPr>
              <w:rPr>
                <w:rFonts w:cs="Segoe UI"/>
              </w:rPr>
            </w:pPr>
          </w:p>
        </w:tc>
      </w:tr>
      <w:tr w:rsidR="00D82E82" w:rsidRPr="007C734C" w14:paraId="0E898846" w14:textId="77777777" w:rsidTr="009B1BC4">
        <w:trPr>
          <w:trHeight w:val="987"/>
        </w:trPr>
        <w:tc>
          <w:tcPr>
            <w:tcW w:w="1134" w:type="dxa"/>
            <w:vMerge/>
            <w:shd w:val="clear" w:color="auto" w:fill="D5DCE4" w:themeFill="text2" w:themeFillTint="33"/>
            <w:textDirection w:val="btLr"/>
            <w:vAlign w:val="center"/>
          </w:tcPr>
          <w:p w14:paraId="5DE0B36C" w14:textId="77777777" w:rsidR="00D82E82" w:rsidRPr="007C734C" w:rsidRDefault="00D82E82" w:rsidP="009B1BC4">
            <w:pPr>
              <w:tabs>
                <w:tab w:val="left" w:pos="0"/>
              </w:tabs>
              <w:ind w:left="113" w:right="113"/>
              <w:jc w:val="center"/>
              <w:rPr>
                <w:rFonts w:cs="Segoe UI"/>
                <w:b/>
                <w:bCs/>
              </w:rPr>
            </w:pPr>
          </w:p>
        </w:tc>
        <w:tc>
          <w:tcPr>
            <w:tcW w:w="1134" w:type="dxa"/>
            <w:shd w:val="clear" w:color="auto" w:fill="D5DCE4" w:themeFill="text2" w:themeFillTint="33"/>
            <w:vAlign w:val="center"/>
          </w:tcPr>
          <w:p w14:paraId="10500BE1" w14:textId="77777777" w:rsidR="00D82E82" w:rsidRPr="007C734C" w:rsidRDefault="00D82E82" w:rsidP="009B1BC4">
            <w:pPr>
              <w:tabs>
                <w:tab w:val="left" w:pos="0"/>
              </w:tabs>
              <w:jc w:val="center"/>
              <w:rPr>
                <w:rFonts w:cs="Segoe UI"/>
              </w:rPr>
            </w:pPr>
            <w:r w:rsidRPr="007C734C">
              <w:rPr>
                <w:rFonts w:cs="Segoe UI"/>
              </w:rPr>
              <w:t>Střední</w:t>
            </w:r>
          </w:p>
        </w:tc>
        <w:tc>
          <w:tcPr>
            <w:tcW w:w="1086" w:type="dxa"/>
            <w:shd w:val="clear" w:color="auto" w:fill="FF0000"/>
            <w:vAlign w:val="center"/>
          </w:tcPr>
          <w:p w14:paraId="69E481D0" w14:textId="77777777" w:rsidR="00D82E82" w:rsidRPr="007C734C" w:rsidRDefault="00D82E82" w:rsidP="009B1BC4">
            <w:pPr>
              <w:jc w:val="center"/>
              <w:rPr>
                <w:rFonts w:cs="Segoe UI"/>
                <w:i/>
                <w:iCs/>
              </w:rPr>
            </w:pPr>
            <w:proofErr w:type="spellStart"/>
            <w:r w:rsidRPr="007C734C">
              <w:rPr>
                <w:rFonts w:cs="Segoe UI"/>
                <w:i/>
                <w:iCs/>
              </w:rPr>
              <w:t>xxx</w:t>
            </w:r>
            <w:proofErr w:type="spellEnd"/>
          </w:p>
        </w:tc>
        <w:tc>
          <w:tcPr>
            <w:tcW w:w="1371" w:type="dxa"/>
            <w:shd w:val="clear" w:color="auto" w:fill="FFC000"/>
            <w:vAlign w:val="center"/>
          </w:tcPr>
          <w:p w14:paraId="7E5508E9" w14:textId="77777777" w:rsidR="00D82E82" w:rsidRPr="007C734C" w:rsidRDefault="00D82E82" w:rsidP="009B1BC4">
            <w:pPr>
              <w:jc w:val="center"/>
              <w:rPr>
                <w:rFonts w:cs="Segoe UI"/>
                <w:i/>
                <w:iCs/>
              </w:rPr>
            </w:pPr>
            <w:proofErr w:type="spellStart"/>
            <w:r w:rsidRPr="007C734C">
              <w:rPr>
                <w:rFonts w:cs="Segoe UI"/>
                <w:i/>
                <w:iCs/>
              </w:rPr>
              <w:t>xxx</w:t>
            </w:r>
            <w:proofErr w:type="spellEnd"/>
          </w:p>
        </w:tc>
        <w:tc>
          <w:tcPr>
            <w:tcW w:w="1371" w:type="dxa"/>
            <w:shd w:val="clear" w:color="auto" w:fill="92D050"/>
            <w:vAlign w:val="center"/>
          </w:tcPr>
          <w:p w14:paraId="1F43D89E" w14:textId="77777777" w:rsidR="00D82E82" w:rsidRPr="007C734C" w:rsidRDefault="00D82E82" w:rsidP="009B1BC4">
            <w:pPr>
              <w:jc w:val="center"/>
              <w:rPr>
                <w:rFonts w:cs="Segoe UI"/>
                <w:i/>
                <w:iCs/>
              </w:rPr>
            </w:pPr>
            <w:proofErr w:type="spellStart"/>
            <w:r w:rsidRPr="007C734C">
              <w:rPr>
                <w:rFonts w:cs="Segoe UI"/>
                <w:i/>
                <w:iCs/>
              </w:rPr>
              <w:t>xxx</w:t>
            </w:r>
            <w:proofErr w:type="spellEnd"/>
          </w:p>
        </w:tc>
        <w:tc>
          <w:tcPr>
            <w:tcW w:w="353" w:type="dxa"/>
            <w:tcBorders>
              <w:top w:val="none" w:sz="4" w:space="0" w:color="000000"/>
              <w:bottom w:val="none" w:sz="4" w:space="0" w:color="000000"/>
              <w:right w:val="none" w:sz="4" w:space="0" w:color="000000"/>
            </w:tcBorders>
            <w:vAlign w:val="center"/>
          </w:tcPr>
          <w:p w14:paraId="08D9F68D" w14:textId="77777777" w:rsidR="00D82E82" w:rsidRPr="007C734C" w:rsidRDefault="00D82E82" w:rsidP="009B1BC4">
            <w:pPr>
              <w:jc w:val="center"/>
              <w:rPr>
                <w:rFonts w:cs="Segoe UI"/>
              </w:rPr>
            </w:pPr>
          </w:p>
        </w:tc>
        <w:tc>
          <w:tcPr>
            <w:tcW w:w="1206" w:type="dxa"/>
            <w:tcBorders>
              <w:top w:val="none" w:sz="4" w:space="0" w:color="000000"/>
              <w:left w:val="none" w:sz="4" w:space="0" w:color="000000"/>
              <w:bottom w:val="none" w:sz="4" w:space="0" w:color="000000"/>
              <w:right w:val="single" w:sz="4" w:space="0" w:color="auto"/>
            </w:tcBorders>
            <w:vAlign w:val="center"/>
          </w:tcPr>
          <w:p w14:paraId="2CD427D6" w14:textId="77777777" w:rsidR="00D82E82" w:rsidRPr="007C734C" w:rsidRDefault="00D82E82" w:rsidP="009B1BC4">
            <w:pPr>
              <w:rPr>
                <w:rFonts w:cs="Segoe UI"/>
              </w:rPr>
            </w:pPr>
            <w:r w:rsidRPr="007C734C">
              <w:rPr>
                <w:rFonts w:cs="Segoe UI"/>
              </w:rPr>
              <w:t>Střední</w:t>
            </w:r>
          </w:p>
        </w:tc>
        <w:tc>
          <w:tcPr>
            <w:tcW w:w="1279" w:type="dxa"/>
            <w:tcBorders>
              <w:top w:val="single" w:sz="4" w:space="0" w:color="auto"/>
              <w:left w:val="single" w:sz="4" w:space="0" w:color="auto"/>
              <w:bottom w:val="single" w:sz="4" w:space="0" w:color="auto"/>
            </w:tcBorders>
            <w:shd w:val="clear" w:color="auto" w:fill="FFC000"/>
            <w:vAlign w:val="center"/>
          </w:tcPr>
          <w:p w14:paraId="62090173" w14:textId="77777777" w:rsidR="00D82E82" w:rsidRPr="007C734C" w:rsidRDefault="00D82E82" w:rsidP="009B1BC4">
            <w:pPr>
              <w:rPr>
                <w:rFonts w:cs="Segoe UI"/>
              </w:rPr>
            </w:pPr>
          </w:p>
        </w:tc>
      </w:tr>
      <w:tr w:rsidR="00D82E82" w:rsidRPr="007C734C" w14:paraId="6FB4F137" w14:textId="77777777" w:rsidTr="009B1BC4">
        <w:trPr>
          <w:trHeight w:val="987"/>
        </w:trPr>
        <w:tc>
          <w:tcPr>
            <w:tcW w:w="1134" w:type="dxa"/>
            <w:vMerge/>
            <w:shd w:val="clear" w:color="auto" w:fill="D5DCE4" w:themeFill="text2" w:themeFillTint="33"/>
            <w:vAlign w:val="center"/>
          </w:tcPr>
          <w:p w14:paraId="4D3DA3B2" w14:textId="77777777" w:rsidR="00D82E82" w:rsidRPr="007C734C" w:rsidRDefault="00D82E82" w:rsidP="009B1BC4">
            <w:pPr>
              <w:tabs>
                <w:tab w:val="left" w:pos="0"/>
              </w:tabs>
              <w:jc w:val="center"/>
              <w:rPr>
                <w:rFonts w:cs="Segoe UI"/>
                <w:b/>
                <w:bCs/>
              </w:rPr>
            </w:pPr>
          </w:p>
        </w:tc>
        <w:tc>
          <w:tcPr>
            <w:tcW w:w="1134" w:type="dxa"/>
            <w:shd w:val="clear" w:color="auto" w:fill="D5DCE4" w:themeFill="text2" w:themeFillTint="33"/>
            <w:vAlign w:val="center"/>
          </w:tcPr>
          <w:p w14:paraId="50BDBB54" w14:textId="77777777" w:rsidR="00D82E82" w:rsidRPr="007C734C" w:rsidRDefault="00D82E82" w:rsidP="009B1BC4">
            <w:pPr>
              <w:tabs>
                <w:tab w:val="left" w:pos="0"/>
              </w:tabs>
              <w:jc w:val="center"/>
              <w:rPr>
                <w:rFonts w:cs="Segoe UI"/>
              </w:rPr>
            </w:pPr>
            <w:r w:rsidRPr="007C734C">
              <w:rPr>
                <w:rFonts w:cs="Segoe UI"/>
              </w:rPr>
              <w:t>Nízké</w:t>
            </w:r>
          </w:p>
        </w:tc>
        <w:tc>
          <w:tcPr>
            <w:tcW w:w="1086" w:type="dxa"/>
            <w:shd w:val="clear" w:color="auto" w:fill="FFC000"/>
            <w:vAlign w:val="center"/>
          </w:tcPr>
          <w:p w14:paraId="19C8734A" w14:textId="77777777" w:rsidR="00D82E82" w:rsidRPr="007C734C" w:rsidRDefault="00D82E82" w:rsidP="009B1BC4">
            <w:pPr>
              <w:jc w:val="center"/>
              <w:rPr>
                <w:rFonts w:cs="Segoe UI"/>
                <w:i/>
                <w:iCs/>
              </w:rPr>
            </w:pPr>
            <w:proofErr w:type="spellStart"/>
            <w:r w:rsidRPr="007C734C">
              <w:rPr>
                <w:rFonts w:cs="Segoe UI"/>
                <w:i/>
                <w:iCs/>
              </w:rPr>
              <w:t>xxx</w:t>
            </w:r>
            <w:proofErr w:type="spellEnd"/>
          </w:p>
        </w:tc>
        <w:tc>
          <w:tcPr>
            <w:tcW w:w="1371" w:type="dxa"/>
            <w:shd w:val="clear" w:color="auto" w:fill="92D050"/>
            <w:vAlign w:val="center"/>
          </w:tcPr>
          <w:p w14:paraId="39FB9555" w14:textId="77777777" w:rsidR="00D82E82" w:rsidRPr="007C734C" w:rsidRDefault="00D82E82" w:rsidP="009B1BC4">
            <w:pPr>
              <w:jc w:val="center"/>
              <w:rPr>
                <w:rFonts w:cs="Segoe UI"/>
                <w:i/>
                <w:iCs/>
              </w:rPr>
            </w:pPr>
            <w:proofErr w:type="spellStart"/>
            <w:r w:rsidRPr="007C734C">
              <w:rPr>
                <w:rFonts w:cs="Segoe UI"/>
                <w:i/>
                <w:iCs/>
              </w:rPr>
              <w:t>xxx</w:t>
            </w:r>
            <w:proofErr w:type="spellEnd"/>
          </w:p>
        </w:tc>
        <w:tc>
          <w:tcPr>
            <w:tcW w:w="1371" w:type="dxa"/>
            <w:shd w:val="clear" w:color="auto" w:fill="92D050"/>
            <w:vAlign w:val="center"/>
          </w:tcPr>
          <w:p w14:paraId="039CA13E" w14:textId="77777777" w:rsidR="00D82E82" w:rsidRPr="007C734C" w:rsidRDefault="00D82E82" w:rsidP="009B1BC4">
            <w:pPr>
              <w:jc w:val="center"/>
              <w:rPr>
                <w:rFonts w:cs="Segoe UI"/>
                <w:i/>
                <w:iCs/>
              </w:rPr>
            </w:pPr>
            <w:proofErr w:type="spellStart"/>
            <w:r w:rsidRPr="007C734C">
              <w:rPr>
                <w:rFonts w:cs="Segoe UI"/>
                <w:i/>
                <w:iCs/>
              </w:rPr>
              <w:t>xxx</w:t>
            </w:r>
            <w:proofErr w:type="spellEnd"/>
          </w:p>
        </w:tc>
        <w:tc>
          <w:tcPr>
            <w:tcW w:w="353" w:type="dxa"/>
            <w:tcBorders>
              <w:top w:val="none" w:sz="4" w:space="0" w:color="000000"/>
              <w:right w:val="none" w:sz="4" w:space="0" w:color="000000"/>
            </w:tcBorders>
            <w:vAlign w:val="center"/>
          </w:tcPr>
          <w:p w14:paraId="2AE28651" w14:textId="77777777" w:rsidR="00D82E82" w:rsidRPr="007C734C" w:rsidRDefault="00D82E82" w:rsidP="009B1BC4">
            <w:pPr>
              <w:jc w:val="center"/>
              <w:rPr>
                <w:rFonts w:cs="Segoe UI"/>
              </w:rPr>
            </w:pPr>
          </w:p>
        </w:tc>
        <w:tc>
          <w:tcPr>
            <w:tcW w:w="1206" w:type="dxa"/>
            <w:tcBorders>
              <w:top w:val="none" w:sz="4" w:space="0" w:color="000000"/>
              <w:left w:val="none" w:sz="4" w:space="0" w:color="000000"/>
              <w:right w:val="single" w:sz="4" w:space="0" w:color="auto"/>
            </w:tcBorders>
            <w:vAlign w:val="center"/>
          </w:tcPr>
          <w:p w14:paraId="4F478D25" w14:textId="77777777" w:rsidR="00D82E82" w:rsidRPr="007C734C" w:rsidRDefault="00D82E82" w:rsidP="009B1BC4">
            <w:pPr>
              <w:rPr>
                <w:rFonts w:cs="Segoe UI"/>
              </w:rPr>
            </w:pPr>
            <w:r w:rsidRPr="007C734C">
              <w:rPr>
                <w:rFonts w:cs="Segoe UI"/>
              </w:rPr>
              <w:t>Nízká</w:t>
            </w:r>
          </w:p>
        </w:tc>
        <w:tc>
          <w:tcPr>
            <w:tcW w:w="1279" w:type="dxa"/>
            <w:tcBorders>
              <w:top w:val="single" w:sz="4" w:space="0" w:color="auto"/>
              <w:left w:val="single" w:sz="4" w:space="0" w:color="auto"/>
            </w:tcBorders>
            <w:shd w:val="clear" w:color="auto" w:fill="92D050"/>
            <w:vAlign w:val="center"/>
          </w:tcPr>
          <w:p w14:paraId="06FE955E" w14:textId="77777777" w:rsidR="00D82E82" w:rsidRPr="007C734C" w:rsidRDefault="00D82E82" w:rsidP="009B1BC4">
            <w:pPr>
              <w:rPr>
                <w:rFonts w:cs="Segoe UI"/>
              </w:rPr>
            </w:pPr>
          </w:p>
        </w:tc>
      </w:tr>
    </w:tbl>
    <w:p w14:paraId="58BE146D" w14:textId="77777777" w:rsidR="003324BE" w:rsidRPr="003324BE" w:rsidRDefault="003324BE" w:rsidP="00DB1A0B"/>
    <w:p w14:paraId="09E40AB1" w14:textId="08A25328" w:rsidR="00104606" w:rsidRPr="006A45B6" w:rsidRDefault="003324BE" w:rsidP="00141780">
      <w:pPr>
        <w:pStyle w:val="Nadpis4"/>
      </w:pPr>
      <w:r>
        <w:t xml:space="preserve">Podrobná analýza na základě analýzy zranitelnosti </w:t>
      </w:r>
      <w:r w:rsidR="00A00A44">
        <w:t>(fáze 2)</w:t>
      </w:r>
    </w:p>
    <w:p w14:paraId="0C7AD4D0" w14:textId="77777777" w:rsidR="00104606" w:rsidRPr="00DA0149" w:rsidRDefault="00104606" w:rsidP="00104606">
      <w:pPr>
        <w:rPr>
          <w:rFonts w:cs="Segoe UI"/>
          <w:bCs/>
        </w:rPr>
      </w:pPr>
      <w:r w:rsidRPr="00DA0149">
        <w:rPr>
          <w:rFonts w:cs="Segoe UI"/>
          <w:bCs/>
        </w:rPr>
        <w:t xml:space="preserve">Pro fázi 2 v oblasti přizpůsobování se změně klimatu (adaptace) se doporučuje využívat služeb stávající certifikovaných / autorizovaných osob z následujícího okruhu: </w:t>
      </w:r>
    </w:p>
    <w:p w14:paraId="5F42DEFE" w14:textId="77777777" w:rsidR="00104606" w:rsidRPr="00DA0149" w:rsidRDefault="00104606" w:rsidP="00104606">
      <w:pPr>
        <w:pStyle w:val="Odstavecseseznamem"/>
        <w:numPr>
          <w:ilvl w:val="0"/>
          <w:numId w:val="49"/>
        </w:numPr>
        <w:spacing w:line="276" w:lineRule="auto"/>
        <w:rPr>
          <w:rFonts w:cs="Segoe UI"/>
          <w:b/>
        </w:rPr>
      </w:pPr>
      <w:r w:rsidRPr="00DA0149">
        <w:rPr>
          <w:rFonts w:cs="Segoe UI"/>
          <w:b/>
        </w:rPr>
        <w:t>akreditovaní environmentální ověřovatelé pro systémy EMAS (</w:t>
      </w:r>
      <w:proofErr w:type="spellStart"/>
      <w:r w:rsidRPr="00DA0149">
        <w:rPr>
          <w:rFonts w:cs="Segoe UI"/>
          <w:b/>
        </w:rPr>
        <w:t>Eco</w:t>
      </w:r>
      <w:proofErr w:type="spellEnd"/>
      <w:r w:rsidRPr="00DA0149">
        <w:rPr>
          <w:rFonts w:cs="Segoe UI"/>
          <w:b/>
        </w:rPr>
        <w:t xml:space="preserve"> Management and Audit </w:t>
      </w:r>
      <w:proofErr w:type="spellStart"/>
      <w:r w:rsidRPr="00DA0149">
        <w:rPr>
          <w:rFonts w:cs="Segoe UI"/>
          <w:b/>
        </w:rPr>
        <w:t>Scheme</w:t>
      </w:r>
      <w:proofErr w:type="spellEnd"/>
      <w:r w:rsidRPr="00DA0149">
        <w:rPr>
          <w:rFonts w:cs="Segoe UI"/>
          <w:b/>
        </w:rPr>
        <w:t>),</w:t>
      </w:r>
    </w:p>
    <w:p w14:paraId="23718F4A" w14:textId="77777777" w:rsidR="00104606" w:rsidRPr="00DA0149" w:rsidRDefault="00104606" w:rsidP="00104606">
      <w:pPr>
        <w:pStyle w:val="Odstavecseseznamem"/>
        <w:numPr>
          <w:ilvl w:val="0"/>
          <w:numId w:val="49"/>
        </w:numPr>
        <w:spacing w:line="276" w:lineRule="auto"/>
        <w:rPr>
          <w:rFonts w:cs="Segoe UI"/>
          <w:b/>
        </w:rPr>
      </w:pPr>
      <w:r w:rsidRPr="00DA0149">
        <w:rPr>
          <w:rFonts w:cs="Segoe UI"/>
          <w:b/>
        </w:rPr>
        <w:t>autorizovaní inženýři sdružení v České komoře autorizovaných inženýrů a techniků činných ve výstavbě (ČKAIT),</w:t>
      </w:r>
    </w:p>
    <w:p w14:paraId="5692DBA1" w14:textId="1E76566B" w:rsidR="00104606" w:rsidRPr="00DA0149" w:rsidRDefault="008404B5" w:rsidP="00104606">
      <w:pPr>
        <w:pStyle w:val="Odstavecseseznamem"/>
        <w:numPr>
          <w:ilvl w:val="0"/>
          <w:numId w:val="49"/>
        </w:numPr>
        <w:spacing w:line="276" w:lineRule="auto"/>
        <w:rPr>
          <w:rFonts w:cs="Segoe UI"/>
          <w:b/>
        </w:rPr>
      </w:pPr>
      <w:r w:rsidRPr="008404B5">
        <w:rPr>
          <w:rFonts w:cs="Segoe UI"/>
          <w:b/>
        </w:rPr>
        <w:t xml:space="preserve">osoby autorizované k provádění auditu dle </w:t>
      </w:r>
      <w:r>
        <w:rPr>
          <w:rFonts w:cs="Segoe UI"/>
          <w:b/>
        </w:rPr>
        <w:t xml:space="preserve">normy </w:t>
      </w:r>
      <w:r w:rsidR="00104606" w:rsidRPr="00DA0149">
        <w:rPr>
          <w:rFonts w:cs="Segoe UI"/>
          <w:b/>
        </w:rPr>
        <w:t xml:space="preserve">ISO 14091 - Adaptace na změny klimatu, </w:t>
      </w:r>
    </w:p>
    <w:p w14:paraId="5B008FD8" w14:textId="77777777" w:rsidR="00104606" w:rsidRPr="00DA0149" w:rsidRDefault="00104606" w:rsidP="00104606">
      <w:pPr>
        <w:pStyle w:val="Odstavecseseznamem"/>
        <w:numPr>
          <w:ilvl w:val="0"/>
          <w:numId w:val="49"/>
        </w:numPr>
        <w:spacing w:line="276" w:lineRule="auto"/>
        <w:rPr>
          <w:rFonts w:cs="Segoe UI"/>
          <w:b/>
        </w:rPr>
      </w:pPr>
      <w:r w:rsidRPr="00DA0149">
        <w:rPr>
          <w:rFonts w:cs="Segoe UI"/>
          <w:b/>
        </w:rPr>
        <w:t xml:space="preserve">osoby autorizované podle § 19 zákona č. 100/2001 Sb., o posuzování vlivů na životní prostředí a o změně některých souvisejících zákonů (EIA), </w:t>
      </w:r>
    </w:p>
    <w:p w14:paraId="3F9B41F0" w14:textId="77777777" w:rsidR="00104606" w:rsidRPr="00DA0149" w:rsidRDefault="00104606" w:rsidP="00104606">
      <w:pPr>
        <w:pStyle w:val="Odstavecseseznamem"/>
        <w:numPr>
          <w:ilvl w:val="0"/>
          <w:numId w:val="49"/>
        </w:numPr>
        <w:spacing w:line="276" w:lineRule="auto"/>
        <w:rPr>
          <w:rFonts w:cs="Segoe UI"/>
          <w:b/>
        </w:rPr>
      </w:pPr>
      <w:r w:rsidRPr="00DA0149">
        <w:rPr>
          <w:rFonts w:cs="Segoe UI"/>
          <w:b/>
        </w:rPr>
        <w:t>osoby autorizované k provádění auditu dle ISO 14001 - Systémy environmentálního managementu.</w:t>
      </w:r>
    </w:p>
    <w:p w14:paraId="423D6051" w14:textId="77777777" w:rsidR="00104606" w:rsidRPr="00DA0149" w:rsidRDefault="00104606" w:rsidP="00104606">
      <w:pPr>
        <w:pStyle w:val="Odstavecseseznamem"/>
        <w:numPr>
          <w:ilvl w:val="0"/>
          <w:numId w:val="4"/>
        </w:numPr>
        <w:spacing w:line="276" w:lineRule="auto"/>
        <w:rPr>
          <w:rFonts w:cs="Segoe UI"/>
          <w:b/>
        </w:rPr>
      </w:pPr>
      <w:r w:rsidRPr="00DA0149">
        <w:rPr>
          <w:rFonts w:cs="Segoe UI"/>
          <w:b/>
        </w:rPr>
        <w:t>osoby se zkušenostmi s tvorbou adaptačních strategií či akčních plánů pro udržitelnou energii a klima (SECAP)</w:t>
      </w:r>
    </w:p>
    <w:p w14:paraId="47A4CBE2" w14:textId="77777777" w:rsidR="00104606" w:rsidRPr="00DA0149" w:rsidRDefault="00104606" w:rsidP="00104606">
      <w:pPr>
        <w:spacing w:before="240"/>
        <w:rPr>
          <w:rFonts w:cs="Segoe UI"/>
          <w:bCs/>
        </w:rPr>
      </w:pPr>
      <w:r w:rsidRPr="00DA0149">
        <w:rPr>
          <w:rFonts w:cs="Segoe UI"/>
          <w:bCs/>
        </w:rPr>
        <w:t>Cílem fáze 2 je posouzení klimatických rizik včetně analýz pravděpodobnosti a dopadu u klimatických rizik vyhodnocených ve fázi jedna jako střední nebo vysoká v rámci analýzy zranitelnosti.</w:t>
      </w:r>
    </w:p>
    <w:p w14:paraId="182E6962" w14:textId="77777777" w:rsidR="00104606" w:rsidRPr="003324BE" w:rsidRDefault="00104606" w:rsidP="00DB1A0B">
      <w:pPr>
        <w:pStyle w:val="Nadpis5"/>
      </w:pPr>
      <w:r w:rsidRPr="003324BE">
        <w:t>Analýza pravděpodobnosti</w:t>
      </w:r>
    </w:p>
    <w:p w14:paraId="478D84A1" w14:textId="77777777" w:rsidR="00104606" w:rsidRPr="00DA0149" w:rsidRDefault="00104606" w:rsidP="00104606">
      <w:pPr>
        <w:rPr>
          <w:rFonts w:cs="Segoe UI"/>
        </w:rPr>
      </w:pPr>
      <w:r w:rsidRPr="00DA0149">
        <w:rPr>
          <w:rFonts w:cs="Segoe UI"/>
        </w:rPr>
        <w:t>Zpracovatel vypracuje analýzu pravděpodobnosti (výskytu určených klimatických nebezpečí v daném časovém rámci projektu). Výstupem analýzy pravděpodobnosti bude kvalifikovaný odhad pravděpodobnosti výskytu každého klimatického nebezpečí s vysokou nebo střední úrovní zranitelnosti v průběhu předpokládané životnosti infrastruktury.</w:t>
      </w:r>
    </w:p>
    <w:p w14:paraId="1B25FEE4" w14:textId="77777777" w:rsidR="00104606" w:rsidRPr="003324BE" w:rsidRDefault="00104606" w:rsidP="00DB1A0B">
      <w:pPr>
        <w:pStyle w:val="Nadpis5"/>
      </w:pPr>
      <w:r w:rsidRPr="003324BE">
        <w:t>Analýza dopadu</w:t>
      </w:r>
    </w:p>
    <w:p w14:paraId="1BB0219C" w14:textId="77777777" w:rsidR="00104606" w:rsidRPr="00DA0149" w:rsidRDefault="00104606" w:rsidP="00104606">
      <w:pPr>
        <w:rPr>
          <w:rFonts w:cs="Segoe UI"/>
        </w:rPr>
      </w:pPr>
      <w:r w:rsidRPr="00DA0149">
        <w:rPr>
          <w:rFonts w:cs="Segoe UI"/>
        </w:rPr>
        <w:t>Zpracovatel vypracuje analýzu dopadu (výskytu určených klimatických nebezpečí v daném časovém rámci projektu). Výstupem analýzy dopadu bude kvalifikovaný odhad velikosti dopadu každého klimatického nebezpečí s vysokou nebo střední úrovní zranitelnosti na jednotlivé rizikové oblasti v průběhu předpokládané životnosti infrastruktury.</w:t>
      </w:r>
    </w:p>
    <w:p w14:paraId="4F061AAA" w14:textId="77777777" w:rsidR="00104606" w:rsidRPr="003324BE" w:rsidRDefault="00104606" w:rsidP="00DB1A0B">
      <w:pPr>
        <w:pStyle w:val="Nadpis5"/>
      </w:pPr>
      <w:r w:rsidRPr="003324BE">
        <w:lastRenderedPageBreak/>
        <w:t>Analýza rizik</w:t>
      </w:r>
    </w:p>
    <w:p w14:paraId="3839C00E" w14:textId="77777777" w:rsidR="00104606" w:rsidRPr="00DA0149" w:rsidRDefault="00104606" w:rsidP="00104606">
      <w:pPr>
        <w:rPr>
          <w:rFonts w:cs="Segoe UI"/>
        </w:rPr>
      </w:pPr>
      <w:r w:rsidRPr="00DA0149">
        <w:rPr>
          <w:rFonts w:cs="Segoe UI"/>
        </w:rPr>
        <w:t xml:space="preserve">Zpracovatel vypracuje </w:t>
      </w:r>
      <w:bookmarkStart w:id="114" w:name="_Hlk111646846"/>
      <w:r w:rsidRPr="00DA0149">
        <w:rPr>
          <w:rFonts w:cs="Segoe UI"/>
        </w:rPr>
        <w:t>analýzu rizik (která kombinuje výsledky analýzy pravděpodobnosti a analýzy dopadu)</w:t>
      </w:r>
      <w:bookmarkEnd w:id="114"/>
      <w:r w:rsidRPr="00DA0149">
        <w:rPr>
          <w:rFonts w:cs="Segoe UI"/>
        </w:rPr>
        <w:t xml:space="preserve">. </w:t>
      </w:r>
    </w:p>
    <w:p w14:paraId="1A8999D4" w14:textId="77777777" w:rsidR="00104606" w:rsidRPr="00DA0149" w:rsidRDefault="00104606" w:rsidP="00104606">
      <w:pPr>
        <w:rPr>
          <w:rFonts w:cs="Segoe UI"/>
        </w:rPr>
      </w:pPr>
      <w:r w:rsidRPr="00DA0149">
        <w:rPr>
          <w:rFonts w:cs="Segoe UI"/>
        </w:rPr>
        <w:t>Výstupem analýzy rizik v případě projektu infrastruktury bude následující tabulka:</w:t>
      </w:r>
    </w:p>
    <w:tbl>
      <w:tblPr>
        <w:tblStyle w:val="Mkatabulky"/>
        <w:tblW w:w="9072" w:type="dxa"/>
        <w:tblInd w:w="-5" w:type="dxa"/>
        <w:tblLayout w:type="fixed"/>
        <w:tblLook w:val="04A0" w:firstRow="1" w:lastRow="0" w:firstColumn="1" w:lastColumn="0" w:noHBand="0" w:noVBand="1"/>
      </w:tblPr>
      <w:tblGrid>
        <w:gridCol w:w="426"/>
        <w:gridCol w:w="1275"/>
        <w:gridCol w:w="1105"/>
        <w:gridCol w:w="1106"/>
        <w:gridCol w:w="1106"/>
        <w:gridCol w:w="1106"/>
        <w:gridCol w:w="1106"/>
        <w:gridCol w:w="283"/>
        <w:gridCol w:w="922"/>
        <w:gridCol w:w="637"/>
      </w:tblGrid>
      <w:tr w:rsidR="00104606" w:rsidRPr="00DA0149" w14:paraId="26B97096" w14:textId="77777777" w:rsidTr="009B1BC4">
        <w:trPr>
          <w:trHeight w:val="613"/>
        </w:trPr>
        <w:tc>
          <w:tcPr>
            <w:tcW w:w="9072" w:type="dxa"/>
            <w:gridSpan w:val="10"/>
            <w:shd w:val="clear" w:color="auto" w:fill="D5DCE4" w:themeFill="text2" w:themeFillTint="33"/>
            <w:vAlign w:val="center"/>
          </w:tcPr>
          <w:p w14:paraId="2BDF0B18" w14:textId="77777777" w:rsidR="00104606" w:rsidRPr="00DA0149" w:rsidRDefault="00104606" w:rsidP="009B1BC4">
            <w:pPr>
              <w:keepNext/>
              <w:rPr>
                <w:rFonts w:cs="Segoe UI"/>
                <w:b/>
                <w:bCs/>
              </w:rPr>
            </w:pPr>
            <w:r w:rsidRPr="00DA0149">
              <w:rPr>
                <w:rFonts w:cs="Segoe UI"/>
                <w:b/>
                <w:bCs/>
              </w:rPr>
              <w:t>Analýza rizik</w:t>
            </w:r>
          </w:p>
        </w:tc>
      </w:tr>
      <w:tr w:rsidR="00104606" w:rsidRPr="00DA0149" w14:paraId="53708D34" w14:textId="77777777" w:rsidTr="009B1BC4">
        <w:trPr>
          <w:trHeight w:val="613"/>
        </w:trPr>
        <w:tc>
          <w:tcPr>
            <w:tcW w:w="1701" w:type="dxa"/>
            <w:gridSpan w:val="2"/>
            <w:vMerge w:val="restart"/>
            <w:shd w:val="clear" w:color="auto" w:fill="D5DCE4" w:themeFill="text2" w:themeFillTint="33"/>
            <w:vAlign w:val="center"/>
          </w:tcPr>
          <w:p w14:paraId="3320EE4E" w14:textId="77777777" w:rsidR="00104606" w:rsidRPr="00DA0149" w:rsidRDefault="00104606" w:rsidP="009B1BC4">
            <w:pPr>
              <w:tabs>
                <w:tab w:val="left" w:pos="0"/>
              </w:tabs>
              <w:rPr>
                <w:rFonts w:cs="Segoe UI"/>
                <w:b/>
                <w:bCs/>
              </w:rPr>
            </w:pPr>
            <w:r w:rsidRPr="00DA0149">
              <w:rPr>
                <w:rFonts w:cs="Segoe UI"/>
                <w:b/>
                <w:bCs/>
              </w:rPr>
              <w:t>Určená klimatická nebezpečí dle kombinace (</w:t>
            </w:r>
            <w:proofErr w:type="spellStart"/>
            <w:r w:rsidRPr="00DA0149">
              <w:rPr>
                <w:rFonts w:cs="Segoe UI"/>
                <w:b/>
                <w:bCs/>
                <w:i/>
                <w:iCs/>
              </w:rPr>
              <w:t>xxx</w:t>
            </w:r>
            <w:proofErr w:type="spellEnd"/>
            <w:r w:rsidRPr="00DA0149">
              <w:rPr>
                <w:rFonts w:cs="Segoe UI"/>
                <w:b/>
                <w:bCs/>
              </w:rPr>
              <w:t>)</w:t>
            </w:r>
          </w:p>
        </w:tc>
        <w:tc>
          <w:tcPr>
            <w:tcW w:w="5529" w:type="dxa"/>
            <w:gridSpan w:val="5"/>
            <w:shd w:val="clear" w:color="auto" w:fill="D5DCE4" w:themeFill="text2" w:themeFillTint="33"/>
            <w:vAlign w:val="center"/>
          </w:tcPr>
          <w:p w14:paraId="1162E893" w14:textId="77777777" w:rsidR="00104606" w:rsidRPr="00DA0149" w:rsidRDefault="00104606" w:rsidP="009B1BC4">
            <w:pPr>
              <w:keepNext/>
              <w:rPr>
                <w:rFonts w:cs="Segoe UI"/>
                <w:b/>
                <w:bCs/>
              </w:rPr>
            </w:pPr>
            <w:r w:rsidRPr="00DA0149">
              <w:rPr>
                <w:rFonts w:cs="Segoe UI"/>
                <w:b/>
                <w:bCs/>
              </w:rPr>
              <w:t>Dopad (velikost)</w:t>
            </w:r>
          </w:p>
        </w:tc>
        <w:tc>
          <w:tcPr>
            <w:tcW w:w="283" w:type="dxa"/>
            <w:tcBorders>
              <w:bottom w:val="none" w:sz="4" w:space="0" w:color="000000"/>
              <w:right w:val="none" w:sz="4" w:space="0" w:color="000000"/>
            </w:tcBorders>
            <w:vAlign w:val="center"/>
          </w:tcPr>
          <w:p w14:paraId="1A8118C2" w14:textId="77777777" w:rsidR="00104606" w:rsidRPr="00DA0149" w:rsidRDefault="00104606" w:rsidP="009B1BC4">
            <w:pPr>
              <w:rPr>
                <w:rFonts w:cs="Segoe UI"/>
                <w:b/>
                <w:bCs/>
              </w:rPr>
            </w:pPr>
          </w:p>
        </w:tc>
        <w:tc>
          <w:tcPr>
            <w:tcW w:w="922" w:type="dxa"/>
            <w:tcBorders>
              <w:left w:val="none" w:sz="4" w:space="0" w:color="000000"/>
              <w:bottom w:val="none" w:sz="4" w:space="0" w:color="000000"/>
              <w:right w:val="none" w:sz="4" w:space="0" w:color="000000"/>
            </w:tcBorders>
            <w:vAlign w:val="center"/>
          </w:tcPr>
          <w:p w14:paraId="659F9DA5" w14:textId="77777777" w:rsidR="00104606" w:rsidRPr="00DA0149" w:rsidRDefault="00104606" w:rsidP="009B1BC4">
            <w:pPr>
              <w:rPr>
                <w:rFonts w:cs="Segoe UI"/>
                <w:b/>
                <w:bCs/>
              </w:rPr>
            </w:pPr>
          </w:p>
        </w:tc>
        <w:tc>
          <w:tcPr>
            <w:tcW w:w="637" w:type="dxa"/>
            <w:tcBorders>
              <w:left w:val="none" w:sz="4" w:space="0" w:color="000000"/>
              <w:bottom w:val="none" w:sz="4" w:space="0" w:color="000000"/>
            </w:tcBorders>
            <w:vAlign w:val="center"/>
          </w:tcPr>
          <w:p w14:paraId="376FB49C" w14:textId="77777777" w:rsidR="00104606" w:rsidRPr="00DA0149" w:rsidRDefault="00104606" w:rsidP="009B1BC4">
            <w:pPr>
              <w:rPr>
                <w:rFonts w:cs="Segoe UI"/>
                <w:b/>
                <w:bCs/>
              </w:rPr>
            </w:pPr>
          </w:p>
        </w:tc>
      </w:tr>
      <w:tr w:rsidR="00104606" w:rsidRPr="00DA0149" w14:paraId="3D57C674" w14:textId="77777777" w:rsidTr="009B1BC4">
        <w:trPr>
          <w:trHeight w:val="885"/>
        </w:trPr>
        <w:tc>
          <w:tcPr>
            <w:tcW w:w="1701" w:type="dxa"/>
            <w:gridSpan w:val="2"/>
            <w:vMerge/>
            <w:tcBorders>
              <w:bottom w:val="single" w:sz="4" w:space="0" w:color="auto"/>
            </w:tcBorders>
            <w:shd w:val="clear" w:color="auto" w:fill="D5DCE4" w:themeFill="text2" w:themeFillTint="33"/>
            <w:vAlign w:val="center"/>
          </w:tcPr>
          <w:p w14:paraId="1FE5D723" w14:textId="77777777" w:rsidR="00104606" w:rsidRPr="00DA0149" w:rsidRDefault="00104606" w:rsidP="009B1BC4">
            <w:pPr>
              <w:tabs>
                <w:tab w:val="left" w:pos="0"/>
              </w:tabs>
              <w:rPr>
                <w:rFonts w:cs="Segoe UI"/>
                <w:b/>
                <w:bCs/>
              </w:rPr>
            </w:pPr>
          </w:p>
        </w:tc>
        <w:tc>
          <w:tcPr>
            <w:tcW w:w="1105" w:type="dxa"/>
            <w:tcBorders>
              <w:bottom w:val="single" w:sz="4" w:space="0" w:color="auto"/>
            </w:tcBorders>
            <w:shd w:val="clear" w:color="auto" w:fill="D5DCE4" w:themeFill="text2" w:themeFillTint="33"/>
            <w:vAlign w:val="center"/>
          </w:tcPr>
          <w:p w14:paraId="4F7B2BFC" w14:textId="77777777" w:rsidR="00104606" w:rsidRPr="00DA0149" w:rsidRDefault="00104606" w:rsidP="009B1BC4">
            <w:pPr>
              <w:rPr>
                <w:rFonts w:cs="Segoe UI"/>
              </w:rPr>
            </w:pPr>
            <w:proofErr w:type="spellStart"/>
            <w:r w:rsidRPr="00DA0149">
              <w:rPr>
                <w:rFonts w:cs="Segoe UI"/>
              </w:rPr>
              <w:t>Nevýz-namný</w:t>
            </w:r>
            <w:proofErr w:type="spellEnd"/>
          </w:p>
        </w:tc>
        <w:tc>
          <w:tcPr>
            <w:tcW w:w="1106" w:type="dxa"/>
            <w:tcBorders>
              <w:bottom w:val="single" w:sz="4" w:space="0" w:color="auto"/>
            </w:tcBorders>
            <w:shd w:val="clear" w:color="auto" w:fill="D5DCE4" w:themeFill="text2" w:themeFillTint="33"/>
            <w:vAlign w:val="center"/>
          </w:tcPr>
          <w:p w14:paraId="43534D52" w14:textId="77777777" w:rsidR="00104606" w:rsidRPr="00DA0149" w:rsidRDefault="00104606" w:rsidP="009B1BC4">
            <w:pPr>
              <w:rPr>
                <w:rFonts w:cs="Segoe UI"/>
              </w:rPr>
            </w:pPr>
            <w:r w:rsidRPr="00DA0149">
              <w:rPr>
                <w:rFonts w:cs="Segoe UI"/>
              </w:rPr>
              <w:t>Malý</w:t>
            </w:r>
          </w:p>
        </w:tc>
        <w:tc>
          <w:tcPr>
            <w:tcW w:w="1106" w:type="dxa"/>
            <w:tcBorders>
              <w:bottom w:val="single" w:sz="4" w:space="0" w:color="auto"/>
            </w:tcBorders>
            <w:shd w:val="clear" w:color="auto" w:fill="D5DCE4" w:themeFill="text2" w:themeFillTint="33"/>
            <w:vAlign w:val="center"/>
          </w:tcPr>
          <w:p w14:paraId="6DCA1668" w14:textId="77777777" w:rsidR="00104606" w:rsidRPr="00DA0149" w:rsidRDefault="00104606" w:rsidP="009B1BC4">
            <w:pPr>
              <w:rPr>
                <w:rFonts w:cs="Segoe UI"/>
              </w:rPr>
            </w:pPr>
            <w:r w:rsidRPr="00DA0149">
              <w:rPr>
                <w:rFonts w:cs="Segoe UI"/>
              </w:rPr>
              <w:t>Nevelký</w:t>
            </w:r>
          </w:p>
        </w:tc>
        <w:tc>
          <w:tcPr>
            <w:tcW w:w="1106" w:type="dxa"/>
            <w:tcBorders>
              <w:bottom w:val="single" w:sz="4" w:space="0" w:color="auto"/>
            </w:tcBorders>
            <w:shd w:val="clear" w:color="auto" w:fill="D5DCE4" w:themeFill="text2" w:themeFillTint="33"/>
            <w:vAlign w:val="center"/>
          </w:tcPr>
          <w:p w14:paraId="7CCA88E4" w14:textId="77777777" w:rsidR="00104606" w:rsidRPr="00DA0149" w:rsidRDefault="00104606" w:rsidP="009B1BC4">
            <w:pPr>
              <w:rPr>
                <w:rFonts w:cs="Segoe UI"/>
              </w:rPr>
            </w:pPr>
            <w:r w:rsidRPr="00DA0149">
              <w:rPr>
                <w:rFonts w:cs="Segoe UI"/>
              </w:rPr>
              <w:t>Velký</w:t>
            </w:r>
          </w:p>
        </w:tc>
        <w:tc>
          <w:tcPr>
            <w:tcW w:w="1106" w:type="dxa"/>
            <w:tcBorders>
              <w:bottom w:val="single" w:sz="4" w:space="0" w:color="auto"/>
            </w:tcBorders>
            <w:shd w:val="clear" w:color="auto" w:fill="D5DCE4" w:themeFill="text2" w:themeFillTint="33"/>
            <w:vAlign w:val="center"/>
          </w:tcPr>
          <w:p w14:paraId="00F28F70" w14:textId="77777777" w:rsidR="00104606" w:rsidRPr="00DA0149" w:rsidRDefault="00104606" w:rsidP="009B1BC4">
            <w:pPr>
              <w:rPr>
                <w:rFonts w:cs="Segoe UI"/>
              </w:rPr>
            </w:pPr>
            <w:proofErr w:type="spellStart"/>
            <w:r w:rsidRPr="00DA0149">
              <w:rPr>
                <w:rFonts w:cs="Segoe UI"/>
              </w:rPr>
              <w:t>Katastro-fický</w:t>
            </w:r>
            <w:proofErr w:type="spellEnd"/>
          </w:p>
        </w:tc>
        <w:tc>
          <w:tcPr>
            <w:tcW w:w="283" w:type="dxa"/>
            <w:tcBorders>
              <w:top w:val="none" w:sz="4" w:space="0" w:color="000000"/>
              <w:bottom w:val="none" w:sz="4" w:space="0" w:color="000000"/>
              <w:right w:val="none" w:sz="4" w:space="0" w:color="000000"/>
            </w:tcBorders>
            <w:vAlign w:val="center"/>
          </w:tcPr>
          <w:p w14:paraId="747571DC" w14:textId="77777777" w:rsidR="00104606" w:rsidRPr="00DA0149" w:rsidRDefault="00104606" w:rsidP="009B1BC4">
            <w:pPr>
              <w:rPr>
                <w:rFonts w:cs="Segoe UI"/>
              </w:rPr>
            </w:pPr>
          </w:p>
        </w:tc>
        <w:tc>
          <w:tcPr>
            <w:tcW w:w="1559" w:type="dxa"/>
            <w:gridSpan w:val="2"/>
            <w:tcBorders>
              <w:top w:val="none" w:sz="4" w:space="0" w:color="000000"/>
              <w:left w:val="none" w:sz="4" w:space="0" w:color="000000"/>
              <w:bottom w:val="none" w:sz="4" w:space="0" w:color="000000"/>
            </w:tcBorders>
            <w:vAlign w:val="center"/>
          </w:tcPr>
          <w:p w14:paraId="589DEB46" w14:textId="77777777" w:rsidR="00104606" w:rsidRPr="00DA0149" w:rsidRDefault="00104606" w:rsidP="009B1BC4">
            <w:pPr>
              <w:rPr>
                <w:rFonts w:cs="Segoe UI"/>
              </w:rPr>
            </w:pPr>
            <w:r w:rsidRPr="00DA0149">
              <w:rPr>
                <w:rFonts w:cs="Segoe UI"/>
              </w:rPr>
              <w:t>Úroveň rizika:</w:t>
            </w:r>
          </w:p>
        </w:tc>
      </w:tr>
      <w:tr w:rsidR="00104606" w:rsidRPr="00DA0149" w14:paraId="2A31C3B9" w14:textId="77777777" w:rsidTr="009B1BC4">
        <w:trPr>
          <w:trHeight w:val="649"/>
        </w:trPr>
        <w:tc>
          <w:tcPr>
            <w:tcW w:w="426" w:type="dxa"/>
            <w:vMerge w:val="restart"/>
            <w:shd w:val="clear" w:color="auto" w:fill="D5DCE4" w:themeFill="text2" w:themeFillTint="33"/>
            <w:textDirection w:val="btLr"/>
            <w:vAlign w:val="center"/>
          </w:tcPr>
          <w:p w14:paraId="6B652ACD" w14:textId="77777777" w:rsidR="00104606" w:rsidRPr="00DA0149" w:rsidRDefault="00104606" w:rsidP="009B1BC4">
            <w:pPr>
              <w:tabs>
                <w:tab w:val="left" w:pos="0"/>
              </w:tabs>
              <w:ind w:left="113" w:right="113"/>
              <w:rPr>
                <w:rFonts w:cs="Segoe UI"/>
                <w:b/>
                <w:bCs/>
              </w:rPr>
            </w:pPr>
            <w:r w:rsidRPr="00DA0149">
              <w:rPr>
                <w:rFonts w:cs="Segoe UI"/>
                <w:b/>
                <w:bCs/>
              </w:rPr>
              <w:t>Pravděpodobnost (výskytu)</w:t>
            </w:r>
          </w:p>
        </w:tc>
        <w:tc>
          <w:tcPr>
            <w:tcW w:w="1275" w:type="dxa"/>
            <w:shd w:val="clear" w:color="auto" w:fill="D5DCE4" w:themeFill="text2" w:themeFillTint="33"/>
            <w:vAlign w:val="center"/>
          </w:tcPr>
          <w:p w14:paraId="2327F26F" w14:textId="77777777" w:rsidR="00104606" w:rsidRPr="00DA0149" w:rsidRDefault="00104606" w:rsidP="009B1BC4">
            <w:pPr>
              <w:tabs>
                <w:tab w:val="left" w:pos="0"/>
              </w:tabs>
              <w:rPr>
                <w:rFonts w:cs="Segoe UI"/>
              </w:rPr>
            </w:pPr>
            <w:r w:rsidRPr="00DA0149">
              <w:rPr>
                <w:rFonts w:cs="Segoe UI"/>
              </w:rPr>
              <w:t>Vzácný</w:t>
            </w:r>
          </w:p>
        </w:tc>
        <w:tc>
          <w:tcPr>
            <w:tcW w:w="1105" w:type="dxa"/>
            <w:shd w:val="clear" w:color="auto" w:fill="92D050"/>
            <w:vAlign w:val="center"/>
          </w:tcPr>
          <w:p w14:paraId="4E8C5ED2" w14:textId="77777777" w:rsidR="00104606" w:rsidRPr="00DA0149" w:rsidRDefault="00104606" w:rsidP="009B1BC4">
            <w:pPr>
              <w:rPr>
                <w:rFonts w:cs="Segoe UI"/>
                <w:i/>
                <w:iCs/>
              </w:rPr>
            </w:pPr>
            <w:proofErr w:type="spellStart"/>
            <w:r w:rsidRPr="00DA0149">
              <w:rPr>
                <w:rFonts w:cs="Segoe UI"/>
                <w:i/>
                <w:iCs/>
              </w:rPr>
              <w:t>Xxx</w:t>
            </w:r>
            <w:proofErr w:type="spellEnd"/>
          </w:p>
        </w:tc>
        <w:tc>
          <w:tcPr>
            <w:tcW w:w="1106" w:type="dxa"/>
            <w:shd w:val="clear" w:color="auto" w:fill="92D050"/>
            <w:vAlign w:val="center"/>
          </w:tcPr>
          <w:p w14:paraId="7A1E779A" w14:textId="77777777" w:rsidR="00104606" w:rsidRPr="00DA0149" w:rsidRDefault="00104606" w:rsidP="009B1BC4">
            <w:pPr>
              <w:rPr>
                <w:rFonts w:cs="Segoe UI"/>
                <w:i/>
                <w:iCs/>
              </w:rPr>
            </w:pPr>
            <w:proofErr w:type="spellStart"/>
            <w:r w:rsidRPr="00DA0149">
              <w:rPr>
                <w:rFonts w:cs="Segoe UI"/>
                <w:i/>
                <w:iCs/>
              </w:rPr>
              <w:t>xxx</w:t>
            </w:r>
            <w:proofErr w:type="spellEnd"/>
          </w:p>
        </w:tc>
        <w:tc>
          <w:tcPr>
            <w:tcW w:w="1106" w:type="dxa"/>
            <w:shd w:val="clear" w:color="auto" w:fill="92D050"/>
            <w:vAlign w:val="center"/>
          </w:tcPr>
          <w:p w14:paraId="7DDF3C90" w14:textId="77777777" w:rsidR="00104606" w:rsidRPr="00DA0149" w:rsidRDefault="00104606" w:rsidP="009B1BC4">
            <w:pPr>
              <w:rPr>
                <w:rFonts w:cs="Segoe UI"/>
                <w:i/>
                <w:iCs/>
              </w:rPr>
            </w:pPr>
            <w:proofErr w:type="spellStart"/>
            <w:r w:rsidRPr="00DA0149">
              <w:rPr>
                <w:rFonts w:cs="Segoe UI"/>
                <w:i/>
                <w:iCs/>
              </w:rPr>
              <w:t>xxx</w:t>
            </w:r>
            <w:proofErr w:type="spellEnd"/>
          </w:p>
        </w:tc>
        <w:tc>
          <w:tcPr>
            <w:tcW w:w="1106" w:type="dxa"/>
            <w:shd w:val="clear" w:color="auto" w:fill="FFFF00"/>
            <w:vAlign w:val="center"/>
          </w:tcPr>
          <w:p w14:paraId="7823569F" w14:textId="77777777" w:rsidR="00104606" w:rsidRPr="00DA0149" w:rsidRDefault="00104606" w:rsidP="009B1BC4">
            <w:pPr>
              <w:rPr>
                <w:rFonts w:cs="Segoe UI"/>
                <w:i/>
                <w:iCs/>
              </w:rPr>
            </w:pPr>
            <w:proofErr w:type="spellStart"/>
            <w:r w:rsidRPr="00DA0149">
              <w:rPr>
                <w:rFonts w:cs="Segoe UI"/>
                <w:i/>
                <w:iCs/>
              </w:rPr>
              <w:t>xxx</w:t>
            </w:r>
            <w:proofErr w:type="spellEnd"/>
          </w:p>
        </w:tc>
        <w:tc>
          <w:tcPr>
            <w:tcW w:w="1106" w:type="dxa"/>
            <w:shd w:val="clear" w:color="auto" w:fill="FFFF00"/>
            <w:vAlign w:val="center"/>
          </w:tcPr>
          <w:p w14:paraId="7EBF0AC4" w14:textId="77777777" w:rsidR="00104606" w:rsidRPr="00DA0149" w:rsidRDefault="00104606" w:rsidP="009B1BC4">
            <w:pPr>
              <w:rPr>
                <w:rFonts w:cs="Segoe UI"/>
                <w:i/>
                <w:iCs/>
              </w:rPr>
            </w:pPr>
            <w:proofErr w:type="spellStart"/>
            <w:r w:rsidRPr="00DA0149">
              <w:rPr>
                <w:rFonts w:cs="Segoe UI"/>
                <w:i/>
                <w:iCs/>
              </w:rPr>
              <w:t>xxx</w:t>
            </w:r>
            <w:proofErr w:type="spellEnd"/>
          </w:p>
        </w:tc>
        <w:tc>
          <w:tcPr>
            <w:tcW w:w="1205" w:type="dxa"/>
            <w:gridSpan w:val="2"/>
            <w:tcBorders>
              <w:top w:val="none" w:sz="4" w:space="0" w:color="000000"/>
              <w:bottom w:val="none" w:sz="4" w:space="0" w:color="000000"/>
              <w:right w:val="single" w:sz="4" w:space="0" w:color="auto"/>
            </w:tcBorders>
            <w:vAlign w:val="center"/>
          </w:tcPr>
          <w:p w14:paraId="020D0EE6" w14:textId="77777777" w:rsidR="00104606" w:rsidRPr="00DA0149" w:rsidRDefault="00104606" w:rsidP="009B1BC4">
            <w:pPr>
              <w:rPr>
                <w:rFonts w:cs="Segoe UI"/>
              </w:rPr>
            </w:pPr>
            <w:r w:rsidRPr="00DA0149">
              <w:rPr>
                <w:rFonts w:cs="Segoe UI"/>
              </w:rPr>
              <w:t>Nízká</w:t>
            </w:r>
          </w:p>
        </w:tc>
        <w:tc>
          <w:tcPr>
            <w:tcW w:w="637" w:type="dxa"/>
            <w:tcBorders>
              <w:top w:val="single" w:sz="4" w:space="0" w:color="auto"/>
              <w:left w:val="single" w:sz="4" w:space="0" w:color="auto"/>
              <w:bottom w:val="single" w:sz="4" w:space="0" w:color="auto"/>
            </w:tcBorders>
            <w:shd w:val="clear" w:color="auto" w:fill="92D050"/>
            <w:vAlign w:val="center"/>
          </w:tcPr>
          <w:p w14:paraId="4A012D40" w14:textId="77777777" w:rsidR="00104606" w:rsidRPr="00DA0149" w:rsidRDefault="00104606" w:rsidP="009B1BC4">
            <w:pPr>
              <w:rPr>
                <w:rFonts w:cs="Segoe UI"/>
              </w:rPr>
            </w:pPr>
          </w:p>
        </w:tc>
      </w:tr>
      <w:tr w:rsidR="00104606" w:rsidRPr="00DA0149" w14:paraId="5914ABB3" w14:textId="77777777" w:rsidTr="009B1BC4">
        <w:trPr>
          <w:trHeight w:val="649"/>
        </w:trPr>
        <w:tc>
          <w:tcPr>
            <w:tcW w:w="426" w:type="dxa"/>
            <w:vMerge/>
            <w:shd w:val="clear" w:color="auto" w:fill="D5DCE4" w:themeFill="text2" w:themeFillTint="33"/>
            <w:textDirection w:val="btLr"/>
            <w:vAlign w:val="center"/>
          </w:tcPr>
          <w:p w14:paraId="522E6806" w14:textId="77777777" w:rsidR="00104606" w:rsidRPr="00DA0149" w:rsidRDefault="00104606" w:rsidP="009B1BC4">
            <w:pPr>
              <w:tabs>
                <w:tab w:val="left" w:pos="0"/>
              </w:tabs>
              <w:ind w:left="113" w:right="113"/>
              <w:rPr>
                <w:rFonts w:cs="Segoe UI"/>
                <w:b/>
                <w:bCs/>
              </w:rPr>
            </w:pPr>
          </w:p>
        </w:tc>
        <w:tc>
          <w:tcPr>
            <w:tcW w:w="1275" w:type="dxa"/>
            <w:shd w:val="clear" w:color="auto" w:fill="D5DCE4" w:themeFill="text2" w:themeFillTint="33"/>
            <w:vAlign w:val="center"/>
          </w:tcPr>
          <w:p w14:paraId="59598386" w14:textId="77777777" w:rsidR="00104606" w:rsidRPr="00DA0149" w:rsidRDefault="00104606" w:rsidP="009B1BC4">
            <w:pPr>
              <w:tabs>
                <w:tab w:val="left" w:pos="0"/>
              </w:tabs>
              <w:rPr>
                <w:rFonts w:cs="Segoe UI"/>
              </w:rPr>
            </w:pPr>
            <w:r w:rsidRPr="00DA0149">
              <w:rPr>
                <w:rFonts w:cs="Segoe UI"/>
              </w:rPr>
              <w:t>Nepravdě-podobný</w:t>
            </w:r>
          </w:p>
        </w:tc>
        <w:tc>
          <w:tcPr>
            <w:tcW w:w="1105" w:type="dxa"/>
            <w:shd w:val="clear" w:color="auto" w:fill="92D050"/>
            <w:vAlign w:val="center"/>
          </w:tcPr>
          <w:p w14:paraId="5A17813F" w14:textId="77777777" w:rsidR="00104606" w:rsidRPr="00DA0149" w:rsidRDefault="00104606" w:rsidP="009B1BC4">
            <w:pPr>
              <w:rPr>
                <w:rFonts w:cs="Segoe UI"/>
                <w:i/>
                <w:iCs/>
              </w:rPr>
            </w:pPr>
            <w:proofErr w:type="spellStart"/>
            <w:r w:rsidRPr="00DA0149">
              <w:rPr>
                <w:rFonts w:cs="Segoe UI"/>
                <w:i/>
                <w:iCs/>
              </w:rPr>
              <w:t>Xxx</w:t>
            </w:r>
            <w:proofErr w:type="spellEnd"/>
          </w:p>
        </w:tc>
        <w:tc>
          <w:tcPr>
            <w:tcW w:w="1106" w:type="dxa"/>
            <w:shd w:val="clear" w:color="auto" w:fill="92D050"/>
            <w:vAlign w:val="center"/>
          </w:tcPr>
          <w:p w14:paraId="52C6385C" w14:textId="77777777" w:rsidR="00104606" w:rsidRPr="00DA0149" w:rsidRDefault="00104606" w:rsidP="009B1BC4">
            <w:pPr>
              <w:rPr>
                <w:rFonts w:cs="Segoe UI"/>
                <w:i/>
                <w:iCs/>
              </w:rPr>
            </w:pPr>
            <w:proofErr w:type="spellStart"/>
            <w:r w:rsidRPr="00DA0149">
              <w:rPr>
                <w:rFonts w:cs="Segoe UI"/>
                <w:i/>
                <w:iCs/>
              </w:rPr>
              <w:t>xxx</w:t>
            </w:r>
            <w:proofErr w:type="spellEnd"/>
          </w:p>
        </w:tc>
        <w:tc>
          <w:tcPr>
            <w:tcW w:w="1106" w:type="dxa"/>
            <w:shd w:val="clear" w:color="auto" w:fill="FFFF00"/>
            <w:vAlign w:val="center"/>
          </w:tcPr>
          <w:p w14:paraId="196CFF89" w14:textId="77777777" w:rsidR="00104606" w:rsidRPr="00DA0149" w:rsidRDefault="00104606" w:rsidP="009B1BC4">
            <w:pPr>
              <w:rPr>
                <w:rFonts w:cs="Segoe UI"/>
                <w:i/>
                <w:iCs/>
              </w:rPr>
            </w:pPr>
            <w:proofErr w:type="spellStart"/>
            <w:r w:rsidRPr="00DA0149">
              <w:rPr>
                <w:rFonts w:cs="Segoe UI"/>
                <w:i/>
                <w:iCs/>
              </w:rPr>
              <w:t>xxx</w:t>
            </w:r>
            <w:proofErr w:type="spellEnd"/>
          </w:p>
        </w:tc>
        <w:tc>
          <w:tcPr>
            <w:tcW w:w="1106" w:type="dxa"/>
            <w:shd w:val="clear" w:color="auto" w:fill="FFC000"/>
            <w:vAlign w:val="center"/>
          </w:tcPr>
          <w:p w14:paraId="0593E3A5" w14:textId="77777777" w:rsidR="00104606" w:rsidRPr="00DA0149" w:rsidRDefault="00104606" w:rsidP="009B1BC4">
            <w:pPr>
              <w:rPr>
                <w:rFonts w:cs="Segoe UI"/>
                <w:i/>
                <w:iCs/>
              </w:rPr>
            </w:pPr>
            <w:proofErr w:type="spellStart"/>
            <w:r w:rsidRPr="00DA0149">
              <w:rPr>
                <w:rFonts w:cs="Segoe UI"/>
                <w:i/>
                <w:iCs/>
              </w:rPr>
              <w:t>xxx</w:t>
            </w:r>
            <w:proofErr w:type="spellEnd"/>
          </w:p>
        </w:tc>
        <w:tc>
          <w:tcPr>
            <w:tcW w:w="1106" w:type="dxa"/>
            <w:shd w:val="clear" w:color="auto" w:fill="FFC000"/>
            <w:vAlign w:val="center"/>
          </w:tcPr>
          <w:p w14:paraId="1590DF40" w14:textId="77777777" w:rsidR="00104606" w:rsidRPr="00DA0149" w:rsidRDefault="00104606" w:rsidP="009B1BC4">
            <w:pPr>
              <w:rPr>
                <w:rFonts w:cs="Segoe UI"/>
                <w:i/>
                <w:iCs/>
              </w:rPr>
            </w:pPr>
            <w:proofErr w:type="spellStart"/>
            <w:r w:rsidRPr="00DA0149">
              <w:rPr>
                <w:rFonts w:cs="Segoe UI"/>
                <w:i/>
                <w:iCs/>
              </w:rPr>
              <w:t>xxx</w:t>
            </w:r>
            <w:proofErr w:type="spellEnd"/>
          </w:p>
        </w:tc>
        <w:tc>
          <w:tcPr>
            <w:tcW w:w="1205" w:type="dxa"/>
            <w:gridSpan w:val="2"/>
            <w:tcBorders>
              <w:top w:val="none" w:sz="4" w:space="0" w:color="000000"/>
              <w:bottom w:val="none" w:sz="4" w:space="0" w:color="000000"/>
              <w:right w:val="single" w:sz="4" w:space="0" w:color="auto"/>
            </w:tcBorders>
            <w:vAlign w:val="center"/>
          </w:tcPr>
          <w:p w14:paraId="71D15777" w14:textId="77777777" w:rsidR="00104606" w:rsidRPr="00DA0149" w:rsidRDefault="00104606" w:rsidP="009B1BC4">
            <w:pPr>
              <w:rPr>
                <w:rFonts w:cs="Segoe UI"/>
              </w:rPr>
            </w:pPr>
            <w:r w:rsidRPr="00DA0149">
              <w:rPr>
                <w:rFonts w:cs="Segoe UI"/>
              </w:rPr>
              <w:t>Střední</w:t>
            </w:r>
          </w:p>
        </w:tc>
        <w:tc>
          <w:tcPr>
            <w:tcW w:w="637" w:type="dxa"/>
            <w:tcBorders>
              <w:top w:val="single" w:sz="4" w:space="0" w:color="auto"/>
              <w:left w:val="single" w:sz="4" w:space="0" w:color="auto"/>
              <w:bottom w:val="single" w:sz="4" w:space="0" w:color="auto"/>
            </w:tcBorders>
            <w:shd w:val="clear" w:color="auto" w:fill="FFFF00"/>
            <w:vAlign w:val="center"/>
          </w:tcPr>
          <w:p w14:paraId="0715596F" w14:textId="77777777" w:rsidR="00104606" w:rsidRPr="00DA0149" w:rsidRDefault="00104606" w:rsidP="009B1BC4">
            <w:pPr>
              <w:rPr>
                <w:rFonts w:cs="Segoe UI"/>
              </w:rPr>
            </w:pPr>
          </w:p>
        </w:tc>
      </w:tr>
      <w:tr w:rsidR="00104606" w:rsidRPr="00DA0149" w14:paraId="5C9FCABB" w14:textId="77777777" w:rsidTr="009B1BC4">
        <w:trPr>
          <w:trHeight w:val="649"/>
        </w:trPr>
        <w:tc>
          <w:tcPr>
            <w:tcW w:w="426" w:type="dxa"/>
            <w:vMerge/>
            <w:shd w:val="clear" w:color="auto" w:fill="D5DCE4" w:themeFill="text2" w:themeFillTint="33"/>
            <w:vAlign w:val="center"/>
          </w:tcPr>
          <w:p w14:paraId="090BCA99" w14:textId="77777777" w:rsidR="00104606" w:rsidRPr="00DA0149" w:rsidRDefault="00104606" w:rsidP="009B1BC4">
            <w:pPr>
              <w:tabs>
                <w:tab w:val="left" w:pos="0"/>
              </w:tabs>
              <w:rPr>
                <w:rFonts w:cs="Segoe UI"/>
                <w:b/>
                <w:bCs/>
              </w:rPr>
            </w:pPr>
          </w:p>
        </w:tc>
        <w:tc>
          <w:tcPr>
            <w:tcW w:w="1275" w:type="dxa"/>
            <w:shd w:val="clear" w:color="auto" w:fill="D5DCE4" w:themeFill="text2" w:themeFillTint="33"/>
            <w:vAlign w:val="center"/>
          </w:tcPr>
          <w:p w14:paraId="2467F785" w14:textId="77777777" w:rsidR="00104606" w:rsidRPr="00DA0149" w:rsidRDefault="00104606" w:rsidP="009B1BC4">
            <w:pPr>
              <w:tabs>
                <w:tab w:val="left" w:pos="0"/>
              </w:tabs>
              <w:rPr>
                <w:rFonts w:cs="Segoe UI"/>
              </w:rPr>
            </w:pPr>
            <w:r w:rsidRPr="00DA0149">
              <w:rPr>
                <w:rFonts w:cs="Segoe UI"/>
              </w:rPr>
              <w:t>Nevelký</w:t>
            </w:r>
          </w:p>
        </w:tc>
        <w:tc>
          <w:tcPr>
            <w:tcW w:w="1105" w:type="dxa"/>
            <w:shd w:val="clear" w:color="auto" w:fill="92D050"/>
            <w:vAlign w:val="center"/>
          </w:tcPr>
          <w:p w14:paraId="438F7C0A" w14:textId="77777777" w:rsidR="00104606" w:rsidRPr="00DA0149" w:rsidRDefault="00104606" w:rsidP="009B1BC4">
            <w:pPr>
              <w:rPr>
                <w:rFonts w:cs="Segoe UI"/>
                <w:i/>
                <w:iCs/>
              </w:rPr>
            </w:pPr>
            <w:proofErr w:type="spellStart"/>
            <w:r w:rsidRPr="00DA0149">
              <w:rPr>
                <w:rFonts w:cs="Segoe UI"/>
                <w:i/>
                <w:iCs/>
              </w:rPr>
              <w:t>Xxx</w:t>
            </w:r>
            <w:proofErr w:type="spellEnd"/>
          </w:p>
        </w:tc>
        <w:tc>
          <w:tcPr>
            <w:tcW w:w="1106" w:type="dxa"/>
            <w:shd w:val="clear" w:color="auto" w:fill="FFFF00"/>
            <w:vAlign w:val="center"/>
          </w:tcPr>
          <w:p w14:paraId="7296537C" w14:textId="77777777" w:rsidR="00104606" w:rsidRPr="00DA0149" w:rsidRDefault="00104606" w:rsidP="009B1BC4">
            <w:pPr>
              <w:rPr>
                <w:rFonts w:cs="Segoe UI"/>
                <w:i/>
                <w:iCs/>
              </w:rPr>
            </w:pPr>
            <w:proofErr w:type="spellStart"/>
            <w:r w:rsidRPr="00DA0149">
              <w:rPr>
                <w:rFonts w:cs="Segoe UI"/>
                <w:i/>
                <w:iCs/>
              </w:rPr>
              <w:t>xxx</w:t>
            </w:r>
            <w:proofErr w:type="spellEnd"/>
          </w:p>
        </w:tc>
        <w:tc>
          <w:tcPr>
            <w:tcW w:w="1106" w:type="dxa"/>
            <w:shd w:val="clear" w:color="auto" w:fill="FFC000"/>
            <w:vAlign w:val="center"/>
          </w:tcPr>
          <w:p w14:paraId="0C0DC3AC" w14:textId="77777777" w:rsidR="00104606" w:rsidRPr="00DA0149" w:rsidRDefault="00104606" w:rsidP="009B1BC4">
            <w:pPr>
              <w:rPr>
                <w:rFonts w:cs="Segoe UI"/>
                <w:i/>
                <w:iCs/>
              </w:rPr>
            </w:pPr>
            <w:proofErr w:type="spellStart"/>
            <w:r w:rsidRPr="00DA0149">
              <w:rPr>
                <w:rFonts w:cs="Segoe UI"/>
                <w:i/>
                <w:iCs/>
              </w:rPr>
              <w:t>xxx</w:t>
            </w:r>
            <w:proofErr w:type="spellEnd"/>
          </w:p>
        </w:tc>
        <w:tc>
          <w:tcPr>
            <w:tcW w:w="1106" w:type="dxa"/>
            <w:shd w:val="clear" w:color="auto" w:fill="FFC000"/>
            <w:vAlign w:val="center"/>
          </w:tcPr>
          <w:p w14:paraId="07184846" w14:textId="77777777" w:rsidR="00104606" w:rsidRPr="00DA0149" w:rsidRDefault="00104606" w:rsidP="009B1BC4">
            <w:pPr>
              <w:rPr>
                <w:rFonts w:cs="Segoe UI"/>
                <w:i/>
                <w:iCs/>
              </w:rPr>
            </w:pPr>
            <w:proofErr w:type="spellStart"/>
            <w:r w:rsidRPr="00DA0149">
              <w:rPr>
                <w:rFonts w:cs="Segoe UI"/>
                <w:i/>
                <w:iCs/>
              </w:rPr>
              <w:t>xxx</w:t>
            </w:r>
            <w:proofErr w:type="spellEnd"/>
          </w:p>
        </w:tc>
        <w:tc>
          <w:tcPr>
            <w:tcW w:w="1106" w:type="dxa"/>
            <w:shd w:val="clear" w:color="auto" w:fill="FF0000"/>
            <w:vAlign w:val="center"/>
          </w:tcPr>
          <w:p w14:paraId="49994E0A" w14:textId="77777777" w:rsidR="00104606" w:rsidRPr="00DA0149" w:rsidRDefault="00104606" w:rsidP="009B1BC4">
            <w:pPr>
              <w:rPr>
                <w:rFonts w:cs="Segoe UI"/>
                <w:i/>
                <w:iCs/>
              </w:rPr>
            </w:pPr>
            <w:proofErr w:type="spellStart"/>
            <w:r w:rsidRPr="00DA0149">
              <w:rPr>
                <w:rFonts w:cs="Segoe UI"/>
                <w:i/>
                <w:iCs/>
              </w:rPr>
              <w:t>xxx</w:t>
            </w:r>
            <w:proofErr w:type="spellEnd"/>
          </w:p>
        </w:tc>
        <w:tc>
          <w:tcPr>
            <w:tcW w:w="1205" w:type="dxa"/>
            <w:gridSpan w:val="2"/>
            <w:tcBorders>
              <w:top w:val="none" w:sz="4" w:space="0" w:color="000000"/>
              <w:bottom w:val="none" w:sz="4" w:space="0" w:color="000000"/>
              <w:right w:val="single" w:sz="4" w:space="0" w:color="auto"/>
            </w:tcBorders>
            <w:vAlign w:val="center"/>
          </w:tcPr>
          <w:p w14:paraId="1953C0B5" w14:textId="77777777" w:rsidR="00104606" w:rsidRPr="00DA0149" w:rsidRDefault="00104606" w:rsidP="009B1BC4">
            <w:pPr>
              <w:rPr>
                <w:rFonts w:cs="Segoe UI"/>
              </w:rPr>
            </w:pPr>
            <w:r w:rsidRPr="00DA0149">
              <w:rPr>
                <w:rFonts w:cs="Segoe UI"/>
              </w:rPr>
              <w:t>Vysoká</w:t>
            </w:r>
          </w:p>
        </w:tc>
        <w:tc>
          <w:tcPr>
            <w:tcW w:w="637" w:type="dxa"/>
            <w:tcBorders>
              <w:top w:val="single" w:sz="4" w:space="0" w:color="auto"/>
              <w:left w:val="single" w:sz="4" w:space="0" w:color="auto"/>
            </w:tcBorders>
            <w:shd w:val="clear" w:color="auto" w:fill="FFC000"/>
            <w:vAlign w:val="center"/>
          </w:tcPr>
          <w:p w14:paraId="3D14A8E2" w14:textId="77777777" w:rsidR="00104606" w:rsidRPr="00DA0149" w:rsidRDefault="00104606" w:rsidP="009B1BC4">
            <w:pPr>
              <w:rPr>
                <w:rFonts w:cs="Segoe UI"/>
              </w:rPr>
            </w:pPr>
          </w:p>
        </w:tc>
      </w:tr>
      <w:tr w:rsidR="00104606" w:rsidRPr="00DA0149" w14:paraId="6B06196D" w14:textId="77777777" w:rsidTr="009B1BC4">
        <w:trPr>
          <w:trHeight w:val="649"/>
        </w:trPr>
        <w:tc>
          <w:tcPr>
            <w:tcW w:w="426" w:type="dxa"/>
            <w:vMerge/>
            <w:shd w:val="clear" w:color="auto" w:fill="D5DCE4" w:themeFill="text2" w:themeFillTint="33"/>
            <w:vAlign w:val="center"/>
          </w:tcPr>
          <w:p w14:paraId="79313F99" w14:textId="77777777" w:rsidR="00104606" w:rsidRPr="00DA0149" w:rsidRDefault="00104606" w:rsidP="009B1BC4">
            <w:pPr>
              <w:tabs>
                <w:tab w:val="left" w:pos="0"/>
              </w:tabs>
              <w:rPr>
                <w:rFonts w:cs="Segoe UI"/>
                <w:b/>
                <w:bCs/>
              </w:rPr>
            </w:pPr>
          </w:p>
        </w:tc>
        <w:tc>
          <w:tcPr>
            <w:tcW w:w="1275" w:type="dxa"/>
            <w:shd w:val="clear" w:color="auto" w:fill="D5DCE4" w:themeFill="text2" w:themeFillTint="33"/>
            <w:vAlign w:val="center"/>
          </w:tcPr>
          <w:p w14:paraId="7161BE59" w14:textId="77777777" w:rsidR="00104606" w:rsidRPr="00DA0149" w:rsidRDefault="00104606" w:rsidP="009B1BC4">
            <w:pPr>
              <w:tabs>
                <w:tab w:val="left" w:pos="0"/>
              </w:tabs>
              <w:rPr>
                <w:rFonts w:cs="Segoe UI"/>
              </w:rPr>
            </w:pPr>
            <w:r w:rsidRPr="00DA0149">
              <w:rPr>
                <w:rFonts w:cs="Segoe UI"/>
              </w:rPr>
              <w:t>Pravdě-podobný</w:t>
            </w:r>
          </w:p>
        </w:tc>
        <w:tc>
          <w:tcPr>
            <w:tcW w:w="1105" w:type="dxa"/>
            <w:shd w:val="clear" w:color="auto" w:fill="FFFF00"/>
            <w:vAlign w:val="center"/>
          </w:tcPr>
          <w:p w14:paraId="4DD06094" w14:textId="77777777" w:rsidR="00104606" w:rsidRPr="00DA0149" w:rsidRDefault="00104606" w:rsidP="009B1BC4">
            <w:pPr>
              <w:rPr>
                <w:rFonts w:cs="Segoe UI"/>
                <w:i/>
                <w:iCs/>
              </w:rPr>
            </w:pPr>
            <w:proofErr w:type="spellStart"/>
            <w:r w:rsidRPr="00DA0149">
              <w:rPr>
                <w:rFonts w:cs="Segoe UI"/>
                <w:i/>
                <w:iCs/>
              </w:rPr>
              <w:t>xxx</w:t>
            </w:r>
            <w:proofErr w:type="spellEnd"/>
          </w:p>
        </w:tc>
        <w:tc>
          <w:tcPr>
            <w:tcW w:w="1106" w:type="dxa"/>
            <w:shd w:val="clear" w:color="auto" w:fill="FFC000"/>
            <w:vAlign w:val="center"/>
          </w:tcPr>
          <w:p w14:paraId="4E15FE88" w14:textId="77777777" w:rsidR="00104606" w:rsidRPr="00DA0149" w:rsidRDefault="00104606" w:rsidP="009B1BC4">
            <w:pPr>
              <w:rPr>
                <w:rFonts w:cs="Segoe UI"/>
                <w:i/>
                <w:iCs/>
              </w:rPr>
            </w:pPr>
            <w:proofErr w:type="spellStart"/>
            <w:r w:rsidRPr="00DA0149">
              <w:rPr>
                <w:rFonts w:cs="Segoe UI"/>
                <w:i/>
                <w:iCs/>
              </w:rPr>
              <w:t>xxx</w:t>
            </w:r>
            <w:proofErr w:type="spellEnd"/>
          </w:p>
        </w:tc>
        <w:tc>
          <w:tcPr>
            <w:tcW w:w="1106" w:type="dxa"/>
            <w:shd w:val="clear" w:color="auto" w:fill="FFC000"/>
            <w:vAlign w:val="center"/>
          </w:tcPr>
          <w:p w14:paraId="3CD28F68" w14:textId="77777777" w:rsidR="00104606" w:rsidRPr="00DA0149" w:rsidRDefault="00104606" w:rsidP="009B1BC4">
            <w:pPr>
              <w:rPr>
                <w:rFonts w:cs="Segoe UI"/>
                <w:i/>
                <w:iCs/>
              </w:rPr>
            </w:pPr>
            <w:proofErr w:type="spellStart"/>
            <w:r w:rsidRPr="00DA0149">
              <w:rPr>
                <w:rFonts w:cs="Segoe UI"/>
                <w:i/>
                <w:iCs/>
              </w:rPr>
              <w:t>xxx</w:t>
            </w:r>
            <w:proofErr w:type="spellEnd"/>
          </w:p>
        </w:tc>
        <w:tc>
          <w:tcPr>
            <w:tcW w:w="1106" w:type="dxa"/>
            <w:shd w:val="clear" w:color="auto" w:fill="FF0000"/>
            <w:vAlign w:val="center"/>
          </w:tcPr>
          <w:p w14:paraId="74D4671D" w14:textId="77777777" w:rsidR="00104606" w:rsidRPr="00DA0149" w:rsidRDefault="00104606" w:rsidP="009B1BC4">
            <w:pPr>
              <w:rPr>
                <w:rFonts w:cs="Segoe UI"/>
                <w:i/>
                <w:iCs/>
              </w:rPr>
            </w:pPr>
            <w:proofErr w:type="spellStart"/>
            <w:r w:rsidRPr="00DA0149">
              <w:rPr>
                <w:rFonts w:cs="Segoe UI"/>
                <w:i/>
                <w:iCs/>
              </w:rPr>
              <w:t>xxx</w:t>
            </w:r>
            <w:proofErr w:type="spellEnd"/>
          </w:p>
        </w:tc>
        <w:tc>
          <w:tcPr>
            <w:tcW w:w="1106" w:type="dxa"/>
            <w:shd w:val="clear" w:color="auto" w:fill="FF0000"/>
            <w:vAlign w:val="center"/>
          </w:tcPr>
          <w:p w14:paraId="1384B7AD" w14:textId="77777777" w:rsidR="00104606" w:rsidRPr="00DA0149" w:rsidRDefault="00104606" w:rsidP="009B1BC4">
            <w:pPr>
              <w:rPr>
                <w:rFonts w:cs="Segoe UI"/>
                <w:i/>
                <w:iCs/>
              </w:rPr>
            </w:pPr>
            <w:proofErr w:type="spellStart"/>
            <w:r w:rsidRPr="00DA0149">
              <w:rPr>
                <w:rFonts w:cs="Segoe UI"/>
                <w:i/>
                <w:iCs/>
              </w:rPr>
              <w:t>xxx</w:t>
            </w:r>
            <w:proofErr w:type="spellEnd"/>
          </w:p>
        </w:tc>
        <w:tc>
          <w:tcPr>
            <w:tcW w:w="1205" w:type="dxa"/>
            <w:gridSpan w:val="2"/>
            <w:tcBorders>
              <w:top w:val="none" w:sz="4" w:space="0" w:color="000000"/>
              <w:bottom w:val="none" w:sz="4" w:space="0" w:color="000000"/>
              <w:right w:val="single" w:sz="4" w:space="0" w:color="auto"/>
            </w:tcBorders>
            <w:vAlign w:val="center"/>
          </w:tcPr>
          <w:p w14:paraId="6587304D" w14:textId="77777777" w:rsidR="00104606" w:rsidRPr="00DA0149" w:rsidRDefault="00104606" w:rsidP="009B1BC4">
            <w:pPr>
              <w:rPr>
                <w:rFonts w:cs="Segoe UI"/>
              </w:rPr>
            </w:pPr>
            <w:r w:rsidRPr="00DA0149">
              <w:rPr>
                <w:rFonts w:cs="Segoe UI"/>
              </w:rPr>
              <w:t>Extrémní</w:t>
            </w:r>
          </w:p>
        </w:tc>
        <w:tc>
          <w:tcPr>
            <w:tcW w:w="637" w:type="dxa"/>
            <w:tcBorders>
              <w:top w:val="single" w:sz="4" w:space="0" w:color="auto"/>
              <w:left w:val="single" w:sz="4" w:space="0" w:color="auto"/>
            </w:tcBorders>
            <w:shd w:val="clear" w:color="auto" w:fill="FF0000"/>
            <w:vAlign w:val="center"/>
          </w:tcPr>
          <w:p w14:paraId="0E54EC9E" w14:textId="77777777" w:rsidR="00104606" w:rsidRPr="00DA0149" w:rsidRDefault="00104606" w:rsidP="009B1BC4">
            <w:pPr>
              <w:rPr>
                <w:rFonts w:cs="Segoe UI"/>
              </w:rPr>
            </w:pPr>
          </w:p>
        </w:tc>
      </w:tr>
      <w:tr w:rsidR="00104606" w:rsidRPr="00DA0149" w14:paraId="4A63B459" w14:textId="77777777" w:rsidTr="009B1BC4">
        <w:trPr>
          <w:trHeight w:val="649"/>
        </w:trPr>
        <w:tc>
          <w:tcPr>
            <w:tcW w:w="426" w:type="dxa"/>
            <w:vMerge/>
            <w:shd w:val="clear" w:color="auto" w:fill="D5DCE4" w:themeFill="text2" w:themeFillTint="33"/>
            <w:vAlign w:val="center"/>
          </w:tcPr>
          <w:p w14:paraId="640A54FE" w14:textId="77777777" w:rsidR="00104606" w:rsidRPr="00DA0149" w:rsidRDefault="00104606" w:rsidP="009B1BC4">
            <w:pPr>
              <w:tabs>
                <w:tab w:val="left" w:pos="0"/>
              </w:tabs>
              <w:rPr>
                <w:rFonts w:cs="Segoe UI"/>
                <w:b/>
                <w:bCs/>
              </w:rPr>
            </w:pPr>
          </w:p>
        </w:tc>
        <w:tc>
          <w:tcPr>
            <w:tcW w:w="1275" w:type="dxa"/>
            <w:shd w:val="clear" w:color="auto" w:fill="D5DCE4" w:themeFill="text2" w:themeFillTint="33"/>
            <w:vAlign w:val="center"/>
          </w:tcPr>
          <w:p w14:paraId="7B6B91C6" w14:textId="77777777" w:rsidR="00104606" w:rsidRPr="00DA0149" w:rsidRDefault="00104606" w:rsidP="009B1BC4">
            <w:pPr>
              <w:tabs>
                <w:tab w:val="left" w:pos="0"/>
              </w:tabs>
              <w:rPr>
                <w:rFonts w:cs="Segoe UI"/>
              </w:rPr>
            </w:pPr>
            <w:r w:rsidRPr="00DA0149">
              <w:rPr>
                <w:rFonts w:cs="Segoe UI"/>
              </w:rPr>
              <w:t>Téměř jistý</w:t>
            </w:r>
          </w:p>
        </w:tc>
        <w:tc>
          <w:tcPr>
            <w:tcW w:w="1105" w:type="dxa"/>
            <w:shd w:val="clear" w:color="auto" w:fill="FFFF00"/>
            <w:vAlign w:val="center"/>
          </w:tcPr>
          <w:p w14:paraId="68C462A5" w14:textId="77777777" w:rsidR="00104606" w:rsidRPr="00DA0149" w:rsidRDefault="00104606" w:rsidP="009B1BC4">
            <w:pPr>
              <w:rPr>
                <w:rFonts w:cs="Segoe UI"/>
                <w:i/>
                <w:iCs/>
              </w:rPr>
            </w:pPr>
            <w:proofErr w:type="spellStart"/>
            <w:r w:rsidRPr="00DA0149">
              <w:rPr>
                <w:rFonts w:cs="Segoe UI"/>
                <w:i/>
                <w:iCs/>
              </w:rPr>
              <w:t>xxx</w:t>
            </w:r>
            <w:proofErr w:type="spellEnd"/>
          </w:p>
        </w:tc>
        <w:tc>
          <w:tcPr>
            <w:tcW w:w="1106" w:type="dxa"/>
            <w:shd w:val="clear" w:color="auto" w:fill="FFC000"/>
            <w:vAlign w:val="center"/>
          </w:tcPr>
          <w:p w14:paraId="51094EC0" w14:textId="77777777" w:rsidR="00104606" w:rsidRPr="00DA0149" w:rsidRDefault="00104606" w:rsidP="009B1BC4">
            <w:pPr>
              <w:rPr>
                <w:rFonts w:cs="Segoe UI"/>
                <w:i/>
                <w:iCs/>
              </w:rPr>
            </w:pPr>
            <w:proofErr w:type="spellStart"/>
            <w:r w:rsidRPr="00DA0149">
              <w:rPr>
                <w:rFonts w:cs="Segoe UI"/>
                <w:i/>
                <w:iCs/>
              </w:rPr>
              <w:t>xxx</w:t>
            </w:r>
            <w:proofErr w:type="spellEnd"/>
          </w:p>
        </w:tc>
        <w:tc>
          <w:tcPr>
            <w:tcW w:w="1106" w:type="dxa"/>
            <w:shd w:val="clear" w:color="auto" w:fill="FF0000"/>
            <w:vAlign w:val="center"/>
          </w:tcPr>
          <w:p w14:paraId="6D1EEA6C" w14:textId="77777777" w:rsidR="00104606" w:rsidRPr="00DA0149" w:rsidRDefault="00104606" w:rsidP="009B1BC4">
            <w:pPr>
              <w:rPr>
                <w:rFonts w:cs="Segoe UI"/>
                <w:i/>
                <w:iCs/>
              </w:rPr>
            </w:pPr>
            <w:proofErr w:type="spellStart"/>
            <w:r w:rsidRPr="00DA0149">
              <w:rPr>
                <w:rFonts w:cs="Segoe UI"/>
                <w:i/>
                <w:iCs/>
              </w:rPr>
              <w:t>xxx</w:t>
            </w:r>
            <w:proofErr w:type="spellEnd"/>
          </w:p>
        </w:tc>
        <w:tc>
          <w:tcPr>
            <w:tcW w:w="1106" w:type="dxa"/>
            <w:shd w:val="clear" w:color="auto" w:fill="FF0000"/>
            <w:vAlign w:val="center"/>
          </w:tcPr>
          <w:p w14:paraId="561426CC" w14:textId="77777777" w:rsidR="00104606" w:rsidRPr="00DA0149" w:rsidRDefault="00104606" w:rsidP="009B1BC4">
            <w:pPr>
              <w:rPr>
                <w:rFonts w:cs="Segoe UI"/>
                <w:i/>
                <w:iCs/>
              </w:rPr>
            </w:pPr>
            <w:proofErr w:type="spellStart"/>
            <w:r w:rsidRPr="00DA0149">
              <w:rPr>
                <w:rFonts w:cs="Segoe UI"/>
                <w:i/>
                <w:iCs/>
              </w:rPr>
              <w:t>xxx</w:t>
            </w:r>
            <w:proofErr w:type="spellEnd"/>
          </w:p>
        </w:tc>
        <w:tc>
          <w:tcPr>
            <w:tcW w:w="1106" w:type="dxa"/>
            <w:shd w:val="clear" w:color="auto" w:fill="FF0000"/>
            <w:vAlign w:val="center"/>
          </w:tcPr>
          <w:p w14:paraId="5E2139CC" w14:textId="77777777" w:rsidR="00104606" w:rsidRPr="00DA0149" w:rsidRDefault="00104606" w:rsidP="009B1BC4">
            <w:pPr>
              <w:rPr>
                <w:rFonts w:cs="Segoe UI"/>
                <w:i/>
                <w:iCs/>
              </w:rPr>
            </w:pPr>
            <w:proofErr w:type="spellStart"/>
            <w:r w:rsidRPr="00DA0149">
              <w:rPr>
                <w:rFonts w:cs="Segoe UI"/>
                <w:i/>
                <w:iCs/>
              </w:rPr>
              <w:t>xxx</w:t>
            </w:r>
            <w:proofErr w:type="spellEnd"/>
          </w:p>
        </w:tc>
        <w:tc>
          <w:tcPr>
            <w:tcW w:w="283" w:type="dxa"/>
            <w:tcBorders>
              <w:top w:val="none" w:sz="4" w:space="0" w:color="000000"/>
              <w:right w:val="none" w:sz="4" w:space="0" w:color="000000"/>
            </w:tcBorders>
            <w:vAlign w:val="center"/>
          </w:tcPr>
          <w:p w14:paraId="3BB33135" w14:textId="77777777" w:rsidR="00104606" w:rsidRPr="00DA0149" w:rsidRDefault="00104606" w:rsidP="009B1BC4">
            <w:pPr>
              <w:rPr>
                <w:rFonts w:cs="Segoe UI"/>
              </w:rPr>
            </w:pPr>
          </w:p>
        </w:tc>
        <w:tc>
          <w:tcPr>
            <w:tcW w:w="922" w:type="dxa"/>
            <w:tcBorders>
              <w:top w:val="none" w:sz="4" w:space="0" w:color="000000"/>
              <w:left w:val="none" w:sz="4" w:space="0" w:color="000000"/>
              <w:right w:val="none" w:sz="4" w:space="0" w:color="000000"/>
            </w:tcBorders>
            <w:vAlign w:val="center"/>
          </w:tcPr>
          <w:p w14:paraId="64739FE2" w14:textId="77777777" w:rsidR="00104606" w:rsidRPr="00DA0149" w:rsidRDefault="00104606" w:rsidP="009B1BC4">
            <w:pPr>
              <w:rPr>
                <w:rFonts w:cs="Segoe UI"/>
              </w:rPr>
            </w:pPr>
          </w:p>
        </w:tc>
        <w:tc>
          <w:tcPr>
            <w:tcW w:w="637" w:type="dxa"/>
            <w:tcBorders>
              <w:top w:val="single" w:sz="4" w:space="0" w:color="auto"/>
              <w:left w:val="none" w:sz="4" w:space="0" w:color="000000"/>
            </w:tcBorders>
            <w:vAlign w:val="center"/>
          </w:tcPr>
          <w:p w14:paraId="42C994F1" w14:textId="77777777" w:rsidR="00104606" w:rsidRPr="00DA0149" w:rsidRDefault="00104606" w:rsidP="009B1BC4">
            <w:pPr>
              <w:rPr>
                <w:rFonts w:cs="Segoe UI"/>
              </w:rPr>
            </w:pPr>
          </w:p>
        </w:tc>
      </w:tr>
    </w:tbl>
    <w:p w14:paraId="6E0A8927" w14:textId="77777777" w:rsidR="00104606" w:rsidRPr="00DA0149" w:rsidRDefault="00104606" w:rsidP="00104606">
      <w:pPr>
        <w:rPr>
          <w:rFonts w:cs="Segoe UI"/>
        </w:rPr>
      </w:pPr>
    </w:p>
    <w:p w14:paraId="253CA0AB" w14:textId="77777777" w:rsidR="00104606" w:rsidRPr="00DA0149" w:rsidRDefault="00104606" w:rsidP="00104606">
      <w:pPr>
        <w:rPr>
          <w:rFonts w:cs="Segoe UI"/>
        </w:rPr>
      </w:pPr>
      <w:r w:rsidRPr="00DA0149">
        <w:rPr>
          <w:rFonts w:cs="Segoe UI"/>
        </w:rPr>
        <w:t>Dále zpracovatel kvalifikovaně určí přijatelnost / významnost úrovní rizik s ohledem na okolnosti konkrétního projektu.</w:t>
      </w:r>
    </w:p>
    <w:p w14:paraId="21EC9192" w14:textId="77777777" w:rsidR="00104606" w:rsidRPr="00DA0149" w:rsidRDefault="00104606" w:rsidP="00104606">
      <w:pPr>
        <w:spacing w:before="240"/>
        <w:rPr>
          <w:rFonts w:cs="Segoe UI"/>
          <w:b/>
          <w:bCs/>
        </w:rPr>
      </w:pPr>
      <w:r w:rsidRPr="00DA0149">
        <w:rPr>
          <w:rFonts w:cs="Segoe UI"/>
          <w:b/>
          <w:bCs/>
        </w:rPr>
        <w:t>Zpracovatel popíše, jak jsou zjištěná klimatická rizika řešena příslušnými adaptačními opatřeními, včetně určení, posouzení, naplánování a provedení těchto opatření</w:t>
      </w:r>
    </w:p>
    <w:p w14:paraId="0B995287" w14:textId="77777777" w:rsidR="00104606" w:rsidRPr="00DA0149" w:rsidRDefault="00104606" w:rsidP="00104606">
      <w:pPr>
        <w:rPr>
          <w:rFonts w:cs="Segoe UI"/>
        </w:rPr>
      </w:pPr>
      <w:r w:rsidRPr="00DA0149">
        <w:rPr>
          <w:rFonts w:cs="Segoe UI"/>
        </w:rPr>
        <w:t>Pokud byla analýzou rizik zjištěna významná klimatická rizika, zpracovatel navrhne adaptační opatření snižující taková rizika na přijatelnou úroveň.</w:t>
      </w:r>
    </w:p>
    <w:p w14:paraId="13FFB945" w14:textId="77777777" w:rsidR="00104606" w:rsidRPr="00DA0149" w:rsidRDefault="00104606" w:rsidP="00104606">
      <w:pPr>
        <w:rPr>
          <w:rFonts w:cs="Segoe UI"/>
        </w:rPr>
      </w:pPr>
      <w:r w:rsidRPr="00DA0149">
        <w:rPr>
          <w:rFonts w:cs="Segoe UI"/>
        </w:rPr>
        <w:t>Výstupem řízení rizik pro každé významné klimatické riziko bude kvalifikované určení konkrétních možností přizpůsobení, posouzení těchto možností a začlenění vybraných adaptačních opatření do návrhu projektu nebo jeho provozu, aby se zlepšila odolnost vůči změně klimatu.</w:t>
      </w:r>
    </w:p>
    <w:p w14:paraId="547356B2" w14:textId="20A249CB" w:rsidR="00104606" w:rsidRPr="00DA0149" w:rsidRDefault="00104606" w:rsidP="00104606">
      <w:pPr>
        <w:keepNext/>
        <w:spacing w:before="240"/>
        <w:rPr>
          <w:rFonts w:cs="Segoe UI"/>
          <w:b/>
          <w:bCs/>
        </w:rPr>
      </w:pPr>
      <w:r w:rsidRPr="00DA0149">
        <w:rPr>
          <w:rFonts w:cs="Segoe UI"/>
          <w:b/>
          <w:bCs/>
        </w:rPr>
        <w:t>Zpracovatel popíše posouzení a výsledek s ohledem na pravidelné monitorování a následná opatření, například u kritických předpokladů ve vztahu k budoucí změně klimatu</w:t>
      </w:r>
      <w:r w:rsidR="007E5752">
        <w:rPr>
          <w:rFonts w:cs="Segoe UI"/>
          <w:b/>
          <w:bCs/>
        </w:rPr>
        <w:t>.</w:t>
      </w:r>
    </w:p>
    <w:p w14:paraId="67D1C134" w14:textId="77777777" w:rsidR="00104606" w:rsidRPr="00DA0149" w:rsidRDefault="00104606" w:rsidP="00104606">
      <w:pPr>
        <w:rPr>
          <w:rFonts w:cs="Segoe UI"/>
        </w:rPr>
      </w:pPr>
      <w:r w:rsidRPr="00DA0149">
        <w:rPr>
          <w:rFonts w:cs="Segoe UI"/>
        </w:rPr>
        <w:t xml:space="preserve">Pokud byla navržena adaptační opatření, zpracovatel navrhne budoucí průběžný monitoring za účelem kontroly přesnosti posouzení a zisku údajů pro budoucí posuzování a projekty, a za účelem určení, zda je pravděpodobné, že budou dosaženy stanovené spouštěcí body nebo </w:t>
      </w:r>
      <w:r w:rsidRPr="00DA0149">
        <w:rPr>
          <w:rFonts w:cs="Segoe UI"/>
        </w:rPr>
        <w:lastRenderedPageBreak/>
        <w:t>mezní hodnoty, což by ukazovalo, že bude nutné přijmout další adaptační opatření (tj. postupné přizpůsobování).</w:t>
      </w:r>
    </w:p>
    <w:p w14:paraId="42874417" w14:textId="77777777" w:rsidR="00D3052F" w:rsidRDefault="00104606" w:rsidP="00D3052F">
      <w:pPr>
        <w:spacing w:before="240"/>
        <w:rPr>
          <w:rFonts w:cs="Segoe UI"/>
          <w:b/>
          <w:bCs/>
        </w:rPr>
      </w:pPr>
      <w:r w:rsidRPr="00DA0149">
        <w:rPr>
          <w:rFonts w:cs="Segoe UI"/>
          <w:b/>
          <w:bCs/>
        </w:rPr>
        <w:t>Zpracovatel popíše soulad projektu s unijními a v příslušných případech vnitrostátními, regionálními a místními strategiemi a plány v oblasti přizpůsobení se změně klimatu a vnitrostátními nebo regionálními plány pro řízení rizika katastrof.</w:t>
      </w:r>
    </w:p>
    <w:p w14:paraId="1E731011" w14:textId="77777777" w:rsidR="003324BE" w:rsidRDefault="003324BE" w:rsidP="00D3052F">
      <w:pPr>
        <w:spacing w:before="240"/>
        <w:rPr>
          <w:rFonts w:cs="Segoe UI"/>
          <w:b/>
          <w:bCs/>
        </w:rPr>
      </w:pPr>
    </w:p>
    <w:p w14:paraId="504470CD" w14:textId="0CBCD014" w:rsidR="00602DCA" w:rsidRPr="00D3052F" w:rsidRDefault="00C5530C" w:rsidP="00DB7119">
      <w:pPr>
        <w:pStyle w:val="Nadpis4"/>
        <w:rPr>
          <w:rFonts w:cs="Segoe UI"/>
          <w:bCs/>
        </w:rPr>
      </w:pPr>
      <w:r>
        <w:t>Další využitelné zdroje informací o dopadech změny klimatu v ČR</w:t>
      </w:r>
    </w:p>
    <w:p w14:paraId="0F420035" w14:textId="6377EEE4" w:rsidR="00E5568A" w:rsidRDefault="00E5568A" w:rsidP="00A32A7E">
      <w:pPr>
        <w:pStyle w:val="Odstavecseseznamem"/>
        <w:numPr>
          <w:ilvl w:val="0"/>
          <w:numId w:val="44"/>
        </w:numPr>
        <w:jc w:val="left"/>
      </w:pPr>
      <w:r>
        <w:t xml:space="preserve">Webové stránky </w:t>
      </w:r>
      <w:hyperlink r:id="rId81" w:history="1">
        <w:r w:rsidR="00104606" w:rsidRPr="0016518E">
          <w:rPr>
            <w:rStyle w:val="Hypertextovodkaz"/>
          </w:rPr>
          <w:t>www.climateproofing.cz</w:t>
        </w:r>
      </w:hyperlink>
      <w:r w:rsidR="00104606">
        <w:t xml:space="preserve"> </w:t>
      </w:r>
    </w:p>
    <w:p w14:paraId="6CA84947" w14:textId="43D589B3" w:rsidR="00602DCA" w:rsidRDefault="00C5530C" w:rsidP="00A32A7E">
      <w:pPr>
        <w:pStyle w:val="Odstavecseseznamem"/>
        <w:numPr>
          <w:ilvl w:val="0"/>
          <w:numId w:val="44"/>
        </w:numPr>
        <w:jc w:val="left"/>
      </w:pPr>
      <w:r>
        <w:t xml:space="preserve">Aktualizace Komplexní studie dopadů, zranitelnosti a zdrojů rizik souvisejících se změnou klimatu v ČR z roku 2015: </w:t>
      </w:r>
      <w:hyperlink r:id="rId82" w:history="1">
        <w:r w:rsidR="009D6C34" w:rsidRPr="00D81705">
          <w:rPr>
            <w:rStyle w:val="Hypertextovodkaz"/>
          </w:rPr>
          <w:t>https://mzp.gov.cz/system/files/2024-08/OPOK-Komplexni_studie_dopady_klima-20151201.pdf</w:t>
        </w:r>
      </w:hyperlink>
      <w:r w:rsidR="009D6C34">
        <w:t xml:space="preserve"> </w:t>
      </w:r>
    </w:p>
    <w:p w14:paraId="0F101CB6" w14:textId="29853A03" w:rsidR="00602DCA" w:rsidRDefault="00C5530C" w:rsidP="00A32A7E">
      <w:pPr>
        <w:pStyle w:val="Odstavecseseznamem"/>
        <w:numPr>
          <w:ilvl w:val="0"/>
          <w:numId w:val="44"/>
        </w:numPr>
        <w:jc w:val="left"/>
      </w:pPr>
      <w:r>
        <w:t>Hodnocení zranitelnosti České republiky ve vztahu ke změně klimatu k roku 2017, Souhrn</w:t>
      </w:r>
      <w:r w:rsidR="007C13CF">
        <w:t>n</w:t>
      </w:r>
      <w:r>
        <w:t xml:space="preserve">á zpráva </w:t>
      </w:r>
      <w:hyperlink r:id="rId83" w:tooltip="https://www.cenia.cz/wp-content/uploads/2020/07/Indikatory_Zranitelnosti_2017_opr.pdf" w:history="1">
        <w:r w:rsidR="00602DCA">
          <w:rPr>
            <w:rStyle w:val="Hypertextovodkaz"/>
          </w:rPr>
          <w:t>https://www.cenia.cz/wp-content/uploads/2020/07/Indikatory_Zranitelnosti_2017_opr.pdf</w:t>
        </w:r>
      </w:hyperlink>
    </w:p>
    <w:p w14:paraId="245C337E" w14:textId="693F1083" w:rsidR="00843754" w:rsidRDefault="00843754" w:rsidP="00A32A7E">
      <w:pPr>
        <w:pStyle w:val="Odstavecseseznamem"/>
        <w:numPr>
          <w:ilvl w:val="0"/>
          <w:numId w:val="44"/>
        </w:numPr>
        <w:jc w:val="left"/>
      </w:pPr>
      <w:r>
        <w:t>P</w:t>
      </w:r>
      <w:r w:rsidRPr="00843754">
        <w:t>řipravovaná Komplexní studie zranitelnosti a rizik (ČHMÚ, projekt PERUN, s předpokládaným termínem zveřejnění v 2. pol. 2025)</w:t>
      </w:r>
    </w:p>
    <w:p w14:paraId="782A2597" w14:textId="02EEAEBC" w:rsidR="00602DCA" w:rsidRDefault="00973822" w:rsidP="00D77C59">
      <w:pPr>
        <w:pStyle w:val="Odstavecseseznamem"/>
        <w:numPr>
          <w:ilvl w:val="0"/>
          <w:numId w:val="44"/>
        </w:numPr>
      </w:pPr>
      <w:r w:rsidRPr="00973822">
        <w:t>Indikátory změny klimatu, jejích dopadů a zranitelnosti</w:t>
      </w:r>
      <w:r>
        <w:t xml:space="preserve"> (ČHMÚ, projekt PERUN, </w:t>
      </w:r>
      <w:hyperlink r:id="rId84" w:history="1">
        <w:r w:rsidRPr="00973822">
          <w:rPr>
            <w:rStyle w:val="Hypertextovodkaz"/>
          </w:rPr>
          <w:t>https://www.perun-klima.cz/results.html</w:t>
        </w:r>
      </w:hyperlink>
      <w:r>
        <w:t xml:space="preserve"> (HC 8</w:t>
      </w:r>
      <w:r w:rsidR="00BA02A5">
        <w:t xml:space="preserve"> - </w:t>
      </w:r>
      <w:r w:rsidR="00BA02A5" w:rsidRPr="00BA02A5">
        <w:t>Vývoj a aktualizace podkladů pro aktualizaci strategických dokumentů v oblasti adaptace na změnu klimatu</w:t>
      </w:r>
      <w:r w:rsidR="00BA02A5">
        <w:t>)</w:t>
      </w:r>
    </w:p>
    <w:p w14:paraId="2FDE4555" w14:textId="049E8DD3" w:rsidR="008E4753" w:rsidRDefault="008E4753" w:rsidP="00A32A7E">
      <w:pPr>
        <w:pStyle w:val="Odstavecseseznamem"/>
        <w:numPr>
          <w:ilvl w:val="0"/>
          <w:numId w:val="44"/>
        </w:numPr>
        <w:jc w:val="left"/>
      </w:pPr>
      <w:r w:rsidRPr="008E4753">
        <w:t>Zpráv</w:t>
      </w:r>
      <w:r>
        <w:t>a</w:t>
      </w:r>
      <w:r w:rsidRPr="008E4753">
        <w:t xml:space="preserve"> o adaptaci České republiky na změnu klimatu 2025</w:t>
      </w:r>
      <w:r>
        <w:t xml:space="preserve">: </w:t>
      </w:r>
      <w:hyperlink r:id="rId85" w:history="1">
        <w:r w:rsidRPr="00AD7362">
          <w:rPr>
            <w:rStyle w:val="Hypertextovodkaz"/>
          </w:rPr>
          <w:t>https://mzp.gov.cz/system/files/2025-05/OAZK-Zprava_o_adaptaci_CR_na_zmenu_klimatu_2025-20250520.pdf</w:t>
        </w:r>
      </w:hyperlink>
      <w:r>
        <w:t xml:space="preserve"> </w:t>
      </w:r>
    </w:p>
    <w:p w14:paraId="03F109E5" w14:textId="4CF45C8C" w:rsidR="00602DCA" w:rsidRDefault="00C5530C" w:rsidP="00A32A7E">
      <w:pPr>
        <w:pStyle w:val="Odstavecseseznamem"/>
        <w:numPr>
          <w:ilvl w:val="0"/>
          <w:numId w:val="44"/>
        </w:numPr>
        <w:jc w:val="left"/>
      </w:pPr>
      <w:r>
        <w:t xml:space="preserve">Strategie přizpůsobení se změně klimatu v podmínkách ČR: </w:t>
      </w:r>
      <w:hyperlink r:id="rId86" w:history="1">
        <w:r w:rsidR="008E4753" w:rsidRPr="00AD7362">
          <w:rPr>
            <w:rStyle w:val="Hypertextovodkaz"/>
          </w:rPr>
          <w:t>https://mzp.gov.cz/system/files/2025-03/OAZK_Narodni_adaptacni_strategie-aktualizace_20211026.pdf</w:t>
        </w:r>
      </w:hyperlink>
      <w:r w:rsidR="008E4753">
        <w:t xml:space="preserve"> </w:t>
      </w:r>
    </w:p>
    <w:p w14:paraId="38AC7750" w14:textId="0F191C49" w:rsidR="00602DCA" w:rsidRDefault="00C5530C" w:rsidP="00A32A7E">
      <w:pPr>
        <w:pStyle w:val="Odstavecseseznamem"/>
        <w:numPr>
          <w:ilvl w:val="0"/>
          <w:numId w:val="44"/>
        </w:numPr>
        <w:jc w:val="left"/>
      </w:pPr>
      <w:r>
        <w:t xml:space="preserve">Lesní požáry expozici stanovit dle obr. 11 </w:t>
      </w:r>
      <w:hyperlink r:id="rId87" w:tooltip="https://www.mzp.cz/C1257458002F0DC7/cz/vestnik_mzp_2022/$FILE/SOTPR-Vestnik_zari_2022_priloha2-20220930.pdf" w:history="1">
        <w:r w:rsidR="00602DCA">
          <w:rPr>
            <w:rStyle w:val="Hypertextovodkaz"/>
          </w:rPr>
          <w:t>https://www.mzp.cz/C1257458002F0DC7/cz/vestnik_mzp_2022/$FILE/SOTPR-Vestnik_zari_2022_priloha2-20220930.pdf</w:t>
        </w:r>
      </w:hyperlink>
      <w:r>
        <w:t xml:space="preserve"> </w:t>
      </w:r>
    </w:p>
    <w:p w14:paraId="4B69FB93" w14:textId="43DE7D22" w:rsidR="00602DCA" w:rsidRDefault="00C5530C" w:rsidP="00A32A7E">
      <w:pPr>
        <w:pStyle w:val="Odstavecseseznamem"/>
        <w:numPr>
          <w:ilvl w:val="0"/>
          <w:numId w:val="44"/>
        </w:numPr>
        <w:jc w:val="left"/>
      </w:pPr>
      <w:r>
        <w:t xml:space="preserve">Výstup mapování povodňové směrnice, které jsou v datovém skladu MŽP: </w:t>
      </w:r>
      <w:hyperlink r:id="rId88" w:tooltip="https://cds.mzp.cz/" w:history="1">
        <w:r w:rsidR="00602DCA">
          <w:rPr>
            <w:rStyle w:val="Hypertextovodkaz"/>
          </w:rPr>
          <w:t>https://cds.mzp.cz/</w:t>
        </w:r>
      </w:hyperlink>
      <w:r>
        <w:t xml:space="preserve"> </w:t>
      </w:r>
    </w:p>
    <w:p w14:paraId="3BE50321" w14:textId="447F4DB1" w:rsidR="00602DCA" w:rsidRDefault="00C5530C" w:rsidP="00A32A7E">
      <w:pPr>
        <w:pStyle w:val="Odstavecseseznamem"/>
        <w:numPr>
          <w:ilvl w:val="0"/>
          <w:numId w:val="44"/>
        </w:numPr>
        <w:jc w:val="left"/>
      </w:pPr>
      <w:r>
        <w:lastRenderedPageBreak/>
        <w:t xml:space="preserve">Mapové podklady stanovených záplavových území: </w:t>
      </w:r>
      <w:hyperlink r:id="rId89" w:tooltip="https://dppcr.cz/html_pub/" w:history="1">
        <w:r w:rsidR="00602DCA">
          <w:rPr>
            <w:rStyle w:val="Hypertextovodkaz"/>
          </w:rPr>
          <w:t>https://dppcr.cz/html_pub/</w:t>
        </w:r>
      </w:hyperlink>
      <w:r w:rsidR="00FB2A0F">
        <w:t xml:space="preserve"> </w:t>
      </w:r>
    </w:p>
    <w:p w14:paraId="5BB5E2D3" w14:textId="77777777" w:rsidR="00602DCA" w:rsidRDefault="00C5530C" w:rsidP="00A32A7E">
      <w:pPr>
        <w:pStyle w:val="Odstavecseseznamem"/>
        <w:numPr>
          <w:ilvl w:val="0"/>
          <w:numId w:val="44"/>
        </w:numPr>
        <w:jc w:val="left"/>
      </w:pPr>
      <w:r>
        <w:t xml:space="preserve">Mapy kritických bodů: </w:t>
      </w:r>
      <w:hyperlink r:id="rId90" w:tooltip="https://webmap.dppcr.cz/dpp_cr/wms.dll?MAP=5406&amp;TMPL=AJAX_MAIN" w:history="1">
        <w:r w:rsidR="00602DCA">
          <w:rPr>
            <w:rStyle w:val="Hypertextovodkaz"/>
          </w:rPr>
          <w:t>https://webmap.dppcr.cz/dpp_cr/wms.dll?MAP=5406&amp;TMPL=AJAX_MAIN</w:t>
        </w:r>
      </w:hyperlink>
      <w:r>
        <w:t xml:space="preserve"> </w:t>
      </w:r>
    </w:p>
    <w:p w14:paraId="6BCBB0AF" w14:textId="77777777" w:rsidR="00602DCA" w:rsidRDefault="00602DCA">
      <w:pPr>
        <w:rPr>
          <w:b/>
        </w:rPr>
      </w:pPr>
    </w:p>
    <w:p w14:paraId="5C846E20" w14:textId="77777777" w:rsidR="00DB7119" w:rsidRDefault="00DB7119" w:rsidP="00DB7119">
      <w:pPr>
        <w:pStyle w:val="Nadpis3"/>
      </w:pPr>
      <w:r w:rsidRPr="003B795A">
        <w:rPr>
          <w:rFonts w:cs="Segoe UI"/>
        </w:rPr>
        <w:t>Provedení opatření vzešlých z posuzování vlivů na životní prostředí (EIA) a z jednotného environmentálního stanoviska</w:t>
      </w:r>
    </w:p>
    <w:p w14:paraId="5F819D56" w14:textId="3ABA403A" w:rsidR="00DB7119" w:rsidRDefault="00DB7119" w:rsidP="00DB7119">
      <w:pPr>
        <w:spacing w:after="0"/>
        <w:rPr>
          <w:rFonts w:cs="Segoe UI"/>
        </w:rPr>
      </w:pPr>
      <w:r>
        <w:rPr>
          <w:rFonts w:cs="Segoe UI"/>
        </w:rPr>
        <w:t>Bez ohledu na zvolený způsob posouzení a implementace zásady DNSH v oblasti adaptace je nutné zajistit, že v</w:t>
      </w:r>
      <w:r w:rsidRPr="00751A92">
        <w:rPr>
          <w:rFonts w:cs="Segoe UI"/>
        </w:rPr>
        <w:t> případě, že bylo provedeno posuzování vlivů na životní prostředí (EIA), screening</w:t>
      </w:r>
      <w:r w:rsidRPr="00751A92">
        <w:rPr>
          <w:rFonts w:cs="Segoe UI"/>
          <w:vertAlign w:val="superscript"/>
        </w:rPr>
        <w:footnoteReference w:id="56"/>
      </w:r>
      <w:r w:rsidRPr="00751A92">
        <w:rPr>
          <w:rFonts w:cs="Segoe UI"/>
        </w:rPr>
        <w:t xml:space="preserve"> v souladu se směrnicí 2011/92/EU</w:t>
      </w:r>
      <w:r w:rsidRPr="00751A92">
        <w:rPr>
          <w:rFonts w:cs="Segoe UI"/>
          <w:vertAlign w:val="superscript"/>
        </w:rPr>
        <w:footnoteReference w:id="57"/>
      </w:r>
      <w:r w:rsidRPr="00751A92">
        <w:rPr>
          <w:rFonts w:cs="Segoe UI"/>
        </w:rPr>
        <w:t>, nebo spadá záměr opatření pod složkovou environmentální legislativu integrovanou do jednotného environmentálního stanoviska, byla provedena požadovaná zmírňující a kompenzační opatření na ochranu životního prostředí.</w:t>
      </w:r>
      <w:r w:rsidRPr="00EE237B">
        <w:rPr>
          <w:rFonts w:cs="Segoe UI"/>
        </w:rPr>
        <w:t xml:space="preserve"> </w:t>
      </w:r>
      <w:r>
        <w:rPr>
          <w:rFonts w:cs="Segoe UI"/>
        </w:rPr>
        <w:t>EIA a JES mohou zahrnovat doporučení ke všem environmentálním cílům a jsou tedy vždy relevantní z pohledu DNSH.</w:t>
      </w:r>
    </w:p>
    <w:p w14:paraId="0A7DD2AC" w14:textId="77777777" w:rsidR="00DB7119" w:rsidRDefault="00DB7119" w:rsidP="00DB7119">
      <w:pPr>
        <w:spacing w:after="0"/>
        <w:rPr>
          <w:rFonts w:cs="Segoe UI"/>
        </w:rPr>
      </w:pPr>
    </w:p>
    <w:p w14:paraId="1807CF94" w14:textId="77777777" w:rsidR="00DB7119" w:rsidRDefault="00DB7119" w:rsidP="00DB7119">
      <w:pPr>
        <w:rPr>
          <w:rFonts w:cs="Segoe UI"/>
        </w:rPr>
      </w:pPr>
      <w:r w:rsidRPr="00751A92">
        <w:rPr>
          <w:rFonts w:cs="Segoe UI"/>
        </w:rPr>
        <w:t>Zmírňující a kompenzační opatření na ochranu životního prostředí (na základě závazného stanoviska provedeného posouzení vlivů na životní prostředí</w:t>
      </w:r>
      <w:r>
        <w:rPr>
          <w:rFonts w:cs="Segoe UI"/>
        </w:rPr>
        <w:t xml:space="preserve"> a JES</w:t>
      </w:r>
      <w:r w:rsidRPr="00751A92">
        <w:rPr>
          <w:rFonts w:cs="Segoe UI"/>
        </w:rPr>
        <w:t>) by měla být součástí projektové dokumentace. Tyto jsou poté kontrolovány v rámci stavebního řízení, finálně však ve smyslu, že byla provedena zmírňující a kompenzační opatření až při kolaudaci. Z pohledu procesu se však legislativní postup nemusí setkat v čase s rozhodnutím o poskytnutí dotace, proto je potřeba požadovat čestné prohlášení ohledně provedení zmírňujících a kompenzačních opatření na ochranu životního prostředí.</w:t>
      </w:r>
    </w:p>
    <w:p w14:paraId="77248B7C" w14:textId="2FAF5198" w:rsidR="00D1646E" w:rsidRDefault="00D1646E">
      <w:pPr>
        <w:pStyle w:val="Nadpis3"/>
      </w:pPr>
      <w:r>
        <w:t xml:space="preserve"> Splnění legislativní ochrany a související povolení</w:t>
      </w:r>
    </w:p>
    <w:p w14:paraId="39903F8E" w14:textId="62D46953" w:rsidR="00D1646E" w:rsidRPr="009C7B63" w:rsidRDefault="00D1646E" w:rsidP="00D1646E">
      <w:pPr>
        <w:rPr>
          <w:b/>
        </w:rPr>
      </w:pPr>
      <w:r w:rsidRPr="009C7B63">
        <w:rPr>
          <w:b/>
        </w:rPr>
        <w:t xml:space="preserve">Dodržování platných právních předpisů EU a vnitrostátních environmentálních právních předpisů je samostatnou povinností při administraci EU fondů, dokladování souladu s legislativou na úrovni projektu je na rozhodnutí a dosavadní praxi příslušného </w:t>
      </w:r>
      <w:r w:rsidR="007E5752">
        <w:rPr>
          <w:b/>
        </w:rPr>
        <w:t>administrátora zdrojů EU</w:t>
      </w:r>
      <w:r w:rsidRPr="009C7B63">
        <w:rPr>
          <w:b/>
        </w:rPr>
        <w:t>, pokud není rozvedena potřeba v rámci administrace EU fondů specifická kontrola požadavků vyplývajících z legislativy s vazbou na DNSH (např. ad provedení opatření ve vazbě na EIA a JES).</w:t>
      </w:r>
    </w:p>
    <w:p w14:paraId="6DE2EAF2" w14:textId="77777777" w:rsidR="00D1646E" w:rsidRPr="00A84314" w:rsidRDefault="00D1646E" w:rsidP="00D1646E">
      <w:r w:rsidRPr="009C7B63">
        <w:rPr>
          <w:b/>
        </w:rPr>
        <w:t>Fakultativně se doporučuje zvážit dokládání žadatele jako subjektu, zda neporušuje environmentální legislativu</w:t>
      </w:r>
      <w:r w:rsidRPr="009C7B63">
        <w:t xml:space="preserve"> – např. v podobě čestného prohlášení žadatele, že proti němu nejsou vedena řízení za porušení povinností spojených s ochranou životního prostředí (např. ze strany ČIŽP a jiných kontrolních orgánů) a klimatu (ve smyslu, že nemá nedoplatky za povolenky na emise skleníkových plynů).</w:t>
      </w:r>
    </w:p>
    <w:p w14:paraId="2DF86587" w14:textId="5DB7D6D4" w:rsidR="00D1646E" w:rsidRPr="00D1646E" w:rsidRDefault="00D1646E" w:rsidP="00D77C59">
      <w:pPr>
        <w:spacing w:after="160" w:line="259" w:lineRule="auto"/>
        <w:jc w:val="left"/>
      </w:pPr>
      <w:r>
        <w:br w:type="page"/>
      </w:r>
    </w:p>
    <w:p w14:paraId="00462955" w14:textId="77777777" w:rsidR="00602DCA" w:rsidRDefault="00C5530C">
      <w:pPr>
        <w:pStyle w:val="Nadpis2"/>
      </w:pPr>
      <w:bookmarkStart w:id="115" w:name="_Toc210046034"/>
      <w:r>
        <w:lastRenderedPageBreak/>
        <w:t>Udržitelné využívání a ochrana vodních zdrojů</w:t>
      </w:r>
      <w:bookmarkEnd w:id="115"/>
    </w:p>
    <w:p w14:paraId="4116910C" w14:textId="77777777" w:rsidR="00A32A7E" w:rsidRPr="00747A55" w:rsidRDefault="00A32A7E" w:rsidP="00A32A7E">
      <w:pPr>
        <w:rPr>
          <w:rFonts w:cs="Segoe UI"/>
          <w:b/>
          <w:bCs/>
        </w:rPr>
      </w:pPr>
      <w:r w:rsidRPr="00747A55">
        <w:rPr>
          <w:rFonts w:cs="Segoe UI"/>
          <w:b/>
          <w:bCs/>
        </w:rPr>
        <w:t>Udržitelné využívání a ochrana vodních a mořských zdrojů</w:t>
      </w:r>
    </w:p>
    <w:p w14:paraId="19C74B42" w14:textId="77777777" w:rsidR="00A32A7E" w:rsidRPr="00751A92" w:rsidRDefault="00A32A7E" w:rsidP="00A32A7E">
      <w:pPr>
        <w:rPr>
          <w:rFonts w:cs="Segoe UI"/>
        </w:rPr>
      </w:pPr>
      <w:r w:rsidRPr="00751A92">
        <w:rPr>
          <w:rFonts w:cs="Segoe UI"/>
        </w:rPr>
        <w:t>Smyslem DNSH je, aby jakékoliv opatření významně nepoškodilo udržitelné využívání a ochranu vodních zdrojů ve smyslu poškození dobrého stavu útvarů povrchových vod (chemický stav a ekologický stav nebo potenciál) a útvarů podzemních vod (chemický a kvantitativní stav), nebo zapříčinilo zhoršení stávajícího stavu.</w:t>
      </w:r>
    </w:p>
    <w:p w14:paraId="0D9EEAE9" w14:textId="052A4390" w:rsidR="00A32A7E" w:rsidRPr="00BF1EC6" w:rsidRDefault="00A32A7E" w:rsidP="006A4206">
      <w:pPr>
        <w:pStyle w:val="Nadpis3"/>
      </w:pPr>
      <w:r w:rsidRPr="00BF1EC6">
        <w:t>Posouzení souladu podpory se zásadou DNSH</w:t>
      </w:r>
      <w:r w:rsidR="003732CC">
        <w:rPr>
          <w:rStyle w:val="Znakapoznpodarou"/>
        </w:rPr>
        <w:footnoteReference w:id="58"/>
      </w:r>
    </w:p>
    <w:p w14:paraId="24A6AE82" w14:textId="7223225F" w:rsidR="00A32A7E" w:rsidRPr="00751A92" w:rsidRDefault="00E066A8" w:rsidP="00A32A7E">
      <w:pPr>
        <w:rPr>
          <w:rFonts w:cs="Segoe UI"/>
        </w:rPr>
      </w:pPr>
      <w:r>
        <w:rPr>
          <w:noProof/>
        </w:rPr>
        <w:drawing>
          <wp:inline distT="0" distB="0" distL="0" distR="0" wp14:anchorId="2573AE31" wp14:editId="5633E7B1">
            <wp:extent cx="5760720" cy="6600825"/>
            <wp:effectExtent l="0" t="0" r="0" b="9525"/>
            <wp:docPr id="143822813" name="Obrázek 1" descr="Obsah obrázku text, snímek obrazovky, diagram, Písmo&#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22813" name="Obrázek 1" descr="Obsah obrázku text, snímek obrazovky, diagram, Písmo&#10;&#10;Obsah vygenerovaný umělou inteligencí může být nesprávný."/>
                    <pic:cNvPicPr/>
                  </pic:nvPicPr>
                  <pic:blipFill>
                    <a:blip r:embed="rId91"/>
                    <a:stretch>
                      <a:fillRect/>
                    </a:stretch>
                  </pic:blipFill>
                  <pic:spPr>
                    <a:xfrm>
                      <a:off x="0" y="0"/>
                      <a:ext cx="5760720" cy="6600825"/>
                    </a:xfrm>
                    <a:prstGeom prst="rect">
                      <a:avLst/>
                    </a:prstGeom>
                  </pic:spPr>
                </pic:pic>
              </a:graphicData>
            </a:graphic>
          </wp:inline>
        </w:drawing>
      </w:r>
    </w:p>
    <w:p w14:paraId="29817E1B" w14:textId="77777777" w:rsidR="00A32A7E" w:rsidRPr="00BF1EC6" w:rsidRDefault="00A32A7E" w:rsidP="00BF1EC6">
      <w:pPr>
        <w:pStyle w:val="Nadpis3"/>
      </w:pPr>
      <w:r w:rsidRPr="00BF1EC6">
        <w:lastRenderedPageBreak/>
        <w:t>Vyloučené podpory</w:t>
      </w:r>
    </w:p>
    <w:p w14:paraId="67CF9338" w14:textId="09D96FD2" w:rsidR="00A32A7E" w:rsidRPr="00751A92" w:rsidRDefault="00A32A7E" w:rsidP="00A32A7E">
      <w:pPr>
        <w:rPr>
          <w:rFonts w:cs="Segoe UI"/>
        </w:rPr>
      </w:pPr>
      <w:r w:rsidRPr="00751A92">
        <w:rPr>
          <w:rFonts w:cs="Segoe UI"/>
        </w:rPr>
        <w:t xml:space="preserve">V první řadě je při přípravě a schvalování </w:t>
      </w:r>
      <w:r w:rsidR="007E5752">
        <w:rPr>
          <w:rFonts w:cs="Segoe UI"/>
        </w:rPr>
        <w:t>dotačního programu</w:t>
      </w:r>
      <w:r w:rsidRPr="00751A92">
        <w:rPr>
          <w:rFonts w:cs="Segoe UI"/>
        </w:rPr>
        <w:t xml:space="preserve"> nutné posoudit, zda zamýšlená podpora není vyloučena, ať již na základě oblasti působnosti nástroje nebo v souvislosti s DNSH. V některých případech je potřeba zásadu DNSH implementovat prostřednictvím věcného zaměření podpory a omezení určitých opatření. Vyloučené podpory jsou blíže popsány v části </w:t>
      </w:r>
      <w:hyperlink w:anchor="_Podmínky_DNSH_založené" w:history="1">
        <w:r w:rsidR="00356447" w:rsidRPr="00356447">
          <w:rPr>
            <w:rStyle w:val="Hypertextovodkaz"/>
            <w:rFonts w:cs="Segoe UI"/>
          </w:rPr>
          <w:t>3.5 tohoto materiálu</w:t>
        </w:r>
      </w:hyperlink>
      <w:r w:rsidRPr="00751A92">
        <w:rPr>
          <w:rFonts w:cs="Segoe UI"/>
        </w:rPr>
        <w:t>.</w:t>
      </w:r>
    </w:p>
    <w:p w14:paraId="214FBB24" w14:textId="77777777" w:rsidR="00A32A7E" w:rsidRPr="00BF1EC6" w:rsidRDefault="00A32A7E" w:rsidP="00BF1EC6">
      <w:pPr>
        <w:pStyle w:val="Nadpis3"/>
      </w:pPr>
      <w:r w:rsidRPr="00BF1EC6">
        <w:t>Sledování příspěvku opatření k ochraně klimatu a k environmentálním cílům</w:t>
      </w:r>
    </w:p>
    <w:p w14:paraId="0ACB07DB" w14:textId="1575BC8E" w:rsidR="00A32A7E" w:rsidRPr="00751A92" w:rsidRDefault="00A32A7E" w:rsidP="00A32A7E">
      <w:pPr>
        <w:rPr>
          <w:rFonts w:cs="Segoe UI"/>
        </w:rPr>
      </w:pPr>
      <w:r w:rsidRPr="00751A92">
        <w:rPr>
          <w:rFonts w:cs="Segoe UI"/>
        </w:rPr>
        <w:t xml:space="preserve">Po ověření souladu s právními předpisy jednotlivých fondů a vyloučenými aktivity v souvislosti s DNSH nebo ad-hoc podmínkami (výjimkami) je možné postoupit k ověření enviromentálního tagu v oblasti udržitelné využívání a ochrana vodních a mořských zdrojů. Klimatické a environmentální tagy a obecně sledování příspěvku fondů k ochraně klimatu a k environmentálním cílům, stejně jako zdroje koeficientů pro jednotlivé fondy, jsou blíže popsány v části </w:t>
      </w:r>
      <w:hyperlink w:anchor="_Sledování_příspěvku_fondů" w:history="1">
        <w:r w:rsidR="00356447" w:rsidRPr="0077290F">
          <w:rPr>
            <w:rStyle w:val="Hypertextovodkaz"/>
            <w:rFonts w:cs="Segoe UI"/>
          </w:rPr>
          <w:t>2.4 tohoto materiálu</w:t>
        </w:r>
      </w:hyperlink>
      <w:r w:rsidRPr="00751A92">
        <w:rPr>
          <w:rFonts w:cs="Segoe UI"/>
        </w:rPr>
        <w:t xml:space="preserve">. V případě, že je k činnosti zamýšlené podpory přiřazen koeficient 100 % v oblasti </w:t>
      </w:r>
      <w:r w:rsidR="00477B85">
        <w:rPr>
          <w:rFonts w:cs="Segoe UI"/>
        </w:rPr>
        <w:t>ochrana vodních a mořských zdrojů</w:t>
      </w:r>
      <w:r w:rsidRPr="00751A92">
        <w:rPr>
          <w:rFonts w:cs="Segoe UI"/>
        </w:rPr>
        <w:t>, očekává se, že činnost významně přispěje k plnění tohoto environmentálního cíle</w:t>
      </w:r>
      <w:r>
        <w:rPr>
          <w:rFonts w:cs="Segoe UI"/>
        </w:rPr>
        <w:t xml:space="preserve"> </w:t>
      </w:r>
      <w:bookmarkStart w:id="116" w:name="_Hlk193791411"/>
      <w:r w:rsidRPr="004863DB">
        <w:rPr>
          <w:rFonts w:cs="Segoe UI"/>
        </w:rPr>
        <w:t xml:space="preserve">a není nutné stanovovat dodatečné podmínky kromě těch, </w:t>
      </w:r>
      <w:bookmarkStart w:id="117" w:name="_Hlk193791389"/>
      <w:bookmarkEnd w:id="116"/>
      <w:r w:rsidRPr="004863DB">
        <w:rPr>
          <w:rFonts w:cs="Segoe UI"/>
        </w:rPr>
        <w:t>které jsou nutné pro plnění 100 % klimatického tagu, (které je nutné přesně stanovit do úrovně projektu)</w:t>
      </w:r>
      <w:r w:rsidRPr="00BA38D6">
        <w:rPr>
          <w:rFonts w:cs="Segoe UI"/>
        </w:rPr>
        <w:t>. V případě, že je při</w:t>
      </w:r>
      <w:r w:rsidR="00641F53">
        <w:rPr>
          <w:rFonts w:cs="Segoe UI"/>
        </w:rPr>
        <w:t>ř</w:t>
      </w:r>
      <w:r w:rsidRPr="00BA38D6">
        <w:rPr>
          <w:rFonts w:cs="Segoe UI"/>
        </w:rPr>
        <w:t>a</w:t>
      </w:r>
      <w:r w:rsidR="00400566">
        <w:rPr>
          <w:rFonts w:cs="Segoe UI"/>
        </w:rPr>
        <w:t>z</w:t>
      </w:r>
      <w:r w:rsidRPr="00BA38D6">
        <w:rPr>
          <w:rFonts w:cs="Segoe UI"/>
        </w:rPr>
        <w:t>ený koeficient 40 % nebo 0 % je nutné postoupit s detailním posouzením DNSH</w:t>
      </w:r>
      <w:r w:rsidRPr="004863DB">
        <w:rPr>
          <w:rFonts w:cs="Segoe UI"/>
        </w:rPr>
        <w:t xml:space="preserve"> a případně nastavit doplňující podmínky nebo systém hodnocení projektů / míry podpory. Toto posouzení DNSH a nastavení podmínek by mělo být prioritně provedeno již na úrovni přípravy výzvy a pravidel pro žadatele / přípravy komponenty.</w:t>
      </w:r>
      <w:bookmarkEnd w:id="117"/>
    </w:p>
    <w:p w14:paraId="29F923BE" w14:textId="77777777" w:rsidR="00A32A7E" w:rsidRPr="00BF1EC6" w:rsidRDefault="00A32A7E" w:rsidP="00BF1EC6">
      <w:pPr>
        <w:pStyle w:val="Nadpis3"/>
      </w:pPr>
      <w:r w:rsidRPr="00BF1EC6">
        <w:t>Stanovení podmínek DNSH</w:t>
      </w:r>
    </w:p>
    <w:p w14:paraId="55DCF8ED" w14:textId="3802CDC9" w:rsidR="00A32A7E" w:rsidRPr="00751A92" w:rsidRDefault="00A32A7E" w:rsidP="00A32A7E">
      <w:pPr>
        <w:rPr>
          <w:rFonts w:cs="Segoe UI"/>
        </w:rPr>
      </w:pPr>
      <w:r w:rsidRPr="00751A92">
        <w:rPr>
          <w:rFonts w:cs="Segoe UI"/>
        </w:rPr>
        <w:t xml:space="preserve">V případě, že na základě posouzení příspěvku opatření v oblasti udržitelné využívání a ochrana vodních a mořských zdrojů bylo vyhodnoceno, že dané opatření nepředstavuje významný přínos k tomuto cíli, </w:t>
      </w:r>
      <w:r w:rsidR="009811C3">
        <w:rPr>
          <w:rFonts w:cs="Segoe UI"/>
        </w:rPr>
        <w:t>j</w:t>
      </w:r>
      <w:r w:rsidRPr="00751A92">
        <w:rPr>
          <w:rFonts w:cs="Segoe UI"/>
        </w:rPr>
        <w:t>e nutné přistoupit k detailnímu posouzení DNSH.</w:t>
      </w:r>
    </w:p>
    <w:p w14:paraId="36635C5B" w14:textId="1F9C70D1" w:rsidR="00E718A8" w:rsidRDefault="00A32A7E" w:rsidP="00E718A8">
      <w:pPr>
        <w:rPr>
          <w:rFonts w:cs="Segoe UI"/>
        </w:rPr>
      </w:pPr>
      <w:r w:rsidRPr="00751A92">
        <w:rPr>
          <w:rFonts w:cs="Segoe UI"/>
        </w:rPr>
        <w:t>Detailní posouzení je možné uchopit následujícími způsoby:</w:t>
      </w:r>
    </w:p>
    <w:p w14:paraId="3AF5D66D" w14:textId="3454DB07" w:rsidR="00263794" w:rsidRPr="00E718A8" w:rsidRDefault="00263794" w:rsidP="00E718A8">
      <w:pPr>
        <w:pStyle w:val="Nadpis4"/>
        <w:rPr>
          <w:rFonts w:cs="Segoe UI"/>
        </w:rPr>
      </w:pPr>
      <w:r w:rsidRPr="00D00814">
        <w:t xml:space="preserve">Plnění zásady DNSH na základě </w:t>
      </w:r>
      <w:r>
        <w:t>individuálního posouzení</w:t>
      </w:r>
    </w:p>
    <w:p w14:paraId="1F8C8A18" w14:textId="77777777" w:rsidR="00A32A7E" w:rsidRDefault="00A32A7E" w:rsidP="00A32A7E">
      <w:pPr>
        <w:rPr>
          <w:rFonts w:cs="Segoe UI"/>
        </w:rPr>
      </w:pPr>
      <w:r w:rsidRPr="00747A55">
        <w:rPr>
          <w:rFonts w:cs="Segoe UI"/>
        </w:rPr>
        <w:t>V případě vlastního vyhodnocení rizik a posouzení souladu se zásadou DNSH, je nutné dodržet následující podmínky:</w:t>
      </w:r>
    </w:p>
    <w:p w14:paraId="58E8834B" w14:textId="04C275D6" w:rsidR="00A32A7E" w:rsidRPr="00BF1EC6" w:rsidRDefault="00A32A7E" w:rsidP="00141780">
      <w:pPr>
        <w:pStyle w:val="Nadpis5"/>
      </w:pPr>
      <w:r w:rsidRPr="00BF1EC6">
        <w:t>Postupy typizovaných projektů</w:t>
      </w:r>
      <w:r w:rsidR="00127B96">
        <w:t xml:space="preserve"> (dle příloh)</w:t>
      </w:r>
    </w:p>
    <w:p w14:paraId="6B01C336" w14:textId="1528ECF6" w:rsidR="00A32A7E" w:rsidRPr="00751A92" w:rsidRDefault="008710F1" w:rsidP="00A32A7E">
      <w:pPr>
        <w:rPr>
          <w:rFonts w:cs="Segoe UI"/>
        </w:rPr>
      </w:pPr>
      <w:r>
        <w:rPr>
          <w:rFonts w:cs="Segoe UI"/>
        </w:rPr>
        <w:t>J</w:t>
      </w:r>
      <w:r w:rsidR="00A32A7E" w:rsidRPr="00751A92">
        <w:rPr>
          <w:rFonts w:cs="Segoe UI"/>
        </w:rPr>
        <w:t xml:space="preserve">e nutné </w:t>
      </w:r>
      <w:r>
        <w:rPr>
          <w:rFonts w:cs="Segoe UI"/>
        </w:rPr>
        <w:t xml:space="preserve">zajistit dodržení </w:t>
      </w:r>
      <w:r w:rsidR="00A32A7E" w:rsidRPr="00751A92">
        <w:rPr>
          <w:rFonts w:cs="Segoe UI"/>
        </w:rPr>
        <w:t>postup</w:t>
      </w:r>
      <w:r>
        <w:rPr>
          <w:rFonts w:cs="Segoe UI"/>
        </w:rPr>
        <w:t>ů</w:t>
      </w:r>
      <w:r w:rsidR="00A32A7E" w:rsidRPr="00751A92">
        <w:rPr>
          <w:rFonts w:cs="Segoe UI"/>
        </w:rPr>
        <w:t xml:space="preserve"> v rámci tzv. typizovaných karet pro konkrétní typy projektů:</w:t>
      </w:r>
    </w:p>
    <w:p w14:paraId="3DAAEF32" w14:textId="5EE1FD4D" w:rsidR="00A32A7E" w:rsidRDefault="00A32A7E" w:rsidP="00A32A7E">
      <w:pPr>
        <w:pStyle w:val="Odstavecseseznamem"/>
        <w:numPr>
          <w:ilvl w:val="0"/>
          <w:numId w:val="67"/>
        </w:numPr>
        <w:spacing w:after="160" w:line="276" w:lineRule="auto"/>
        <w:contextualSpacing/>
        <w:rPr>
          <w:rFonts w:cs="Segoe UI"/>
        </w:rPr>
      </w:pPr>
      <w:r w:rsidRPr="00751A92">
        <w:rPr>
          <w:rFonts w:cs="Segoe UI"/>
        </w:rPr>
        <w:t xml:space="preserve">V případě, že je součástí předmětu podporu výstavba nových budov, či renovace budov, je nutné zajistit promítnutí podmínek </w:t>
      </w:r>
      <w:r w:rsidR="006E2AD0">
        <w:rPr>
          <w:rFonts w:cs="Segoe UI"/>
        </w:rPr>
        <w:t>pro u</w:t>
      </w:r>
      <w:r w:rsidR="006E2AD0" w:rsidRPr="00585B04">
        <w:rPr>
          <w:rFonts w:cs="Segoe UI"/>
        </w:rPr>
        <w:t>držitelné využívání a ochran</w:t>
      </w:r>
      <w:r w:rsidR="006E2AD0">
        <w:rPr>
          <w:rFonts w:cs="Segoe UI"/>
        </w:rPr>
        <w:t>u</w:t>
      </w:r>
      <w:r w:rsidR="006E2AD0" w:rsidRPr="00585B04">
        <w:rPr>
          <w:rFonts w:cs="Segoe UI"/>
        </w:rPr>
        <w:t xml:space="preserve"> vodních </w:t>
      </w:r>
      <w:r w:rsidR="0041030E" w:rsidRPr="00585B04">
        <w:rPr>
          <w:rFonts w:cs="Segoe UI"/>
        </w:rPr>
        <w:t>zdrojů</w:t>
      </w:r>
      <w:r w:rsidR="0041030E">
        <w:rPr>
          <w:rFonts w:cs="Segoe UI"/>
        </w:rPr>
        <w:t xml:space="preserve"> </w:t>
      </w:r>
      <w:r w:rsidR="0041030E" w:rsidRPr="00751A92">
        <w:rPr>
          <w:rFonts w:cs="Segoe UI"/>
        </w:rPr>
        <w:t>obsažených</w:t>
      </w:r>
      <w:r w:rsidRPr="00751A92">
        <w:rPr>
          <w:rFonts w:cs="Segoe UI"/>
        </w:rPr>
        <w:t xml:space="preserve"> v</w:t>
      </w:r>
      <w:r w:rsidR="00AC3BF7">
        <w:rPr>
          <w:rFonts w:cs="Segoe UI"/>
        </w:rPr>
        <w:t> </w:t>
      </w:r>
      <w:hyperlink w:anchor="_Výstavba_nových_budov" w:history="1">
        <w:r w:rsidR="00AC3BF7" w:rsidRPr="00AC3BF7">
          <w:rPr>
            <w:rStyle w:val="Hypertextovodkaz"/>
            <w:rFonts w:cs="Segoe UI"/>
          </w:rPr>
          <w:t xml:space="preserve">kapitole </w:t>
        </w:r>
        <w:r w:rsidR="00E718A8">
          <w:rPr>
            <w:rStyle w:val="Hypertextovodkaz"/>
            <w:rFonts w:cs="Segoe UI"/>
          </w:rPr>
          <w:t>5.</w:t>
        </w:r>
        <w:r w:rsidR="00AC3BF7" w:rsidRPr="00AC3BF7">
          <w:rPr>
            <w:rStyle w:val="Hypertextovodkaz"/>
            <w:rFonts w:cs="Segoe UI"/>
          </w:rPr>
          <w:t>3</w:t>
        </w:r>
      </w:hyperlink>
      <w:r w:rsidRPr="00751A92">
        <w:rPr>
          <w:rFonts w:cs="Segoe UI"/>
        </w:rPr>
        <w:t xml:space="preserve"> tohoto materiálu.</w:t>
      </w:r>
    </w:p>
    <w:p w14:paraId="18809453" w14:textId="77777777" w:rsidR="00E718A8" w:rsidRPr="00BF1EC6" w:rsidRDefault="00E718A8" w:rsidP="00E718A8">
      <w:pPr>
        <w:pStyle w:val="Nadpis5"/>
      </w:pPr>
      <w:r w:rsidRPr="00BF1EC6">
        <w:lastRenderedPageBreak/>
        <w:t xml:space="preserve">Provedení opatření vzešlých z posuzování vlivů na </w:t>
      </w:r>
      <w:r w:rsidRPr="00141780">
        <w:t>životní</w:t>
      </w:r>
      <w:r w:rsidRPr="00BF1EC6">
        <w:t xml:space="preserve"> prostředí (EIA) a z jednotného environmentálního stanoviska</w:t>
      </w:r>
    </w:p>
    <w:p w14:paraId="17C6F485" w14:textId="77777777" w:rsidR="00E718A8" w:rsidRDefault="00E718A8" w:rsidP="00E718A8">
      <w:pPr>
        <w:spacing w:after="0"/>
        <w:rPr>
          <w:rFonts w:cs="Segoe UI"/>
        </w:rPr>
      </w:pPr>
      <w:r w:rsidRPr="00751A92">
        <w:rPr>
          <w:rFonts w:cs="Segoe UI"/>
        </w:rPr>
        <w:t>V případě, že bylo provedeno posuzování vlivů na životní prostředí (EIA), screening</w:t>
      </w:r>
      <w:r w:rsidRPr="00751A92">
        <w:rPr>
          <w:rFonts w:cs="Segoe UI"/>
          <w:vertAlign w:val="superscript"/>
        </w:rPr>
        <w:footnoteReference w:id="59"/>
      </w:r>
      <w:r w:rsidRPr="00751A92">
        <w:rPr>
          <w:rFonts w:cs="Segoe UI"/>
        </w:rPr>
        <w:t xml:space="preserve"> v souladu se směrnicí 2011/92/EU</w:t>
      </w:r>
      <w:r w:rsidRPr="00751A92">
        <w:rPr>
          <w:rFonts w:cs="Segoe UI"/>
          <w:vertAlign w:val="superscript"/>
        </w:rPr>
        <w:footnoteReference w:id="60"/>
      </w:r>
      <w:r w:rsidRPr="00751A92">
        <w:rPr>
          <w:rFonts w:cs="Segoe UI"/>
        </w:rPr>
        <w:t>, nebo spadá záměr opatření pod složkovou environmentální legislativu integrovanou do jednotného environmentálního stanoviska, je nutné zajistit, že byla provedena požadovaná zmírňující a kompenzační opatření na ochranu životního prostředí.</w:t>
      </w:r>
      <w:r w:rsidRPr="00EE237B">
        <w:rPr>
          <w:rFonts w:cs="Segoe UI"/>
        </w:rPr>
        <w:t xml:space="preserve"> </w:t>
      </w:r>
      <w:r>
        <w:rPr>
          <w:rFonts w:cs="Segoe UI"/>
        </w:rPr>
        <w:t>EIA a JES mohou zahrnovat doporučení ke všem environmentálním cílům a jsou tedy vždy relevantní z pohledu DNSH.</w:t>
      </w:r>
    </w:p>
    <w:p w14:paraId="469F46EA" w14:textId="77777777" w:rsidR="00E718A8" w:rsidRDefault="00E718A8" w:rsidP="00E718A8">
      <w:pPr>
        <w:spacing w:after="0"/>
        <w:rPr>
          <w:rFonts w:cs="Segoe UI"/>
        </w:rPr>
      </w:pPr>
    </w:p>
    <w:p w14:paraId="6199E39B" w14:textId="77777777" w:rsidR="00E718A8" w:rsidRDefault="00E718A8" w:rsidP="00D77C59">
      <w:pPr>
        <w:rPr>
          <w:rFonts w:cs="Segoe UI"/>
        </w:rPr>
      </w:pPr>
      <w:r w:rsidRPr="00751A92">
        <w:rPr>
          <w:rFonts w:cs="Segoe UI"/>
        </w:rPr>
        <w:t>Zmírňující a kompenzační opatření na ochranu životního prostředí (na základě závazného stanoviska provedeného posouzení vlivů na životní prostředí</w:t>
      </w:r>
      <w:r>
        <w:rPr>
          <w:rFonts w:cs="Segoe UI"/>
        </w:rPr>
        <w:t xml:space="preserve"> a JES</w:t>
      </w:r>
      <w:r w:rsidRPr="00751A92">
        <w:rPr>
          <w:rFonts w:cs="Segoe UI"/>
        </w:rPr>
        <w:t>) by měla být součástí projektové dokumentace. Tyto jsou poté kontrolovány v rámci stavebního řízení, finálně však ve smyslu, že byla provedena zmírňující a kompenzační opatření až při kolaudaci. Z pohledu procesu se však legislativní postup nemusí setkat v čase s rozhodnutím o poskytnutí dotace, proto je potřeba požadovat čestné prohlášení ohledně provedení zmírňujících a kompenzačních opatření na ochranu životního prostředí.</w:t>
      </w:r>
    </w:p>
    <w:p w14:paraId="67BD94F6" w14:textId="77777777" w:rsidR="00E718A8" w:rsidRPr="00751A92" w:rsidRDefault="00E718A8" w:rsidP="00E718A8">
      <w:pPr>
        <w:spacing w:after="0"/>
        <w:rPr>
          <w:rFonts w:cs="Segoe UI"/>
        </w:rPr>
      </w:pPr>
    </w:p>
    <w:p w14:paraId="63692B35" w14:textId="77777777" w:rsidR="00A32A7E" w:rsidRPr="00BF1EC6" w:rsidRDefault="00A32A7E" w:rsidP="00141780">
      <w:pPr>
        <w:pStyle w:val="Nadpis5"/>
      </w:pPr>
      <w:r w:rsidRPr="00BF1EC6">
        <w:t>Splnění legislativní ochrany a souvisejících povolení</w:t>
      </w:r>
    </w:p>
    <w:p w14:paraId="17ED2D66" w14:textId="75A37685" w:rsidR="004E258C" w:rsidRPr="006C6775" w:rsidRDefault="004E258C" w:rsidP="006C6775">
      <w:pPr>
        <w:keepNext/>
        <w:rPr>
          <w:rFonts w:cs="Segoe UI"/>
        </w:rPr>
      </w:pPr>
      <w:r w:rsidRPr="009C7B63">
        <w:rPr>
          <w:b/>
        </w:rPr>
        <w:t xml:space="preserve">Dodržování platných právních předpisů EU a vnitrostátních environmentálních právních předpisů je samostatnou povinností při administraci EU fondů, dokladování souladu s legislativou na úrovni projektu je na rozhodnutí a dosavadní praxi příslušného </w:t>
      </w:r>
      <w:r w:rsidR="009B1BC4">
        <w:rPr>
          <w:b/>
        </w:rPr>
        <w:t>administrátora zdrojů EU</w:t>
      </w:r>
      <w:r w:rsidRPr="009C7B63">
        <w:rPr>
          <w:b/>
        </w:rPr>
        <w:t>, pokud není rozvedena potřeba v rámci administrace EU fondů specifická kontrola požadavků vyplývajících z legislativy s vazbou na DNSH (např. ad provedení opatření ve vazbě na EIA a JES).</w:t>
      </w:r>
    </w:p>
    <w:p w14:paraId="2EBC2227" w14:textId="1BF99A95" w:rsidR="004E258C" w:rsidRPr="004E258C" w:rsidRDefault="004E258C" w:rsidP="00D77C59">
      <w:r w:rsidRPr="009C7B63">
        <w:rPr>
          <w:b/>
        </w:rPr>
        <w:t>Fakultativně se doporučuje zvážit dokládání žadatele jako subjektu, zda neporušuje environmentální legislativu</w:t>
      </w:r>
      <w:r w:rsidRPr="009C7B63">
        <w:t xml:space="preserve"> – např. v podobě čestného prohlášení žadatele, že proti němu nejsou vedena řízení za porušení povinností spojených s ochranou životního prostředí (např. ze strany ČIŽP a jiných kontrolních orgánů) a klimatu (ve smyslu, že nemá nedoplatky za povolenky na emise skleníkových plynů).</w:t>
      </w:r>
    </w:p>
    <w:p w14:paraId="54AB86B7" w14:textId="1029CD78" w:rsidR="00A32A7E" w:rsidRPr="00751A92" w:rsidRDefault="00A32A7E" w:rsidP="00D77C59">
      <w:pPr>
        <w:keepNext/>
        <w:rPr>
          <w:rFonts w:cs="Segoe UI"/>
        </w:rPr>
      </w:pPr>
      <w:r w:rsidRPr="00751A92">
        <w:rPr>
          <w:rFonts w:cs="Segoe UI"/>
        </w:rPr>
        <w:t>Zásada DNSH v rámci udržitelného využívání a ochrany vodních a mořských zdrojů je ve většině případů splněna skrze soulad s legislativou, která garantuje, že:</w:t>
      </w:r>
    </w:p>
    <w:p w14:paraId="535BFAFD" w14:textId="77777777" w:rsidR="00A32A7E" w:rsidRPr="00751A92" w:rsidRDefault="00A32A7E" w:rsidP="00A32A7E">
      <w:pPr>
        <w:pStyle w:val="Odstavecseseznamem"/>
        <w:numPr>
          <w:ilvl w:val="0"/>
          <w:numId w:val="67"/>
        </w:numPr>
        <w:spacing w:after="160" w:line="276" w:lineRule="auto"/>
        <w:contextualSpacing/>
        <w:rPr>
          <w:rFonts w:cs="Segoe UI"/>
        </w:rPr>
      </w:pPr>
      <w:r w:rsidRPr="00751A92">
        <w:rPr>
          <w:rFonts w:cs="Segoe UI"/>
        </w:rPr>
        <w:t xml:space="preserve">v souladu s požadavky směrnice Evropského parlamentu a Rady 2000/60/ES ze dne 23. října 2000, kterou se stanoví rámec pro činnost Společenství v oblasti vodní politiky (dále jen rámcová směrnice o vodách) a plánů povodí byla identifikována a řešena rizika </w:t>
      </w:r>
      <w:r w:rsidRPr="00751A92">
        <w:rPr>
          <w:rFonts w:cs="Segoe UI"/>
        </w:rPr>
        <w:lastRenderedPageBreak/>
        <w:t>zhoršování stavu životního prostředí související se zachováním jakosti vody a předcházením nedostatku vody.</w:t>
      </w:r>
      <w:r>
        <w:rPr>
          <w:rFonts w:cs="Segoe UI"/>
        </w:rPr>
        <w:t xml:space="preserve"> </w:t>
      </w:r>
      <w:r w:rsidRPr="00751A92">
        <w:rPr>
          <w:rFonts w:cs="Segoe UI"/>
        </w:rPr>
        <w:t xml:space="preserve">Definice a míra ochrany odpovídá: </w:t>
      </w:r>
    </w:p>
    <w:p w14:paraId="0AB893F4" w14:textId="77777777" w:rsidR="00A32A7E" w:rsidRPr="00751A92" w:rsidRDefault="00A32A7E" w:rsidP="00A32A7E">
      <w:pPr>
        <w:pStyle w:val="Odstavecseseznamem"/>
        <w:numPr>
          <w:ilvl w:val="0"/>
          <w:numId w:val="68"/>
        </w:numPr>
        <w:spacing w:after="160" w:line="276" w:lineRule="auto"/>
        <w:contextualSpacing/>
        <w:rPr>
          <w:rFonts w:cs="Segoe UI"/>
        </w:rPr>
      </w:pPr>
      <w:r w:rsidRPr="00751A92">
        <w:rPr>
          <w:rFonts w:cs="Segoe UI"/>
        </w:rPr>
        <w:t>pro povrchové vody dobrému ekologickému stavu ve smyslu čl. 2 bodu 22 rámcové směrnice o vodách a dobrému chemickému stavu povrchových vod ve smyslu čl. 2 bodu 24 uvedené směrnice;</w:t>
      </w:r>
    </w:p>
    <w:p w14:paraId="6610BB86" w14:textId="77777777" w:rsidR="00A32A7E" w:rsidRPr="00751A92" w:rsidRDefault="00A32A7E" w:rsidP="00A32A7E">
      <w:pPr>
        <w:pStyle w:val="Odstavecseseznamem"/>
        <w:numPr>
          <w:ilvl w:val="0"/>
          <w:numId w:val="68"/>
        </w:numPr>
        <w:spacing w:after="160" w:line="276" w:lineRule="auto"/>
        <w:contextualSpacing/>
        <w:rPr>
          <w:rFonts w:cs="Segoe UI"/>
        </w:rPr>
      </w:pPr>
      <w:r w:rsidRPr="00751A92">
        <w:rPr>
          <w:rFonts w:cs="Segoe UI"/>
        </w:rPr>
        <w:t>pro podzemní vody dobrému chemickému stavu podzemních vod ve smyslu čl. 2 bodu 25 rámcové směrnice o vodách a dobrému kvantitativnímu stavu ve smyslu čl. 2 bodu 28 uvedené směrnice;</w:t>
      </w:r>
    </w:p>
    <w:p w14:paraId="2AF6F340" w14:textId="77777777" w:rsidR="00A32A7E" w:rsidRPr="00751A92" w:rsidRDefault="00A32A7E" w:rsidP="00A32A7E">
      <w:pPr>
        <w:pStyle w:val="Odstavecseseznamem"/>
        <w:numPr>
          <w:ilvl w:val="0"/>
          <w:numId w:val="68"/>
        </w:numPr>
        <w:spacing w:after="160" w:line="276" w:lineRule="auto"/>
        <w:contextualSpacing/>
        <w:rPr>
          <w:rFonts w:cs="Segoe UI"/>
        </w:rPr>
      </w:pPr>
      <w:r w:rsidRPr="00751A92">
        <w:rPr>
          <w:rFonts w:cs="Segoe UI"/>
        </w:rPr>
        <w:t>dobrému ekologickému potenciálu ve smyslu čl. 2 bodu 23 rámcové směrnice o vodách.</w:t>
      </w:r>
    </w:p>
    <w:p w14:paraId="5EDEA37B" w14:textId="77777777" w:rsidR="00A32A7E" w:rsidRPr="00751A92" w:rsidRDefault="00A32A7E" w:rsidP="00A32A7E">
      <w:pPr>
        <w:pStyle w:val="Odstavecseseznamem"/>
        <w:numPr>
          <w:ilvl w:val="0"/>
          <w:numId w:val="67"/>
        </w:numPr>
        <w:spacing w:after="160" w:line="276" w:lineRule="auto"/>
        <w:contextualSpacing/>
        <w:rPr>
          <w:rFonts w:cs="Segoe UI"/>
        </w:rPr>
      </w:pPr>
      <w:r w:rsidRPr="00751A92">
        <w:rPr>
          <w:rFonts w:cs="Segoe UI"/>
        </w:rPr>
        <w:t xml:space="preserve">opatření nemá významný dopad na i) dotčené vodní útvary (ani nebrání tomu, aby konkrétní vodní útvar, k němuž se vztahuje, ani jiné vodní útvary v témže povodí dosáhly dobrého stavu nebo dobrého potenciálu v souladu s požadavky rámcové směrnice o vodách) nebo </w:t>
      </w:r>
      <w:proofErr w:type="spellStart"/>
      <w:r w:rsidRPr="00751A92">
        <w:rPr>
          <w:rFonts w:cs="Segoe UI"/>
        </w:rPr>
        <w:t>ii</w:t>
      </w:r>
      <w:proofErr w:type="spellEnd"/>
      <w:r w:rsidRPr="00751A92">
        <w:rPr>
          <w:rFonts w:cs="Segoe UI"/>
        </w:rPr>
        <w:t>) chráněná stanoviště a druhy přímo závislé na vodním prostředí.</w:t>
      </w:r>
    </w:p>
    <w:p w14:paraId="1E329F98" w14:textId="77777777" w:rsidR="00A32A7E" w:rsidRDefault="00A32A7E" w:rsidP="00A32A7E">
      <w:pPr>
        <w:rPr>
          <w:rFonts w:cs="Segoe UI"/>
        </w:rPr>
      </w:pPr>
      <w:r w:rsidRPr="00751A92">
        <w:rPr>
          <w:rFonts w:cs="Segoe UI"/>
        </w:rPr>
        <w:t>V případě, že projekt má vydáno vodoprávní rozhodnutí, či je vyžadováno v rámci povolení k provozu po dokončení realizace projektu, je tento požadavek naplněn, neboť správce povodí a vodoprávní úřad aplikují toto hodnocení a uplatní kritéria pro zajištění tohoto požadavku, jehož jsou garanti.</w:t>
      </w:r>
    </w:p>
    <w:p w14:paraId="176E71BB" w14:textId="5EF88FA5" w:rsidR="003169B0" w:rsidRPr="00CB2FE6" w:rsidRDefault="00CB415C" w:rsidP="00CB2FE6">
      <w:pPr>
        <w:spacing w:line="240" w:lineRule="auto"/>
        <w:rPr>
          <w:rFonts w:cs="Segoe UI"/>
          <w:b/>
          <w:bCs/>
        </w:rPr>
      </w:pPr>
      <w:r w:rsidRPr="00CB2FE6">
        <w:rPr>
          <w:rFonts w:cs="Segoe UI"/>
          <w:b/>
          <w:bCs/>
        </w:rPr>
        <w:t>Přehled legislativy</w:t>
      </w:r>
    </w:p>
    <w:p w14:paraId="7453A449" w14:textId="77777777" w:rsidR="00A32A7E" w:rsidRPr="00CB415C" w:rsidRDefault="00A32A7E" w:rsidP="00D77C59">
      <w:pPr>
        <w:pStyle w:val="Odstavecseseznamem"/>
        <w:numPr>
          <w:ilvl w:val="0"/>
          <w:numId w:val="67"/>
        </w:numPr>
        <w:spacing w:line="240" w:lineRule="auto"/>
        <w:ind w:left="714" w:hanging="357"/>
        <w:rPr>
          <w:rFonts w:cs="Segoe UI"/>
        </w:rPr>
      </w:pPr>
      <w:r w:rsidRPr="00CB415C">
        <w:rPr>
          <w:rFonts w:cs="Segoe UI"/>
        </w:rPr>
        <w:t>Rámcová směrnice o vodách (včetně dceřiných směrnic) nyní prochází novelizací, jejíž přijetí se předpokládá v průběhu roku 2025.</w:t>
      </w:r>
    </w:p>
    <w:p w14:paraId="47D28000" w14:textId="77777777" w:rsidR="00A32A7E" w:rsidRPr="00CB415C" w:rsidRDefault="00A32A7E" w:rsidP="00D77C59">
      <w:pPr>
        <w:pStyle w:val="Odstavecseseznamem"/>
        <w:numPr>
          <w:ilvl w:val="0"/>
          <w:numId w:val="67"/>
        </w:numPr>
        <w:spacing w:line="240" w:lineRule="auto"/>
        <w:ind w:left="714" w:hanging="357"/>
        <w:rPr>
          <w:rFonts w:cs="Segoe UI"/>
        </w:rPr>
      </w:pPr>
      <w:r w:rsidRPr="00CB415C">
        <w:rPr>
          <w:rFonts w:cs="Segoe UI"/>
        </w:rPr>
        <w:t xml:space="preserve">Pokud jde o problematiku vodovodů a kanalizací, zde je podkladem zákon č. 274/2001 Sb., o vodovodech a kanalizacích pro veřejnou potřebu a o změně některých zákonů, ve znění pozdějších předpisů. </w:t>
      </w:r>
    </w:p>
    <w:p w14:paraId="71856706" w14:textId="77777777" w:rsidR="00A32A7E" w:rsidRPr="00CB415C" w:rsidRDefault="00A32A7E" w:rsidP="00D77C59">
      <w:pPr>
        <w:pStyle w:val="Odstavecseseznamem"/>
        <w:numPr>
          <w:ilvl w:val="0"/>
          <w:numId w:val="67"/>
        </w:numPr>
        <w:spacing w:line="240" w:lineRule="auto"/>
        <w:ind w:left="714" w:hanging="357"/>
        <w:rPr>
          <w:rFonts w:cs="Segoe UI"/>
        </w:rPr>
      </w:pPr>
      <w:r w:rsidRPr="00CB415C">
        <w:rPr>
          <w:rFonts w:cs="Segoe UI"/>
        </w:rPr>
        <w:t>Problematika odvádění městských odpadních vod je řešena Směrnicí Rady 91/271/EHS, o čištění městských odpadních vod. V této směrnici jsou uvedeny všechny požadavky týkající se odvádění, čištění a vypouštění městských odpadních vod a čištění a vypouštění odpadních vod z určitých průmyslových odvětví. Důležitými ukazateli je zejména velikost aglomerace, procento odkanalizování či stupeň čištění.</w:t>
      </w:r>
    </w:p>
    <w:p w14:paraId="25CE4805" w14:textId="77777777" w:rsidR="00A32A7E" w:rsidRPr="00CB415C" w:rsidRDefault="00A32A7E" w:rsidP="00D77C59">
      <w:pPr>
        <w:pStyle w:val="Odstavecseseznamem"/>
        <w:numPr>
          <w:ilvl w:val="0"/>
          <w:numId w:val="67"/>
        </w:numPr>
        <w:spacing w:line="240" w:lineRule="auto"/>
        <w:ind w:left="714" w:hanging="357"/>
        <w:rPr>
          <w:rFonts w:cs="Segoe UI"/>
        </w:rPr>
      </w:pPr>
      <w:r w:rsidRPr="00CB415C">
        <w:rPr>
          <w:rFonts w:cs="Segoe UI"/>
        </w:rPr>
        <w:t xml:space="preserve">Rada EU 5. listopadu 2024 schválila revidovanou směrnici EU o čištění městských odpadních vod. Revidovaná směrnice rozšiřuje oblast působnosti na menší aglomerace, zahrnuje větší počet znečišťujících látek, včetně </w:t>
      </w:r>
      <w:proofErr w:type="spellStart"/>
      <w:r w:rsidRPr="00CB415C">
        <w:rPr>
          <w:rFonts w:cs="Segoe UI"/>
        </w:rPr>
        <w:t>mikropolutantů</w:t>
      </w:r>
      <w:proofErr w:type="spellEnd"/>
      <w:r w:rsidRPr="00CB415C">
        <w:rPr>
          <w:rFonts w:cs="Segoe UI"/>
        </w:rPr>
        <w:t xml:space="preserve">, a přispívá k dosažení energetické neutrality. </w:t>
      </w:r>
    </w:p>
    <w:p w14:paraId="75AD9E96" w14:textId="77777777" w:rsidR="00A32A7E" w:rsidRPr="00CB415C" w:rsidRDefault="00A32A7E" w:rsidP="00D77C59">
      <w:pPr>
        <w:pStyle w:val="Odstavecseseznamem"/>
        <w:numPr>
          <w:ilvl w:val="0"/>
          <w:numId w:val="67"/>
        </w:numPr>
        <w:spacing w:line="240" w:lineRule="auto"/>
        <w:ind w:left="714" w:hanging="357"/>
        <w:rPr>
          <w:rFonts w:cs="Segoe UI"/>
        </w:rPr>
      </w:pPr>
      <w:r w:rsidRPr="00CB415C">
        <w:rPr>
          <w:rFonts w:cs="Segoe UI"/>
        </w:rPr>
        <w:t>Tato směrnice je implementována do právního rámce ČR výše uvedeným zákonem o vodovodech a kanalizacích, zákonem číslo 254/2001 Sb. o vodách a o změně některých zákonů (vodní zákon), ve znění pozdějších předpisů a nařízením vlády č. 401/2015 Sb. V souvislosti s uvedenou revizí této směrnice budou muset být novelizovány i uvedené právní předpisy ČR.</w:t>
      </w:r>
    </w:p>
    <w:p w14:paraId="20A9D83B" w14:textId="77777777" w:rsidR="00A32A7E" w:rsidRPr="00CB415C" w:rsidRDefault="00A32A7E" w:rsidP="00D77C59">
      <w:pPr>
        <w:pStyle w:val="Odstavecseseznamem"/>
        <w:numPr>
          <w:ilvl w:val="0"/>
          <w:numId w:val="67"/>
        </w:numPr>
        <w:spacing w:line="240" w:lineRule="auto"/>
        <w:ind w:left="714" w:hanging="357"/>
        <w:rPr>
          <w:rFonts w:cs="Segoe UI"/>
        </w:rPr>
      </w:pPr>
      <w:r w:rsidRPr="00CB415C">
        <w:rPr>
          <w:rFonts w:cs="Segoe UI"/>
        </w:rPr>
        <w:t xml:space="preserve">Výkonem státní správy v oblasti vodního hospodářství jsou tzv. vodoprávní úřady, které vykonávají činnosti podle zákonů výše, tj. 254/2001 Sb.,274/2001 Sb. a zákona č. 283/2021 Sb. (stavební zákon), ve znění pozdějších předpisů. Vodoprávní úřady podle vodního zákona zřizují obce, újezdní úřady na území vojenských újezdů, obecní úřady </w:t>
      </w:r>
      <w:r w:rsidRPr="00CB415C">
        <w:rPr>
          <w:rFonts w:cs="Segoe UI"/>
        </w:rPr>
        <w:lastRenderedPageBreak/>
        <w:t>obcí s rozšířenou přenesenou působností, kraje a ministerstva. Ministerstva jsou dle vodního zákona tzv. ústřední vodoprávní úřady. Vodoprávní úřad působí jako speciální stavební úřad, který vykonává působnost stavebního úřadu pro tzv. vodní díla.</w:t>
      </w:r>
    </w:p>
    <w:p w14:paraId="2ED90D1A" w14:textId="77777777" w:rsidR="00A32A7E" w:rsidRPr="00CB415C" w:rsidRDefault="00A32A7E" w:rsidP="00D77C59">
      <w:pPr>
        <w:pStyle w:val="Odstavecseseznamem"/>
        <w:numPr>
          <w:ilvl w:val="0"/>
          <w:numId w:val="67"/>
        </w:numPr>
        <w:spacing w:line="240" w:lineRule="auto"/>
        <w:ind w:left="714" w:hanging="357"/>
        <w:rPr>
          <w:rFonts w:cs="Segoe UI"/>
        </w:rPr>
      </w:pPr>
      <w:r w:rsidRPr="00CB415C">
        <w:rPr>
          <w:rFonts w:cs="Segoe UI"/>
        </w:rPr>
        <w:t>Stavby vodních děl, realizace zmírňujících opatření stanovených v plánech povodí či záměry vyžadující tzv. povolení k nakládání s vodami, jsou ze strany příslušného vodoprávního úřadu (ve spolupráci s příslušným správcem povodí) posuzovány možné dopady a ovlivnění dotčených útvarů povrchových či podzemních vod v souladu s rámcovou směrnicí o vodách. V případě významných projektů se provádí posuzování vlivů na životní prostředí v souladu se směrnicí 2011/92/EU, jakož i příslušná posouzení podle rámcové směrnice o vodách, včetně realizace požadovaných zmírňujících opatření.</w:t>
      </w:r>
    </w:p>
    <w:p w14:paraId="57D864BA" w14:textId="425DBA61" w:rsidR="00A32A7E" w:rsidRPr="00BF1EC6" w:rsidRDefault="002002BE" w:rsidP="006C6775">
      <w:pPr>
        <w:pStyle w:val="Nadpis4"/>
      </w:pPr>
      <w:r>
        <w:t>Další podmínky k možnému zapracování</w:t>
      </w:r>
    </w:p>
    <w:p w14:paraId="4819AC9A" w14:textId="64672BAB" w:rsidR="002002BE" w:rsidRDefault="008710F1" w:rsidP="008710F1">
      <w:pPr>
        <w:rPr>
          <w:rFonts w:cs="Segoe UI"/>
        </w:rPr>
      </w:pPr>
      <w:r w:rsidRPr="00BA38D6">
        <w:rPr>
          <w:rFonts w:cs="Segoe UI"/>
        </w:rPr>
        <w:t xml:space="preserve">V případě, že dojde ke shledání, že zamýšlený druh podpory i přes implementaci ochranných opatření a splnění souladu s legislativními předpisy a souvisejícími povoleními může představovat riziko poškozování životního prostředí, je možné </w:t>
      </w:r>
      <w:r w:rsidR="002002BE" w:rsidRPr="00EB459F">
        <w:rPr>
          <w:rFonts w:cs="Segoe UI"/>
        </w:rPr>
        <w:t>zvýšit úroveň ochrany implementací vhodných podmínek a opatření:</w:t>
      </w:r>
    </w:p>
    <w:p w14:paraId="31B2285F" w14:textId="00AB83CA" w:rsidR="002002BE" w:rsidRPr="002002BE" w:rsidRDefault="002002BE" w:rsidP="008710F1">
      <w:pPr>
        <w:rPr>
          <w:rFonts w:cs="Segoe UI"/>
          <w:b/>
          <w:bCs/>
        </w:rPr>
      </w:pPr>
      <w:r w:rsidRPr="00342DDB">
        <w:rPr>
          <w:rFonts w:cs="Segoe UI"/>
          <w:b/>
          <w:bCs/>
        </w:rPr>
        <w:t>Fakultativní stanovení podmínek dle taxonomie (ať již na základě významného přínosu, či na základě podmínek DNSH)</w:t>
      </w:r>
    </w:p>
    <w:p w14:paraId="0468DA6F" w14:textId="2B0324C4" w:rsidR="008710F1" w:rsidRPr="00751A92" w:rsidRDefault="008710F1" w:rsidP="008710F1">
      <w:pPr>
        <w:rPr>
          <w:rFonts w:cs="Segoe UI"/>
        </w:rPr>
      </w:pPr>
      <w:r w:rsidRPr="00751A92">
        <w:rPr>
          <w:rFonts w:cs="Segoe UI"/>
        </w:rPr>
        <w:t>Jelikož je zásada DNSH ukotvena v článku 17 Nařízení o taxonomii a je obdobně interpretována i v jednotlivých právních předpisech relevantních fondů, je možné stanovit konkrétní podmínky pro čerpání podpory analogicky dle technických kritérií pro významný příspěvek</w:t>
      </w:r>
      <w:r>
        <w:rPr>
          <w:rFonts w:cs="Segoe UI"/>
        </w:rPr>
        <w:t>, nebo využitím technických screeningových kritérií DNSH</w:t>
      </w:r>
      <w:r w:rsidRPr="00751A92">
        <w:rPr>
          <w:rFonts w:cs="Segoe UI"/>
        </w:rPr>
        <w:t>.</w:t>
      </w:r>
    </w:p>
    <w:p w14:paraId="459092D0" w14:textId="28EA6A53" w:rsidR="008710F1" w:rsidRPr="00751A92" w:rsidRDefault="00241D59" w:rsidP="008710F1">
      <w:pPr>
        <w:rPr>
          <w:rFonts w:cs="Segoe UI"/>
        </w:rPr>
      </w:pPr>
      <w:r>
        <w:rPr>
          <w:rFonts w:cs="Segoe UI"/>
        </w:rPr>
        <w:t>V případě postupu dle významného přínosu je d</w:t>
      </w:r>
      <w:r w:rsidRPr="00BA38D6">
        <w:rPr>
          <w:rFonts w:cs="Segoe UI"/>
        </w:rPr>
        <w:t xml:space="preserve">oporučeným postupem dohledat předmět </w:t>
      </w:r>
      <w:r w:rsidR="008710F1" w:rsidRPr="00751A92">
        <w:rPr>
          <w:rFonts w:cs="Segoe UI"/>
        </w:rPr>
        <w:t>podpory v </w:t>
      </w:r>
      <w:hyperlink r:id="rId92" w:history="1">
        <w:r w:rsidR="008710F1" w:rsidRPr="00751A92">
          <w:rPr>
            <w:rStyle w:val="Hypertextovodkaz"/>
            <w:rFonts w:cs="Segoe UI"/>
          </w:rPr>
          <w:t xml:space="preserve">EU Taxonomy </w:t>
        </w:r>
        <w:proofErr w:type="spellStart"/>
        <w:r w:rsidR="008710F1" w:rsidRPr="00751A92">
          <w:rPr>
            <w:rStyle w:val="Hypertextovodkaz"/>
            <w:rFonts w:cs="Segoe UI"/>
          </w:rPr>
          <w:t>compass</w:t>
        </w:r>
        <w:proofErr w:type="spellEnd"/>
      </w:hyperlink>
      <w:r w:rsidR="008710F1" w:rsidRPr="00751A92">
        <w:rPr>
          <w:rFonts w:cs="Segoe UI"/>
        </w:rPr>
        <w:t xml:space="preserve"> nebo </w:t>
      </w:r>
      <w:hyperlink w:anchor="_Kontext_taxonomie_EU" w:history="1">
        <w:r w:rsidR="008710F1" w:rsidRPr="0077290F">
          <w:rPr>
            <w:rStyle w:val="Hypertextovodkaz"/>
            <w:rFonts w:cs="Segoe UI"/>
          </w:rPr>
          <w:t>relevantním delegovaném aktu taxonomie</w:t>
        </w:r>
      </w:hyperlink>
      <w:r w:rsidR="008710F1">
        <w:rPr>
          <w:rFonts w:cs="Segoe UI"/>
        </w:rPr>
        <w:t>.</w:t>
      </w:r>
      <w:r w:rsidR="008710F1" w:rsidRPr="00751A92">
        <w:rPr>
          <w:rFonts w:cs="Segoe UI"/>
        </w:rPr>
        <w:t xml:space="preserve"> </w:t>
      </w:r>
      <w:r w:rsidR="008710F1" w:rsidRPr="009126CE">
        <w:rPr>
          <w:rFonts w:cs="Segoe UI"/>
        </w:rPr>
        <w:t xml:space="preserve">Český překlad je zveřejněn na webových stránkách </w:t>
      </w:r>
      <w:hyperlink r:id="rId93" w:history="1">
        <w:r w:rsidR="008710F1" w:rsidRPr="0058633B">
          <w:rPr>
            <w:rStyle w:val="Hypertextovodkaz"/>
            <w:rFonts w:cs="Segoe UI"/>
          </w:rPr>
          <w:t>Ministerstva financí</w:t>
        </w:r>
      </w:hyperlink>
      <w:r w:rsidR="008710F1" w:rsidRPr="009126CE">
        <w:rPr>
          <w:rFonts w:cs="Segoe UI"/>
        </w:rPr>
        <w:t>, kde jsou k dispozici překlady jednotlivých činností a také screeningových kritérií.</w:t>
      </w:r>
    </w:p>
    <w:p w14:paraId="565D2222" w14:textId="77777777" w:rsidR="008710F1" w:rsidRPr="00751A92" w:rsidRDefault="008710F1" w:rsidP="008710F1">
      <w:pPr>
        <w:rPr>
          <w:rFonts w:cs="Segoe UI"/>
          <w:b/>
          <w:bCs/>
        </w:rPr>
      </w:pPr>
      <w:r w:rsidRPr="00751A92">
        <w:rPr>
          <w:rFonts w:cs="Segoe UI"/>
          <w:noProof/>
        </w:rPr>
        <mc:AlternateContent>
          <mc:Choice Requires="wps">
            <w:drawing>
              <wp:anchor distT="0" distB="0" distL="114300" distR="114300" simplePos="0" relativeHeight="251694080" behindDoc="0" locked="0" layoutInCell="1" allowOverlap="1" wp14:anchorId="7872534D" wp14:editId="54F2A509">
                <wp:simplePos x="0" y="0"/>
                <wp:positionH relativeFrom="column">
                  <wp:posOffset>3505266</wp:posOffset>
                </wp:positionH>
                <wp:positionV relativeFrom="paragraph">
                  <wp:posOffset>33655</wp:posOffset>
                </wp:positionV>
                <wp:extent cx="514350" cy="914400"/>
                <wp:effectExtent l="19050" t="19050" r="19050" b="19050"/>
                <wp:wrapNone/>
                <wp:docPr id="627346104" name="Obdélník 1"/>
                <wp:cNvGraphicFramePr/>
                <a:graphic xmlns:a="http://schemas.openxmlformats.org/drawingml/2006/main">
                  <a:graphicData uri="http://schemas.microsoft.com/office/word/2010/wordprocessingShape">
                    <wps:wsp>
                      <wps:cNvSpPr/>
                      <wps:spPr>
                        <a:xfrm>
                          <a:off x="0" y="0"/>
                          <a:ext cx="514350" cy="914400"/>
                        </a:xfrm>
                        <a:prstGeom prst="rect">
                          <a:avLst/>
                        </a:prstGeom>
                        <a:noFill/>
                        <a:ln w="2857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1ED280" id="Obdélník 1" o:spid="_x0000_s1026" style="position:absolute;margin-left:276pt;margin-top:2.65pt;width:40.5pt;height:1in;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" filled="f" strokecolor="red" strokeweight="2.25pt"/>
            </w:pict>
          </mc:Fallback>
        </mc:AlternateContent>
      </w:r>
      <w:r w:rsidRPr="00751A92">
        <w:rPr>
          <w:rFonts w:cs="Segoe UI"/>
          <w:noProof/>
        </w:rPr>
        <w:drawing>
          <wp:inline distT="0" distB="0" distL="0" distR="0" wp14:anchorId="7BB2320B" wp14:editId="7E36BFC9">
            <wp:extent cx="5760720" cy="404495"/>
            <wp:effectExtent l="0" t="0" r="0" b="0"/>
            <wp:docPr id="133025715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789274" name=""/>
                    <pic:cNvPicPr/>
                  </pic:nvPicPr>
                  <pic:blipFill>
                    <a:blip r:embed="rId63"/>
                    <a:stretch>
                      <a:fillRect/>
                    </a:stretch>
                  </pic:blipFill>
                  <pic:spPr>
                    <a:xfrm>
                      <a:off x="0" y="0"/>
                      <a:ext cx="5760720" cy="404495"/>
                    </a:xfrm>
                    <a:prstGeom prst="rect">
                      <a:avLst/>
                    </a:prstGeom>
                  </pic:spPr>
                </pic:pic>
              </a:graphicData>
            </a:graphic>
          </wp:inline>
        </w:drawing>
      </w:r>
    </w:p>
    <w:p w14:paraId="4DF353C2" w14:textId="77777777" w:rsidR="008710F1" w:rsidRPr="00751A92" w:rsidRDefault="008710F1" w:rsidP="008710F1">
      <w:pPr>
        <w:rPr>
          <w:rFonts w:cs="Segoe UI"/>
          <w:b/>
          <w:bCs/>
        </w:rPr>
      </w:pPr>
      <w:r w:rsidRPr="00751A92">
        <w:rPr>
          <w:rFonts w:cs="Segoe UI"/>
          <w:noProof/>
        </w:rPr>
        <w:drawing>
          <wp:inline distT="0" distB="0" distL="0" distR="0" wp14:anchorId="15688286" wp14:editId="656415EF">
            <wp:extent cx="5760720" cy="426085"/>
            <wp:effectExtent l="0" t="0" r="0" b="0"/>
            <wp:docPr id="39623515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99542" name=""/>
                    <pic:cNvPicPr/>
                  </pic:nvPicPr>
                  <pic:blipFill>
                    <a:blip r:embed="rId94"/>
                    <a:stretch>
                      <a:fillRect/>
                    </a:stretch>
                  </pic:blipFill>
                  <pic:spPr>
                    <a:xfrm>
                      <a:off x="0" y="0"/>
                      <a:ext cx="5760720" cy="426085"/>
                    </a:xfrm>
                    <a:prstGeom prst="rect">
                      <a:avLst/>
                    </a:prstGeom>
                  </pic:spPr>
                </pic:pic>
              </a:graphicData>
            </a:graphic>
          </wp:inline>
        </w:drawing>
      </w:r>
    </w:p>
    <w:p w14:paraId="5D45EDBA" w14:textId="7CAFA5DC" w:rsidR="00A32A7E" w:rsidRDefault="008710F1" w:rsidP="008710F1">
      <w:pPr>
        <w:spacing w:after="0"/>
        <w:rPr>
          <w:rFonts w:cs="Segoe UI"/>
        </w:rPr>
      </w:pPr>
      <w:r>
        <w:rPr>
          <w:rFonts w:cs="Segoe UI"/>
        </w:rPr>
        <w:t>Využití kritérií významného přínosu</w:t>
      </w:r>
      <w:r w:rsidRPr="00751A92">
        <w:rPr>
          <w:rFonts w:cs="Segoe UI"/>
        </w:rPr>
        <w:t xml:space="preserve"> je </w:t>
      </w:r>
      <w:r>
        <w:rPr>
          <w:rFonts w:cs="Segoe UI"/>
        </w:rPr>
        <w:t>možné</w:t>
      </w:r>
      <w:r w:rsidRPr="00751A92">
        <w:rPr>
          <w:rFonts w:cs="Segoe UI"/>
        </w:rPr>
        <w:t xml:space="preserve"> pouze v případech, kdy byl</w:t>
      </w:r>
      <w:r>
        <w:rPr>
          <w:rFonts w:cs="Segoe UI"/>
        </w:rPr>
        <w:t>y</w:t>
      </w:r>
      <w:r w:rsidRPr="00751A92">
        <w:rPr>
          <w:rFonts w:cs="Segoe UI"/>
        </w:rPr>
        <w:t xml:space="preserve"> v rámci delegovaného aktu (EU) 2023/2486 taxonomie </w:t>
      </w:r>
      <w:r>
        <w:rPr>
          <w:rFonts w:cs="Segoe UI"/>
        </w:rPr>
        <w:t xml:space="preserve">stanoveny podmínky pro určení významného příspěvku hospodářské </w:t>
      </w:r>
      <w:r w:rsidRPr="00BA38D6">
        <w:rPr>
          <w:rFonts w:cs="Segoe UI"/>
        </w:rPr>
        <w:t>činnos</w:t>
      </w:r>
      <w:r>
        <w:rPr>
          <w:rFonts w:cs="Segoe UI"/>
        </w:rPr>
        <w:t>ti</w:t>
      </w:r>
      <w:r w:rsidRPr="00BA38D6">
        <w:rPr>
          <w:rFonts w:cs="Segoe UI"/>
        </w:rPr>
        <w:t xml:space="preserve"> k</w:t>
      </w:r>
      <w:r w:rsidRPr="00751A92">
        <w:rPr>
          <w:rFonts w:cs="Segoe UI"/>
        </w:rPr>
        <w:t xml:space="preserve"> oblasti udržitelné využívání a ochrana vodních a mořských zdrojů. </w:t>
      </w:r>
      <w:r w:rsidRPr="00747A55">
        <w:rPr>
          <w:rFonts w:cs="Segoe UI"/>
        </w:rPr>
        <w:t>Pokud pro danou činnost nebyla kritéria pro určení významného příspěvku stanovena, není možné stanovit kritéria DNSH tímto způsobem.</w:t>
      </w:r>
    </w:p>
    <w:p w14:paraId="34184DFD" w14:textId="77777777" w:rsidR="00A32A7E" w:rsidRPr="00A37FFA" w:rsidRDefault="00A32A7E" w:rsidP="00A32A7E">
      <w:pPr>
        <w:spacing w:after="0"/>
        <w:rPr>
          <w:rFonts w:cs="Segoe UI"/>
        </w:rPr>
      </w:pPr>
    </w:p>
    <w:p w14:paraId="2374B602" w14:textId="5AB4A68D" w:rsidR="00A32A7E" w:rsidRDefault="00A32A7E" w:rsidP="00A32A7E">
      <w:pPr>
        <w:spacing w:after="0"/>
        <w:rPr>
          <w:rFonts w:cs="Segoe UI"/>
        </w:rPr>
      </w:pPr>
      <w:bookmarkStart w:id="118" w:name="_Hlk193985415"/>
      <w:r w:rsidRPr="00A37FFA">
        <w:rPr>
          <w:rFonts w:cs="Segoe UI"/>
        </w:rPr>
        <w:t xml:space="preserve">V případě </w:t>
      </w:r>
      <w:r w:rsidR="008710F1">
        <w:rPr>
          <w:rFonts w:cs="Segoe UI"/>
        </w:rPr>
        <w:t xml:space="preserve">kritérií DNSH je při </w:t>
      </w:r>
      <w:r w:rsidRPr="00A37FFA">
        <w:rPr>
          <w:rFonts w:cs="Segoe UI"/>
        </w:rPr>
        <w:t xml:space="preserve">využití </w:t>
      </w:r>
      <w:hyperlink r:id="rId95" w:history="1">
        <w:r w:rsidRPr="00A37FFA">
          <w:rPr>
            <w:rStyle w:val="Hypertextovodkaz"/>
            <w:rFonts w:cs="Segoe UI"/>
          </w:rPr>
          <w:t xml:space="preserve">EU Taxonomy </w:t>
        </w:r>
        <w:proofErr w:type="spellStart"/>
        <w:r w:rsidRPr="00A37FFA">
          <w:rPr>
            <w:rStyle w:val="Hypertextovodkaz"/>
            <w:rFonts w:cs="Segoe UI"/>
          </w:rPr>
          <w:t>compass</w:t>
        </w:r>
        <w:proofErr w:type="spellEnd"/>
      </w:hyperlink>
      <w:r w:rsidRPr="00A37FFA">
        <w:rPr>
          <w:rFonts w:cs="Segoe UI"/>
        </w:rPr>
        <w:t xml:space="preserve"> možné relevantní podmínky </w:t>
      </w:r>
      <w:r w:rsidR="008710F1">
        <w:rPr>
          <w:rFonts w:cs="Segoe UI"/>
        </w:rPr>
        <w:t xml:space="preserve">dohledat </w:t>
      </w:r>
      <w:r w:rsidRPr="00A37FFA">
        <w:rPr>
          <w:rFonts w:cs="Segoe UI"/>
        </w:rPr>
        <w:t>následujícím způsobem:</w:t>
      </w:r>
      <w:bookmarkEnd w:id="118"/>
    </w:p>
    <w:p w14:paraId="4F772F10" w14:textId="048ACA38" w:rsidR="00342DDB" w:rsidRDefault="00A32A7E" w:rsidP="00A32A7E">
      <w:pPr>
        <w:spacing w:after="0"/>
        <w:rPr>
          <w:rFonts w:cs="Segoe UI"/>
        </w:rPr>
      </w:pPr>
      <w:r>
        <w:rPr>
          <w:noProof/>
        </w:rPr>
        <w:lastRenderedPageBreak/>
        <mc:AlternateContent>
          <mc:Choice Requires="wps">
            <w:drawing>
              <wp:anchor distT="0" distB="0" distL="114300" distR="114300" simplePos="0" relativeHeight="251662336" behindDoc="0" locked="0" layoutInCell="1" allowOverlap="1" wp14:anchorId="28B6F44F" wp14:editId="0DC73393">
                <wp:simplePos x="0" y="0"/>
                <wp:positionH relativeFrom="column">
                  <wp:posOffset>276225</wp:posOffset>
                </wp:positionH>
                <wp:positionV relativeFrom="paragraph">
                  <wp:posOffset>2519842</wp:posOffset>
                </wp:positionV>
                <wp:extent cx="5267325" cy="333375"/>
                <wp:effectExtent l="0" t="0" r="28575" b="28575"/>
                <wp:wrapNone/>
                <wp:docPr id="1664445653" name="Vývojový diagram: postup 2"/>
                <wp:cNvGraphicFramePr/>
                <a:graphic xmlns:a="http://schemas.openxmlformats.org/drawingml/2006/main">
                  <a:graphicData uri="http://schemas.microsoft.com/office/word/2010/wordprocessingShape">
                    <wps:wsp>
                      <wps:cNvSpPr/>
                      <wps:spPr>
                        <a:xfrm>
                          <a:off x="0" y="0"/>
                          <a:ext cx="5267325" cy="333375"/>
                        </a:xfrm>
                        <a:prstGeom prst="flowChartProcess">
                          <a:avLst/>
                        </a:prstGeom>
                        <a:noFill/>
                        <a:ln w="190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B0197BA" id="_x0000_t109" coordsize="21600,21600" o:spt="109" path="m,l,21600r21600,l21600,xe">
                <v:stroke joinstyle="miter"/>
                <v:path gradientshapeok="t" o:connecttype="rect"/>
              </v:shapetype>
              <v:shape id="Vývojový diagram: postup 2" o:spid="_x0000_s1026" type="#_x0000_t109" style="position:absolute;margin-left:21.75pt;margin-top:198.4pt;width:414.75pt;height:26.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" filled="f" strokecolor="red" strokeweight="1.5pt"/>
            </w:pict>
          </mc:Fallback>
        </mc:AlternateContent>
      </w:r>
      <w:r>
        <w:rPr>
          <w:noProof/>
        </w:rPr>
        <w:drawing>
          <wp:inline distT="0" distB="0" distL="0" distR="0" wp14:anchorId="2E123CB6" wp14:editId="0CAFCF56">
            <wp:extent cx="5760720" cy="5876925"/>
            <wp:effectExtent l="0" t="0" r="0" b="9525"/>
            <wp:docPr id="829799538" name="Obrázek 1" descr="Obsah obrázku text, snímek obrazovky, číslo, Písmo&#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799538" name="Obrázek 1" descr="Obsah obrázku text, snímek obrazovky, číslo, Písmo&#10;&#10;Obsah vygenerovaný umělou inteligencí může být nesprávný."/>
                    <pic:cNvPicPr/>
                  </pic:nvPicPr>
                  <pic:blipFill>
                    <a:blip r:embed="rId96"/>
                    <a:stretch>
                      <a:fillRect/>
                    </a:stretch>
                  </pic:blipFill>
                  <pic:spPr>
                    <a:xfrm>
                      <a:off x="0" y="0"/>
                      <a:ext cx="5760720" cy="5876925"/>
                    </a:xfrm>
                    <a:prstGeom prst="rect">
                      <a:avLst/>
                    </a:prstGeom>
                  </pic:spPr>
                </pic:pic>
              </a:graphicData>
            </a:graphic>
          </wp:inline>
        </w:drawing>
      </w:r>
    </w:p>
    <w:p w14:paraId="1E7FD966" w14:textId="77777777" w:rsidR="002002BE" w:rsidRDefault="002002BE" w:rsidP="002002BE">
      <w:pPr>
        <w:rPr>
          <w:rFonts w:cs="Segoe UI"/>
          <w:b/>
          <w:bCs/>
        </w:rPr>
      </w:pPr>
    </w:p>
    <w:p w14:paraId="520695E2" w14:textId="5EFCACD9" w:rsidR="002002BE" w:rsidRPr="002002BE" w:rsidRDefault="002002BE" w:rsidP="002002BE">
      <w:pPr>
        <w:rPr>
          <w:rFonts w:cs="Segoe UI"/>
          <w:b/>
          <w:bCs/>
        </w:rPr>
      </w:pPr>
      <w:r w:rsidRPr="002002BE">
        <w:rPr>
          <w:rFonts w:cs="Segoe UI"/>
          <w:b/>
          <w:bCs/>
        </w:rPr>
        <w:t>Obecné podmínky</w:t>
      </w:r>
    </w:p>
    <w:p w14:paraId="5F02EF09" w14:textId="77777777" w:rsidR="002002BE" w:rsidRPr="002D74BE" w:rsidRDefault="002002BE" w:rsidP="002002BE">
      <w:pPr>
        <w:pStyle w:val="Odstavecseseznamem"/>
        <w:numPr>
          <w:ilvl w:val="0"/>
          <w:numId w:val="23"/>
        </w:numPr>
        <w:spacing w:line="276" w:lineRule="auto"/>
        <w:contextualSpacing/>
        <w:rPr>
          <w:rFonts w:cs="Segoe UI"/>
        </w:rPr>
      </w:pPr>
      <w:r w:rsidRPr="002D74BE">
        <w:rPr>
          <w:rFonts w:cs="Segoe UI"/>
        </w:rPr>
        <w:t>V případě podpory čistíren odpadních vod se doporučuje zvýhodnit schopnost čistit odpadní vody na úroveň vyšší, než je stávajícím standardem, a dále zamezení vypouštění nečištěných odpadních vod.</w:t>
      </w:r>
    </w:p>
    <w:p w14:paraId="0E99098F" w14:textId="77777777" w:rsidR="002002BE" w:rsidRPr="002D74BE" w:rsidRDefault="002002BE" w:rsidP="002002BE">
      <w:pPr>
        <w:pStyle w:val="Odstavecseseznamem"/>
        <w:numPr>
          <w:ilvl w:val="0"/>
          <w:numId w:val="23"/>
        </w:numPr>
        <w:spacing w:line="276" w:lineRule="auto"/>
        <w:contextualSpacing/>
        <w:rPr>
          <w:rFonts w:cs="Segoe UI"/>
        </w:rPr>
      </w:pPr>
      <w:r w:rsidRPr="002D74BE">
        <w:rPr>
          <w:rFonts w:cs="Segoe UI"/>
        </w:rPr>
        <w:t xml:space="preserve">Měly by být podporovány technologie úpravy vody či čištění odpadních vod nadstandardním způsobem (zejm. zavedení kvartérního čištění odpadních vod, které umožňuje odstraňování </w:t>
      </w:r>
      <w:proofErr w:type="spellStart"/>
      <w:r w:rsidRPr="002D74BE">
        <w:rPr>
          <w:rFonts w:cs="Segoe UI"/>
        </w:rPr>
        <w:t>mikropolutantů</w:t>
      </w:r>
      <w:proofErr w:type="spellEnd"/>
      <w:r w:rsidRPr="002D74BE">
        <w:rPr>
          <w:rFonts w:cs="Segoe UI"/>
        </w:rPr>
        <w:t>).</w:t>
      </w:r>
    </w:p>
    <w:p w14:paraId="20106BE6" w14:textId="77777777" w:rsidR="002002BE" w:rsidRPr="002D74BE" w:rsidRDefault="002002BE" w:rsidP="002002BE">
      <w:pPr>
        <w:pStyle w:val="Odstavecseseznamem"/>
        <w:numPr>
          <w:ilvl w:val="0"/>
          <w:numId w:val="23"/>
        </w:numPr>
        <w:spacing w:line="276" w:lineRule="auto"/>
        <w:contextualSpacing/>
        <w:rPr>
          <w:rFonts w:cs="Segoe UI"/>
        </w:rPr>
      </w:pPr>
      <w:r w:rsidRPr="002D74BE">
        <w:rPr>
          <w:rFonts w:cs="Segoe UI"/>
        </w:rPr>
        <w:t xml:space="preserve">Měla by být zvýhodněna opatření pro šetrnější využívání vodních zdrojů (cirkulace, recyklace). </w:t>
      </w:r>
    </w:p>
    <w:p w14:paraId="31080BD4" w14:textId="77777777" w:rsidR="002002BE" w:rsidRPr="002D74BE" w:rsidRDefault="002002BE" w:rsidP="002002BE">
      <w:pPr>
        <w:pStyle w:val="Odstavecseseznamem"/>
        <w:numPr>
          <w:ilvl w:val="0"/>
          <w:numId w:val="23"/>
        </w:numPr>
        <w:spacing w:line="276" w:lineRule="auto"/>
        <w:contextualSpacing/>
        <w:rPr>
          <w:rFonts w:cs="Segoe UI"/>
        </w:rPr>
      </w:pPr>
      <w:r w:rsidRPr="002D74BE">
        <w:rPr>
          <w:rFonts w:cs="Segoe UI"/>
        </w:rPr>
        <w:t xml:space="preserve">Měla by být zvýhodněna opatření zaměřená na zlepšení stavu dotčeného vodního útvaru a mající minimální dopad na biodiverzitu (technické opatření, </w:t>
      </w:r>
      <w:proofErr w:type="spellStart"/>
      <w:r w:rsidRPr="002D74BE">
        <w:rPr>
          <w:rFonts w:cs="Segoe UI"/>
        </w:rPr>
        <w:t>hydromorfologické</w:t>
      </w:r>
      <w:proofErr w:type="spellEnd"/>
      <w:r w:rsidRPr="002D74BE">
        <w:rPr>
          <w:rFonts w:cs="Segoe UI"/>
        </w:rPr>
        <w:t xml:space="preserve"> opatření apod.).</w:t>
      </w:r>
    </w:p>
    <w:p w14:paraId="1CBAA37A" w14:textId="77777777" w:rsidR="002002BE" w:rsidRDefault="002002BE" w:rsidP="002002BE">
      <w:pPr>
        <w:pStyle w:val="Odstavecseseznamem"/>
        <w:numPr>
          <w:ilvl w:val="0"/>
          <w:numId w:val="23"/>
        </w:numPr>
        <w:spacing w:line="276" w:lineRule="auto"/>
        <w:contextualSpacing/>
        <w:rPr>
          <w:rFonts w:cs="Segoe UI"/>
        </w:rPr>
      </w:pPr>
      <w:r w:rsidRPr="002D74BE">
        <w:rPr>
          <w:rFonts w:cs="Segoe UI"/>
        </w:rPr>
        <w:lastRenderedPageBreak/>
        <w:t>V případě protipovodňového opatření by mělo být preferováno umístění v aktivní zóně, či poskytující vyšší ochranu.</w:t>
      </w:r>
    </w:p>
    <w:p w14:paraId="051DB113" w14:textId="77777777" w:rsidR="002002BE" w:rsidRDefault="002002BE" w:rsidP="00A32A7E">
      <w:pPr>
        <w:spacing w:after="0"/>
        <w:rPr>
          <w:rFonts w:cs="Segoe UI"/>
        </w:rPr>
      </w:pPr>
    </w:p>
    <w:p w14:paraId="6D14E9CA" w14:textId="4EEB7D80" w:rsidR="00602DCA" w:rsidRDefault="00342DDB">
      <w:r>
        <w:rPr>
          <w:rFonts w:cs="Segoe UI"/>
        </w:rPr>
        <w:br w:type="page"/>
      </w:r>
    </w:p>
    <w:p w14:paraId="5659CFD6" w14:textId="77777777" w:rsidR="00602DCA" w:rsidRDefault="00C5530C">
      <w:pPr>
        <w:pStyle w:val="Nadpis2"/>
      </w:pPr>
      <w:bookmarkStart w:id="119" w:name="_Toc210046035"/>
      <w:r>
        <w:lastRenderedPageBreak/>
        <w:t>Přechod na oběhové hospodářství</w:t>
      </w:r>
      <w:bookmarkEnd w:id="119"/>
    </w:p>
    <w:p w14:paraId="418D6BA1" w14:textId="77777777" w:rsidR="00A32A7E" w:rsidRPr="00EB459F" w:rsidRDefault="00A32A7E" w:rsidP="00A32A7E">
      <w:pPr>
        <w:rPr>
          <w:rFonts w:cs="Segoe UI"/>
        </w:rPr>
      </w:pPr>
      <w:r w:rsidRPr="00EB459F">
        <w:rPr>
          <w:rFonts w:cs="Segoe UI"/>
        </w:rPr>
        <w:t>Smyslem DNSH je, aby činnost významně nepoškodila oběhové hospodářství, včetně předcházení vzniku odpadů a recyklace, tzn. nevedla k významné nehospodárnosti v používání materiálů nebo v přímém nebo nepřímém využívání přírodních zdrojů nebo by významně přispívala ke vzniku, spalování bez energetického využití nebo odstraňování (skládkování) odpadu nebo pokud by mohlo dlouhodobé odstraňování odpadu způsobit významné a dlouhodobé škody na životním prostředí.</w:t>
      </w:r>
    </w:p>
    <w:p w14:paraId="76555E6F" w14:textId="77777777" w:rsidR="00054338" w:rsidRDefault="00054338" w:rsidP="006A4206">
      <w:pPr>
        <w:pStyle w:val="Nadpis3"/>
        <w:sectPr w:rsidR="00054338">
          <w:pgSz w:w="11906" w:h="16838"/>
          <w:pgMar w:top="1417" w:right="1417" w:bottom="709" w:left="1417" w:header="708" w:footer="708" w:gutter="0"/>
          <w:cols w:space="708"/>
        </w:sectPr>
      </w:pPr>
    </w:p>
    <w:p w14:paraId="6966D0C9" w14:textId="112E7AA3" w:rsidR="00A32A7E" w:rsidRPr="00EB459F" w:rsidRDefault="00A32A7E" w:rsidP="006A4206">
      <w:pPr>
        <w:pStyle w:val="Nadpis3"/>
      </w:pPr>
      <w:r w:rsidRPr="00EB459F">
        <w:lastRenderedPageBreak/>
        <w:t>Posouzení souladu podpory se zásadou DNSH</w:t>
      </w:r>
      <w:r w:rsidR="003732CC">
        <w:rPr>
          <w:rStyle w:val="Znakapoznpodarou"/>
        </w:rPr>
        <w:footnoteReference w:id="61"/>
      </w:r>
    </w:p>
    <w:p w14:paraId="28648BEF" w14:textId="3AC33934" w:rsidR="00A32A7E" w:rsidRDefault="00E066A8" w:rsidP="00A32A7E">
      <w:pPr>
        <w:rPr>
          <w:rFonts w:cs="Segoe UI"/>
          <w:b/>
          <w:bCs/>
        </w:rPr>
      </w:pPr>
      <w:r>
        <w:rPr>
          <w:noProof/>
        </w:rPr>
        <w:lastRenderedPageBreak/>
        <w:drawing>
          <wp:inline distT="0" distB="0" distL="0" distR="0" wp14:anchorId="218CB7AF" wp14:editId="319FDA20">
            <wp:extent cx="7515225" cy="5759450"/>
            <wp:effectExtent l="0" t="0" r="9525" b="0"/>
            <wp:docPr id="624011413" name="Obrázek 1" descr="Obsah obrázku text, diagram, Písmo, snímek obrazovky&#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011413" name="Obrázek 1" descr="Obsah obrázku text, diagram, Písmo, snímek obrazovky&#10;&#10;Obsah vygenerovaný umělou inteligencí může být nesprávný."/>
                    <pic:cNvPicPr/>
                  </pic:nvPicPr>
                  <pic:blipFill>
                    <a:blip r:embed="rId97"/>
                    <a:stretch>
                      <a:fillRect/>
                    </a:stretch>
                  </pic:blipFill>
                  <pic:spPr>
                    <a:xfrm>
                      <a:off x="0" y="0"/>
                      <a:ext cx="7515225" cy="5759450"/>
                    </a:xfrm>
                    <a:prstGeom prst="rect">
                      <a:avLst/>
                    </a:prstGeom>
                  </pic:spPr>
                </pic:pic>
              </a:graphicData>
            </a:graphic>
          </wp:inline>
        </w:drawing>
      </w:r>
    </w:p>
    <w:p w14:paraId="738B3A94" w14:textId="77777777" w:rsidR="00E066A8" w:rsidRPr="00EB459F" w:rsidRDefault="00E066A8" w:rsidP="00A32A7E">
      <w:pPr>
        <w:rPr>
          <w:rFonts w:cs="Segoe UI"/>
          <w:b/>
          <w:bCs/>
        </w:rPr>
      </w:pPr>
    </w:p>
    <w:p w14:paraId="4414CBD3" w14:textId="77777777" w:rsidR="00054338" w:rsidRDefault="00054338" w:rsidP="00D77C59">
      <w:pPr>
        <w:pStyle w:val="Nadpis3"/>
        <w:numPr>
          <w:ilvl w:val="0"/>
          <w:numId w:val="0"/>
        </w:numPr>
        <w:sectPr w:rsidR="00054338" w:rsidSect="006A45B6">
          <w:pgSz w:w="16838" w:h="11906" w:orient="landscape"/>
          <w:pgMar w:top="1418" w:right="1418" w:bottom="1418" w:left="709" w:header="709" w:footer="709" w:gutter="0"/>
          <w:cols w:space="708"/>
        </w:sectPr>
      </w:pPr>
      <w:bookmarkStart w:id="120" w:name="_Hlk193887881"/>
    </w:p>
    <w:p w14:paraId="34590C4B" w14:textId="77777777" w:rsidR="00A32A7E" w:rsidRPr="006A4206" w:rsidRDefault="00A32A7E" w:rsidP="006A4206">
      <w:pPr>
        <w:pStyle w:val="Nadpis3"/>
      </w:pPr>
      <w:r w:rsidRPr="006A4206">
        <w:lastRenderedPageBreak/>
        <w:t>Vyloučené podpory</w:t>
      </w:r>
    </w:p>
    <w:p w14:paraId="57396320" w14:textId="4F022DBE" w:rsidR="00A32A7E" w:rsidRPr="00EB459F" w:rsidRDefault="00A32A7E" w:rsidP="00A32A7E">
      <w:pPr>
        <w:rPr>
          <w:rFonts w:cs="Segoe UI"/>
        </w:rPr>
      </w:pPr>
      <w:r w:rsidRPr="00EB459F">
        <w:rPr>
          <w:rFonts w:cs="Segoe UI"/>
        </w:rPr>
        <w:t xml:space="preserve">V první řadě je při přípravě a schvalování OP / NPO / dotačních schémat </w:t>
      </w:r>
      <w:proofErr w:type="spellStart"/>
      <w:r w:rsidRPr="00EB459F">
        <w:rPr>
          <w:rFonts w:cs="Segoe UI"/>
        </w:rPr>
        <w:t>ModF</w:t>
      </w:r>
      <w:proofErr w:type="spellEnd"/>
      <w:r w:rsidRPr="00EB459F">
        <w:rPr>
          <w:rFonts w:cs="Segoe UI"/>
        </w:rPr>
        <w:t xml:space="preserve">/SKP nutné posoudit, zda zamýšlená podpora není vyloučena, ať již na základě oblasti působnosti nástroje nebo v souvislosti s DNSH. V některých případech je potřeba zásadu DNSH implementovat prostřednictvím věcného zaměření podpory a omezení určitých opatření. Vyloučené podpory jsou blíže popsány v části </w:t>
      </w:r>
      <w:hyperlink w:anchor="_Podmínky_DNSH_založené" w:history="1">
        <w:r w:rsidR="00356447" w:rsidRPr="00356447">
          <w:rPr>
            <w:rStyle w:val="Hypertextovodkaz"/>
            <w:rFonts w:cs="Segoe UI"/>
          </w:rPr>
          <w:t>3.5 tohoto materiálu</w:t>
        </w:r>
      </w:hyperlink>
      <w:r w:rsidRPr="00EB459F">
        <w:rPr>
          <w:rFonts w:cs="Segoe UI"/>
        </w:rPr>
        <w:t>.</w:t>
      </w:r>
    </w:p>
    <w:bookmarkEnd w:id="120"/>
    <w:p w14:paraId="4F9CA036" w14:textId="037EA4E4" w:rsidR="00A32A7E" w:rsidRPr="00EB459F" w:rsidRDefault="00A32A7E" w:rsidP="00A32A7E">
      <w:pPr>
        <w:rPr>
          <w:rFonts w:cs="Segoe UI"/>
        </w:rPr>
      </w:pPr>
      <w:r w:rsidRPr="00EB459F">
        <w:rPr>
          <w:rFonts w:cs="Segoe UI"/>
        </w:rPr>
        <w:t>Skládkování včetně technického zajištění skládky je vyloučeno a nelze jej považovat za využití</w:t>
      </w:r>
      <w:r w:rsidR="00295BC9">
        <w:rPr>
          <w:rFonts w:cs="Segoe UI"/>
        </w:rPr>
        <w:t xml:space="preserve"> odpadu</w:t>
      </w:r>
      <w:r w:rsidRPr="00EB459F">
        <w:rPr>
          <w:rFonts w:cs="Segoe UI"/>
        </w:rPr>
        <w:t>, jedná se vždy o odstranění odpadu. Přímá podpora skládkování je explicitně vyloučena dle čl. 17 nařízení 852/2020, na který se legislativa EU fondů z pohledu zásady DNSH odkazuje.</w:t>
      </w:r>
    </w:p>
    <w:p w14:paraId="46BB0C70" w14:textId="77777777" w:rsidR="00A32A7E" w:rsidRPr="006A4206" w:rsidRDefault="00A32A7E" w:rsidP="006A4206">
      <w:pPr>
        <w:pStyle w:val="Nadpis3"/>
      </w:pPr>
      <w:bookmarkStart w:id="121" w:name="_Hlk193888285"/>
      <w:r w:rsidRPr="006A4206">
        <w:t>Sledování příspěvku opatření k ochraně klimatu a k environmentálním cílům</w:t>
      </w:r>
    </w:p>
    <w:p w14:paraId="10D8EFD8" w14:textId="0D0617E2" w:rsidR="00A32A7E" w:rsidRPr="00EB459F" w:rsidRDefault="00A32A7E" w:rsidP="00A32A7E">
      <w:pPr>
        <w:rPr>
          <w:rFonts w:cs="Segoe UI"/>
        </w:rPr>
      </w:pPr>
      <w:r w:rsidRPr="00EB459F">
        <w:rPr>
          <w:rFonts w:cs="Segoe UI"/>
        </w:rPr>
        <w:t xml:space="preserve">Po ověření souladu s právními předpisy jednotlivých fondů a vyloučenými aktivity v souvislosti s DNSH nebo ad-hoc podmínkami (výjimkami) je možné postoupit k ověření enviromentálního tagu v oblasti oběhového hospodářství. Klimatické a environmentální tagy a obecně sledování příspěvku fondů k ochraně klimatu a k environmentálním cílům, stejně jako zdroje koeficientů pro jednotlivé fondy, jsou blíže popsány v části </w:t>
      </w:r>
      <w:hyperlink w:anchor="_Sledování_příspěvku_fondů" w:history="1">
        <w:r w:rsidR="00356447" w:rsidRPr="0077290F">
          <w:rPr>
            <w:rStyle w:val="Hypertextovodkaz"/>
            <w:rFonts w:cs="Segoe UI"/>
          </w:rPr>
          <w:t>2.4 tohoto materiálu</w:t>
        </w:r>
      </w:hyperlink>
      <w:r w:rsidRPr="00EB459F">
        <w:rPr>
          <w:rFonts w:cs="Segoe UI"/>
        </w:rPr>
        <w:t>. V případě, že je k činnosti zamýšlené podpory přiřazen koeficient 100 % v oblasti oběhového hospodářství, očekává se, že činnost významně přispěje k plnění tohoto environmentálního cíle a není nutné stanovovat dodatečné podmínky kromě těch, které jsou nutné pro plnění 100 % klimatického tagu, (které je nutné přesně stanovit do úrovně projektu). V případě, že je při</w:t>
      </w:r>
      <w:r w:rsidR="00641F53">
        <w:rPr>
          <w:rFonts w:cs="Segoe UI"/>
        </w:rPr>
        <w:t>ř</w:t>
      </w:r>
      <w:r w:rsidRPr="00EB459F">
        <w:rPr>
          <w:rFonts w:cs="Segoe UI"/>
        </w:rPr>
        <w:t>a</w:t>
      </w:r>
      <w:r w:rsidR="00400566">
        <w:rPr>
          <w:rFonts w:cs="Segoe UI"/>
        </w:rPr>
        <w:t>z</w:t>
      </w:r>
      <w:r w:rsidRPr="00EB459F">
        <w:rPr>
          <w:rFonts w:cs="Segoe UI"/>
        </w:rPr>
        <w:t>ený koeficient 40 % nebo 0 % je nutné postoupit s detailním posouzením DNSH a případně nastavit doplňující podmínky nebo systém hodnocení projektů / míry podpory. Toto posouzení DNSH a nastavení podmínek by mělo být prioritně provedeno již na úrovni přípravy výzvy a pravidel pro žadatele / přípravy komponenty.</w:t>
      </w:r>
    </w:p>
    <w:bookmarkEnd w:id="121"/>
    <w:p w14:paraId="6D75EC0F" w14:textId="77777777" w:rsidR="00A32A7E" w:rsidRPr="006A4206" w:rsidRDefault="00A32A7E" w:rsidP="006A4206">
      <w:pPr>
        <w:pStyle w:val="Nadpis3"/>
      </w:pPr>
      <w:r w:rsidRPr="006A4206">
        <w:t>Stanovení podmínek DNSH</w:t>
      </w:r>
    </w:p>
    <w:p w14:paraId="5FEDFD4C" w14:textId="04F58A71" w:rsidR="00A32A7E" w:rsidRPr="00EB459F" w:rsidRDefault="00A32A7E" w:rsidP="00A32A7E">
      <w:pPr>
        <w:rPr>
          <w:rFonts w:cs="Segoe UI"/>
        </w:rPr>
      </w:pPr>
      <w:r w:rsidRPr="00EB459F">
        <w:rPr>
          <w:rFonts w:cs="Segoe UI"/>
        </w:rPr>
        <w:t xml:space="preserve">V případě, že na základě posouzení příspěvku opatření k oběhovému hospodářství bylo vyhodnoceno, že dané opatření nepředstavuje významný přínos k tomuto cíli, </w:t>
      </w:r>
      <w:r w:rsidR="009811C3">
        <w:rPr>
          <w:rFonts w:cs="Segoe UI"/>
        </w:rPr>
        <w:t>j</w:t>
      </w:r>
      <w:r w:rsidRPr="00EB459F">
        <w:rPr>
          <w:rFonts w:cs="Segoe UI"/>
        </w:rPr>
        <w:t xml:space="preserve">e nutné přistoupit k detailnímu posouzení DNSH. </w:t>
      </w:r>
    </w:p>
    <w:p w14:paraId="481B4492" w14:textId="77777777" w:rsidR="00A32A7E" w:rsidRPr="00EB459F" w:rsidRDefault="00A32A7E" w:rsidP="00A32A7E">
      <w:pPr>
        <w:rPr>
          <w:rFonts w:cs="Segoe UI"/>
        </w:rPr>
      </w:pPr>
      <w:r w:rsidRPr="00EB459F">
        <w:rPr>
          <w:rFonts w:cs="Segoe UI"/>
        </w:rPr>
        <w:t>Detailní posouzení je možné uchopit následujícími způsoby:</w:t>
      </w:r>
    </w:p>
    <w:p w14:paraId="28255CEE" w14:textId="7BF3AFA2" w:rsidR="00A32A7E" w:rsidRPr="006A45B6" w:rsidRDefault="00263794" w:rsidP="00141780">
      <w:pPr>
        <w:pStyle w:val="Nadpis4"/>
      </w:pPr>
      <w:r>
        <w:t>Plnění zásady DNSH na základě individuálního posouzení</w:t>
      </w:r>
    </w:p>
    <w:p w14:paraId="3C6AD57A" w14:textId="77777777" w:rsidR="00A32A7E" w:rsidRPr="00EB459F" w:rsidRDefault="00A32A7E" w:rsidP="00A32A7E">
      <w:pPr>
        <w:rPr>
          <w:rFonts w:cs="Segoe UI"/>
        </w:rPr>
      </w:pPr>
      <w:r w:rsidRPr="00EB459F">
        <w:rPr>
          <w:rFonts w:cs="Segoe UI"/>
        </w:rPr>
        <w:t>V případě vlastního vyhodnocení rizik a posouzení souladu se zásadou DNSH, je nutné dodržet následující podmínky:</w:t>
      </w:r>
    </w:p>
    <w:p w14:paraId="698C79F1" w14:textId="49CDF24D" w:rsidR="00A32A7E" w:rsidRPr="006A4206" w:rsidRDefault="00A32A7E" w:rsidP="00141780">
      <w:pPr>
        <w:pStyle w:val="Nadpis5"/>
      </w:pPr>
      <w:r w:rsidRPr="006A4206">
        <w:t>Připravenost k</w:t>
      </w:r>
      <w:r w:rsidR="00FC35D2">
        <w:t xml:space="preserve"> opětovnému </w:t>
      </w:r>
      <w:r w:rsidR="003169B0">
        <w:t xml:space="preserve">použití </w:t>
      </w:r>
      <w:r w:rsidR="003169B0" w:rsidRPr="006A4206">
        <w:t>nebo</w:t>
      </w:r>
      <w:r w:rsidRPr="006A4206">
        <w:t xml:space="preserve"> recyklaci 70 % stavebních odpadů a stavebního materiálu</w:t>
      </w:r>
    </w:p>
    <w:p w14:paraId="4D2EFD79" w14:textId="32D8B0EB" w:rsidR="00A32A7E" w:rsidRPr="00EB459F" w:rsidRDefault="00A32A7E" w:rsidP="00A32A7E">
      <w:pPr>
        <w:rPr>
          <w:rFonts w:cs="Segoe UI"/>
        </w:rPr>
      </w:pPr>
      <w:r w:rsidRPr="00EB459F">
        <w:rPr>
          <w:rFonts w:cs="Segoe UI"/>
        </w:rPr>
        <w:t xml:space="preserve">Stěžejní podmínkou DNSH, která je nad rámec legislativy a týká se všech stavebních prací na úrovni projektu, je připravenost ke znovuvyužití nebo recyklaci 70 % stavebních odpadů a stavebního materiálu, která je podrobně rozvedena v </w:t>
      </w:r>
      <w:hyperlink w:anchor="_Připravenost_ke_znovuvyužití" w:history="1">
        <w:r w:rsidR="009830DC" w:rsidRPr="006A02C3">
          <w:rPr>
            <w:rStyle w:val="Hypertextovodkaz"/>
            <w:rFonts w:cs="Segoe UI"/>
          </w:rPr>
          <w:t>kapitole 5.</w:t>
        </w:r>
        <w:r w:rsidR="009830DC">
          <w:rPr>
            <w:rStyle w:val="Hypertextovodkaz"/>
            <w:rFonts w:cs="Segoe UI"/>
          </w:rPr>
          <w:t>3</w:t>
        </w:r>
      </w:hyperlink>
      <w:r w:rsidRPr="00EB459F">
        <w:rPr>
          <w:rFonts w:cs="Segoe UI"/>
        </w:rPr>
        <w:t xml:space="preserve">. </w:t>
      </w:r>
    </w:p>
    <w:p w14:paraId="1EBEEC84" w14:textId="4ACC1875" w:rsidR="00A32A7E" w:rsidRPr="00EB459F" w:rsidRDefault="00A32A7E" w:rsidP="00A32A7E">
      <w:pPr>
        <w:rPr>
          <w:rFonts w:cs="Segoe UI"/>
        </w:rPr>
      </w:pPr>
      <w:r w:rsidRPr="00EB459F">
        <w:rPr>
          <w:rFonts w:cs="Segoe UI"/>
        </w:rPr>
        <w:t xml:space="preserve">Se stavebním odpadem včetně použitých obalů je nutné nakládat dle hierarchie odpadového hospodářství zejména ve smyslu zákona č. 541/2020 Sb., o odpadech, v platném znění a přílohy </w:t>
      </w:r>
      <w:r w:rsidRPr="00EB459F">
        <w:rPr>
          <w:rFonts w:cs="Segoe UI"/>
        </w:rPr>
        <w:lastRenderedPageBreak/>
        <w:t>č. 24 k vyhlášce č. 273/2021 Sb., o podrobnostech nakládání s odpady, v platném znění. Prioritou je předcházení vzniku odpadu. Jestliže nelze vzniku odpadu předejít, pak musí do</w:t>
      </w:r>
      <w:r w:rsidR="00FC35D2">
        <w:rPr>
          <w:rFonts w:cs="Segoe UI"/>
        </w:rPr>
        <w:t xml:space="preserve">cházet k </w:t>
      </w:r>
      <w:r w:rsidRPr="00EB459F">
        <w:rPr>
          <w:rFonts w:cs="Segoe UI"/>
        </w:rPr>
        <w:t xml:space="preserve">přípravě k opětovnému použití </w:t>
      </w:r>
      <w:r w:rsidR="00FC35D2">
        <w:rPr>
          <w:rFonts w:cs="Segoe UI"/>
        </w:rPr>
        <w:t>nebo</w:t>
      </w:r>
      <w:r w:rsidRPr="00EB459F">
        <w:rPr>
          <w:rFonts w:cs="Segoe UI"/>
        </w:rPr>
        <w:t xml:space="preserve"> recyklaci, a to v úrovni nejméně 70 % (hmotnostních) stavebního a demoličního odpadu neklasifikovaného jako nebezpečný.</w:t>
      </w:r>
    </w:p>
    <w:p w14:paraId="1D844A77" w14:textId="6DC448CA" w:rsidR="00A32A7E" w:rsidRPr="00EB459F" w:rsidRDefault="00A32A7E" w:rsidP="00A32A7E">
      <w:pPr>
        <w:rPr>
          <w:rFonts w:cs="Segoe UI"/>
        </w:rPr>
      </w:pPr>
      <w:r w:rsidRPr="00EB459F">
        <w:rPr>
          <w:rFonts w:cs="Segoe UI"/>
        </w:rPr>
        <w:t>Opatření zejména vyžaduje, aby hospodářské subjekty provádějící stavební práce zajistily, aby nejméně 70 % (hmotnostních) stavebních a demoličních materiálů či odpadů neklasifikovaných jako nebezpečné (s výjimkou přirozeně se vyskytujících materiálů uvedených v kategorii 17 05 04 na Evropském seznamu odpadů vytvořeném rozhodnutím 2000/532/ES ze dne 3. května 2000, kterým se nahrazuje rozhodnutí 94/3/ES, kterým se stanoví seznam odpadů podle čl. 1 písm. a) směrnice Rady 75/442/EHS o odpadech a rozhodnutí Rady 94/904/ES, kterým se stanoví seznam nebezpečných odpadů ve smyslu čl. 1 odst. 4 směrnice Rady 91/689/EHS o nebezpečných odpadech (oznámeno pod číslem dokumentu K(2000) 1147)) vzniklého na staveništi bylo připraveno k opětovnému použití</w:t>
      </w:r>
      <w:r w:rsidR="00FC35D2">
        <w:rPr>
          <w:rFonts w:cs="Segoe UI"/>
        </w:rPr>
        <w:t xml:space="preserve"> nebo</w:t>
      </w:r>
      <w:r w:rsidRPr="00EB459F">
        <w:rPr>
          <w:rFonts w:cs="Segoe UI"/>
        </w:rPr>
        <w:t xml:space="preserve"> recyklaci, v souladu s hierarchií způsobů nakládání s</w:t>
      </w:r>
      <w:r w:rsidR="00FC35D2">
        <w:rPr>
          <w:rFonts w:cs="Segoe UI"/>
        </w:rPr>
        <w:t> </w:t>
      </w:r>
      <w:r w:rsidRPr="00EB459F">
        <w:rPr>
          <w:rFonts w:cs="Segoe UI"/>
        </w:rPr>
        <w:t>odpady</w:t>
      </w:r>
      <w:r w:rsidR="00FC35D2">
        <w:rPr>
          <w:rFonts w:cs="Segoe UI"/>
        </w:rPr>
        <w:t>, Metodickým návodem MŽP pro řízení vzniku sta</w:t>
      </w:r>
      <w:r w:rsidR="00BA4D71">
        <w:rPr>
          <w:rFonts w:cs="Segoe UI"/>
        </w:rPr>
        <w:t>ve</w:t>
      </w:r>
      <w:r w:rsidR="00FC35D2">
        <w:rPr>
          <w:rFonts w:cs="Segoe UI"/>
        </w:rPr>
        <w:t>bních a demoličních o</w:t>
      </w:r>
      <w:r w:rsidR="00BA4D71">
        <w:rPr>
          <w:rFonts w:cs="Segoe UI"/>
        </w:rPr>
        <w:t>d</w:t>
      </w:r>
      <w:r w:rsidR="00FC35D2">
        <w:rPr>
          <w:rFonts w:cs="Segoe UI"/>
        </w:rPr>
        <w:t>padů a pro nakládání s nimi</w:t>
      </w:r>
      <w:r w:rsidRPr="00EB459F">
        <w:rPr>
          <w:rFonts w:cs="Segoe UI"/>
        </w:rPr>
        <w:t xml:space="preserve"> a protokolem EU pro nakládání se stavebním a demoličním odpadem</w:t>
      </w:r>
      <w:r w:rsidRPr="00EB459F">
        <w:rPr>
          <w:rStyle w:val="Znakapoznpodarou"/>
          <w:rFonts w:cs="Segoe UI"/>
        </w:rPr>
        <w:footnoteReference w:id="62"/>
      </w:r>
      <w:r w:rsidRPr="00EB459F">
        <w:rPr>
          <w:rFonts w:cs="Segoe UI"/>
        </w:rPr>
        <w:t>.</w:t>
      </w:r>
      <w:r w:rsidR="00C85D77">
        <w:rPr>
          <w:rFonts w:cs="Segoe UI"/>
        </w:rPr>
        <w:t xml:space="preserve"> </w:t>
      </w:r>
      <w:r w:rsidR="00C85D77" w:rsidRPr="00C85D77">
        <w:rPr>
          <w:rFonts w:cs="Segoe UI"/>
        </w:rPr>
        <w:t xml:space="preserve">Zasypávání </w:t>
      </w:r>
      <w:r w:rsidR="00FC35D2">
        <w:rPr>
          <w:rFonts w:cs="Segoe UI"/>
        </w:rPr>
        <w:t xml:space="preserve">nelze považovat za způsob využití odpadu ve smyslu: </w:t>
      </w:r>
      <w:r w:rsidR="00FC35D2" w:rsidRPr="00DB1A0B">
        <w:rPr>
          <w:rFonts w:cs="Segoe UI"/>
          <w:b/>
          <w:bCs/>
        </w:rPr>
        <w:t>přípravy k opětovnému použití nebo recyklaci</w:t>
      </w:r>
      <w:r w:rsidR="00FC35D2">
        <w:rPr>
          <w:rFonts w:cs="Segoe UI"/>
        </w:rPr>
        <w:t>.</w:t>
      </w:r>
      <w:r w:rsidR="00FB2A0F">
        <w:rPr>
          <w:rFonts w:cs="Segoe UI"/>
        </w:rPr>
        <w:t xml:space="preserve"> </w:t>
      </w:r>
    </w:p>
    <w:p w14:paraId="772967C8" w14:textId="77777777" w:rsidR="00A32A7E" w:rsidRPr="006A4206" w:rsidRDefault="00A32A7E" w:rsidP="00141780">
      <w:pPr>
        <w:pStyle w:val="Nadpis5"/>
      </w:pPr>
      <w:r w:rsidRPr="006A4206">
        <w:t>Infrastruktura pro oběhové hospodářství</w:t>
      </w:r>
    </w:p>
    <w:p w14:paraId="0A7F5879" w14:textId="77777777" w:rsidR="00A32A7E" w:rsidRPr="00EB459F" w:rsidRDefault="00A32A7E" w:rsidP="00A32A7E">
      <w:pPr>
        <w:rPr>
          <w:rFonts w:cs="Segoe UI"/>
        </w:rPr>
      </w:pPr>
      <w:r w:rsidRPr="00EB459F">
        <w:rPr>
          <w:rFonts w:cs="Segoe UI"/>
        </w:rPr>
        <w:t xml:space="preserve">V případě podpory zařízení na třídění, dotřiďování a recyklaci již </w:t>
      </w:r>
      <w:proofErr w:type="spellStart"/>
      <w:r w:rsidRPr="00EB459F">
        <w:rPr>
          <w:rFonts w:cs="Segoe UI"/>
        </w:rPr>
        <w:t>předtříděných</w:t>
      </w:r>
      <w:proofErr w:type="spellEnd"/>
      <w:r w:rsidRPr="00EB459F">
        <w:rPr>
          <w:rFonts w:cs="Segoe UI"/>
        </w:rPr>
        <w:t xml:space="preserve"> složek odpadu bude zajištěno, že min. 30 % vytříděných odpadů povede k následnému materiálovému využití, (vyjma bioplynových stanic a nakládání s nerecyklovatelnými nebezpečnými odpady). Zároveň je nutné zajistit, že opatření je v souladu s příslušným vnitrostátním nebo regionálním plánem pro nakládání s odpady a programem předcházení vzniku odpadů v souladu s článkem 28 směrnice 2008/98/ES ve znění směrnice (EU) 2018/851, a je-li k dispozici, s příslušnou vnitrostátní, regionální nebo místní strategií pro oběhové hospodářství.</w:t>
      </w:r>
    </w:p>
    <w:p w14:paraId="5271D453" w14:textId="707E515E" w:rsidR="00A32A7E" w:rsidRPr="006A4206" w:rsidRDefault="00A32A7E" w:rsidP="00141780">
      <w:pPr>
        <w:pStyle w:val="Nadpis5"/>
      </w:pPr>
      <w:r w:rsidRPr="006A4206">
        <w:t>Postupy typizovaných projektů</w:t>
      </w:r>
      <w:r w:rsidR="00127B96">
        <w:t xml:space="preserve"> (dle příloh)</w:t>
      </w:r>
    </w:p>
    <w:p w14:paraId="73EB6118" w14:textId="77777777" w:rsidR="00A32A7E" w:rsidRPr="00EB459F" w:rsidRDefault="00A32A7E" w:rsidP="00A32A7E">
      <w:pPr>
        <w:spacing w:after="0"/>
        <w:rPr>
          <w:rFonts w:cs="Segoe UI"/>
        </w:rPr>
      </w:pPr>
      <w:r w:rsidRPr="00EB459F">
        <w:rPr>
          <w:rFonts w:cs="Segoe UI"/>
        </w:rPr>
        <w:t>Dále je nutné dodržovat konkrétní postupy pro určité druhy tzv. typizovaných projektů:</w:t>
      </w:r>
    </w:p>
    <w:p w14:paraId="27F8D9F8" w14:textId="71EEC09F" w:rsidR="00A32A7E" w:rsidRPr="00EB459F" w:rsidRDefault="00A32A7E" w:rsidP="00A32A7E">
      <w:pPr>
        <w:pStyle w:val="Odstavecseseznamem"/>
        <w:numPr>
          <w:ilvl w:val="0"/>
          <w:numId w:val="71"/>
        </w:numPr>
        <w:spacing w:after="0" w:line="276" w:lineRule="auto"/>
        <w:contextualSpacing/>
        <w:rPr>
          <w:rFonts w:cs="Segoe UI"/>
        </w:rPr>
      </w:pPr>
      <w:r w:rsidRPr="00EB459F">
        <w:rPr>
          <w:rFonts w:cs="Segoe UI"/>
        </w:rPr>
        <w:t>V případě, že je součástí předmětu podpory výstavba nových budov, či renovace budov, je nutné zajistit promítnutí podmínek oběhového hospodářství obsažen</w:t>
      </w:r>
      <w:r w:rsidR="006E2AD0">
        <w:rPr>
          <w:rFonts w:cs="Segoe UI"/>
        </w:rPr>
        <w:t>ých</w:t>
      </w:r>
      <w:r w:rsidRPr="00EB459F">
        <w:rPr>
          <w:rFonts w:cs="Segoe UI"/>
        </w:rPr>
        <w:t xml:space="preserve"> v kapitol</w:t>
      </w:r>
      <w:r w:rsidR="005A17DF">
        <w:rPr>
          <w:rFonts w:cs="Segoe UI"/>
        </w:rPr>
        <w:t>e</w:t>
      </w:r>
      <w:r w:rsidRPr="00EB459F">
        <w:rPr>
          <w:rFonts w:cs="Segoe UI"/>
        </w:rPr>
        <w:t xml:space="preserve"> </w:t>
      </w:r>
      <w:hyperlink w:anchor="_Definice_infrastruktury_pro" w:history="1">
        <w:r w:rsidR="00AC5BCF" w:rsidRPr="00AC5BCF">
          <w:rPr>
            <w:rStyle w:val="Hypertextovodkaz"/>
            <w:rFonts w:cs="Segoe UI"/>
          </w:rPr>
          <w:t>5.</w:t>
        </w:r>
        <w:r w:rsidR="009830DC" w:rsidRPr="00AC5BCF">
          <w:rPr>
            <w:rStyle w:val="Hypertextovodkaz"/>
            <w:rFonts w:cs="Segoe UI"/>
          </w:rPr>
          <w:t>2</w:t>
        </w:r>
      </w:hyperlink>
      <w:r w:rsidRPr="00EB459F">
        <w:rPr>
          <w:rFonts w:cs="Segoe UI"/>
        </w:rPr>
        <w:t xml:space="preserve"> tohoto materiálu.</w:t>
      </w:r>
    </w:p>
    <w:p w14:paraId="10CEC980" w14:textId="77777777" w:rsidR="00A32A7E" w:rsidRPr="00EB459F" w:rsidRDefault="00A32A7E" w:rsidP="00A32A7E">
      <w:pPr>
        <w:spacing w:after="0"/>
        <w:rPr>
          <w:rFonts w:cs="Segoe UI"/>
        </w:rPr>
      </w:pPr>
    </w:p>
    <w:p w14:paraId="6814F523" w14:textId="77777777" w:rsidR="00A32A7E" w:rsidRPr="00EB459F" w:rsidRDefault="00A32A7E" w:rsidP="00A32A7E">
      <w:pPr>
        <w:rPr>
          <w:rFonts w:cs="Segoe UI"/>
        </w:rPr>
      </w:pPr>
      <w:r w:rsidRPr="00EB459F">
        <w:rPr>
          <w:rFonts w:cs="Segoe UI"/>
        </w:rPr>
        <w:t>Od výše uvedených opatření pro zajištění souladu se zásadou DNSH se však lze odchýlit, pokud:</w:t>
      </w:r>
    </w:p>
    <w:p w14:paraId="070D1E0E" w14:textId="77777777" w:rsidR="00A32A7E" w:rsidRPr="00EB459F" w:rsidRDefault="00A32A7E" w:rsidP="00A32A7E">
      <w:pPr>
        <w:pStyle w:val="Odstavecseseznamem"/>
        <w:numPr>
          <w:ilvl w:val="0"/>
          <w:numId w:val="20"/>
        </w:numPr>
        <w:spacing w:line="276" w:lineRule="auto"/>
        <w:rPr>
          <w:rFonts w:cs="Segoe UI"/>
        </w:rPr>
      </w:pPr>
      <w:r w:rsidRPr="00EB459F">
        <w:rPr>
          <w:rFonts w:cs="Segoe UI"/>
        </w:rPr>
        <w:t xml:space="preserve">Se jedná o nerecyklovatelné, resp. nebezpečné odpady a odpady jejichž dlouhodobá </w:t>
      </w:r>
      <w:proofErr w:type="spellStart"/>
      <w:r w:rsidRPr="00EB459F">
        <w:rPr>
          <w:rFonts w:cs="Segoe UI"/>
        </w:rPr>
        <w:t>nelikvidace</w:t>
      </w:r>
      <w:proofErr w:type="spellEnd"/>
      <w:r w:rsidRPr="00EB459F">
        <w:rPr>
          <w:rFonts w:cs="Segoe UI"/>
        </w:rPr>
        <w:t xml:space="preserve"> může způsobit značné škodlivé dopady na životní prostředí. Tyto odpady mohou být spalovány v zařízení s energetickým využitím.</w:t>
      </w:r>
    </w:p>
    <w:p w14:paraId="1D46A680" w14:textId="77777777" w:rsidR="00A32A7E" w:rsidRPr="00EB459F" w:rsidRDefault="00A32A7E" w:rsidP="00A32A7E">
      <w:pPr>
        <w:pStyle w:val="Odstavecseseznamem"/>
        <w:numPr>
          <w:ilvl w:val="0"/>
          <w:numId w:val="20"/>
        </w:numPr>
        <w:spacing w:line="276" w:lineRule="auto"/>
        <w:rPr>
          <w:rFonts w:cs="Segoe UI"/>
        </w:rPr>
      </w:pPr>
      <w:r w:rsidRPr="00EB459F">
        <w:rPr>
          <w:rFonts w:cs="Segoe UI"/>
        </w:rPr>
        <w:t>Recyklovatelnost a opětovnou použitelnost je nutné posuzovat v kontextu ostatních dopadů, např. pokud to není vhodné z důvodu ochrany zdraví.</w:t>
      </w:r>
    </w:p>
    <w:p w14:paraId="3A6E44CE" w14:textId="77777777" w:rsidR="00A32A7E" w:rsidRPr="00EB459F" w:rsidRDefault="00A32A7E" w:rsidP="00A32A7E">
      <w:pPr>
        <w:spacing w:after="0"/>
        <w:rPr>
          <w:rFonts w:cs="Segoe UI"/>
        </w:rPr>
      </w:pPr>
    </w:p>
    <w:p w14:paraId="31A0C28A" w14:textId="77777777" w:rsidR="00D27E31" w:rsidRPr="003169B0" w:rsidRDefault="00D27E31" w:rsidP="00D27E31">
      <w:pPr>
        <w:pStyle w:val="Nadpis5"/>
        <w:numPr>
          <w:ilvl w:val="4"/>
          <w:numId w:val="188"/>
        </w:numPr>
      </w:pPr>
      <w:r w:rsidRPr="003169B0">
        <w:t>Provedení opatření vzešlých z posuzování vlivů na životní prostředí (EIA) a z jednotného environmentálního stanoviska</w:t>
      </w:r>
    </w:p>
    <w:p w14:paraId="7F53FFCC" w14:textId="77777777" w:rsidR="00D27E31" w:rsidRDefault="00D27E31" w:rsidP="00D27E31">
      <w:pPr>
        <w:spacing w:after="0"/>
        <w:rPr>
          <w:rFonts w:cs="Segoe UI"/>
        </w:rPr>
      </w:pPr>
      <w:r w:rsidRPr="00751A92">
        <w:rPr>
          <w:rFonts w:cs="Segoe UI"/>
        </w:rPr>
        <w:t>V případě, že bylo provedeno posuzování vlivů na životní prostředí (EIA), screening</w:t>
      </w:r>
      <w:r w:rsidRPr="00751A92">
        <w:rPr>
          <w:rFonts w:cs="Segoe UI"/>
          <w:vertAlign w:val="superscript"/>
        </w:rPr>
        <w:footnoteReference w:id="63"/>
      </w:r>
      <w:r w:rsidRPr="00751A92">
        <w:rPr>
          <w:rFonts w:cs="Segoe UI"/>
        </w:rPr>
        <w:t xml:space="preserve"> v souladu se směrnicí 2011/92/EU</w:t>
      </w:r>
      <w:r w:rsidRPr="00751A92">
        <w:rPr>
          <w:rFonts w:cs="Segoe UI"/>
          <w:vertAlign w:val="superscript"/>
        </w:rPr>
        <w:footnoteReference w:id="64"/>
      </w:r>
      <w:r w:rsidRPr="00751A92">
        <w:rPr>
          <w:rFonts w:cs="Segoe UI"/>
        </w:rPr>
        <w:t>, nebo spadá záměr opatření pod složkovou environmentální legislativu integrovanou do jednotného environmentálního stanoviska, je nutné zajistit, že byla provedena požadovaná zmírňující a kompenzační opatření na ochranu životního prostředí.</w:t>
      </w:r>
      <w:r w:rsidRPr="00EE237B">
        <w:rPr>
          <w:rFonts w:cs="Segoe UI"/>
        </w:rPr>
        <w:t xml:space="preserve"> </w:t>
      </w:r>
      <w:r>
        <w:rPr>
          <w:rFonts w:cs="Segoe UI"/>
        </w:rPr>
        <w:t>EIA a JES mohou zahrnovat doporučení ke všem environmentálním cílům a jsou tedy vždy relevantní z pohledu DNSH.</w:t>
      </w:r>
    </w:p>
    <w:p w14:paraId="548922E1" w14:textId="77777777" w:rsidR="00D27E31" w:rsidRDefault="00D27E31" w:rsidP="00D27E31">
      <w:pPr>
        <w:spacing w:after="0"/>
        <w:rPr>
          <w:rFonts w:cs="Segoe UI"/>
        </w:rPr>
      </w:pPr>
    </w:p>
    <w:p w14:paraId="2C0BEFA0" w14:textId="77777777" w:rsidR="00D27E31" w:rsidRPr="003169B0" w:rsidRDefault="00D27E31" w:rsidP="00D77C59">
      <w:pPr>
        <w:rPr>
          <w:rFonts w:cs="Segoe UI"/>
        </w:rPr>
      </w:pPr>
      <w:r w:rsidRPr="00751A92">
        <w:rPr>
          <w:rFonts w:cs="Segoe UI"/>
        </w:rPr>
        <w:t>Zmírňující a kompenzační opatření na ochranu životního prostředí (na základě závazného stanoviska provedeného posouzení vlivů na životní prostředí</w:t>
      </w:r>
      <w:r>
        <w:rPr>
          <w:rFonts w:cs="Segoe UI"/>
        </w:rPr>
        <w:t xml:space="preserve"> a JES</w:t>
      </w:r>
      <w:r w:rsidRPr="00751A92">
        <w:rPr>
          <w:rFonts w:cs="Segoe UI"/>
        </w:rPr>
        <w:t>) by měla být součástí projektové dokumentace. Tyto jsou poté kontrolovány v rámci stavebního řízení, finálně však ve smyslu, že byla provedena zmírňující a kompenzační opatření až při kolaudaci. Z pohledu procesu se však legislativní postup nemusí setkat v čase s rozhodnutím o poskytnutí dotace, proto je potřeba požadovat čestné prohlášení ohledně provedení zmírňujících a kompenzačních opatření na ochranu životního prostředí.</w:t>
      </w:r>
    </w:p>
    <w:p w14:paraId="3352778A" w14:textId="77777777" w:rsidR="00A32A7E" w:rsidRPr="006A4206" w:rsidRDefault="00A32A7E" w:rsidP="00141780">
      <w:pPr>
        <w:pStyle w:val="Nadpis5"/>
      </w:pPr>
      <w:r w:rsidRPr="006A4206">
        <w:t>Splnění legislativní ochrany a souvisejících povolení</w:t>
      </w:r>
    </w:p>
    <w:p w14:paraId="4E919096" w14:textId="1E295F20" w:rsidR="00D1646E" w:rsidRPr="009C7B63" w:rsidRDefault="00D1646E" w:rsidP="00D1646E">
      <w:pPr>
        <w:rPr>
          <w:b/>
        </w:rPr>
      </w:pPr>
      <w:r w:rsidRPr="009C7B63">
        <w:rPr>
          <w:b/>
        </w:rPr>
        <w:t xml:space="preserve">Dodržování platných právních předpisů EU a vnitrostátních environmentálních právních předpisů je samostatnou povinností při administraci EU fondů, dokladování souladu s legislativou na úrovni projektu je na rozhodnutí a dosavadní praxi příslušného </w:t>
      </w:r>
      <w:r w:rsidR="00295BC9">
        <w:rPr>
          <w:b/>
        </w:rPr>
        <w:t>administrátora EU zdrojů</w:t>
      </w:r>
      <w:r w:rsidRPr="009C7B63">
        <w:rPr>
          <w:b/>
        </w:rPr>
        <w:t>, pokud není rozvedena potřeba v rámci administrace EU fondů specifická kontrola požadavků vyplývajících z legislativy s vazbou na DNSH (např. ad provedení opatření ve vazbě na EIA a JES).</w:t>
      </w:r>
    </w:p>
    <w:p w14:paraId="5C6D1577" w14:textId="704E2C88" w:rsidR="003169B0" w:rsidRPr="00D1646E" w:rsidRDefault="00D1646E" w:rsidP="00A32A7E">
      <w:r w:rsidRPr="009C7B63">
        <w:rPr>
          <w:b/>
        </w:rPr>
        <w:t>Fakultativně se doporučuje zvážit dokládání žadatele jako subjektu, zda neporušuje environmentální legislativu</w:t>
      </w:r>
      <w:r w:rsidRPr="009C7B63">
        <w:t xml:space="preserve"> – např. v podobě čestného prohlášení žadatele, že proti němu nejsou vedena řízení za porušení povinností spojených s ochranou životního prostředí (např. </w:t>
      </w:r>
      <w:r w:rsidRPr="009C7B63">
        <w:lastRenderedPageBreak/>
        <w:t>ze strany ČIŽP a jiných kontrolních orgánů) a klimatu (ve smyslu, že nemá nedoplatky za povolenky na emise skleníkových plynů).</w:t>
      </w:r>
    </w:p>
    <w:p w14:paraId="67BC93DA" w14:textId="3A99DA31" w:rsidR="00A32A7E" w:rsidRPr="00D77C59" w:rsidRDefault="00662060" w:rsidP="00A32A7E">
      <w:pPr>
        <w:rPr>
          <w:rFonts w:cs="Segoe UI"/>
          <w:b/>
          <w:bCs/>
        </w:rPr>
      </w:pPr>
      <w:r w:rsidRPr="00D77C59">
        <w:rPr>
          <w:rFonts w:cs="Segoe UI"/>
          <w:b/>
          <w:bCs/>
        </w:rPr>
        <w:t>Přehled legislativy:</w:t>
      </w:r>
    </w:p>
    <w:p w14:paraId="4880F088" w14:textId="77777777" w:rsidR="00A32A7E" w:rsidRPr="00EB459F" w:rsidRDefault="00A32A7E" w:rsidP="00A32A7E">
      <w:pPr>
        <w:numPr>
          <w:ilvl w:val="0"/>
          <w:numId w:val="13"/>
        </w:numPr>
        <w:rPr>
          <w:rFonts w:cs="Segoe UI"/>
        </w:rPr>
      </w:pPr>
      <w:r w:rsidRPr="00EB459F">
        <w:rPr>
          <w:rFonts w:cs="Segoe UI"/>
        </w:rPr>
        <w:t xml:space="preserve">Směrnice 2008/98/ES, o odpadech, ve znění směrnice EU 2018/851 </w:t>
      </w:r>
    </w:p>
    <w:p w14:paraId="15985F2F" w14:textId="77777777" w:rsidR="00A32A7E" w:rsidRPr="00EB459F" w:rsidRDefault="00A32A7E" w:rsidP="00A32A7E">
      <w:pPr>
        <w:numPr>
          <w:ilvl w:val="0"/>
          <w:numId w:val="13"/>
        </w:numPr>
        <w:rPr>
          <w:rFonts w:cs="Segoe UI"/>
        </w:rPr>
      </w:pPr>
      <w:r w:rsidRPr="00EB459F">
        <w:rPr>
          <w:rFonts w:cs="Segoe UI"/>
        </w:rPr>
        <w:t>Směrnice 1999/31/ES, o skládkách odpadů, ve znění směrnice EU 2018/850</w:t>
      </w:r>
    </w:p>
    <w:p w14:paraId="11885662" w14:textId="34331E46" w:rsidR="00A32A7E" w:rsidRPr="00EB459F" w:rsidRDefault="00A32A7E" w:rsidP="00A32A7E">
      <w:pPr>
        <w:numPr>
          <w:ilvl w:val="0"/>
          <w:numId w:val="13"/>
        </w:numPr>
        <w:rPr>
          <w:rFonts w:cs="Segoe UI"/>
        </w:rPr>
      </w:pPr>
      <w:r w:rsidRPr="00EB459F">
        <w:rPr>
          <w:rFonts w:cs="Segoe UI"/>
        </w:rPr>
        <w:t>Zákon č. 541/2020 Sb., o odpadech – zejména § 13, § 15 a § 17</w:t>
      </w:r>
    </w:p>
    <w:p w14:paraId="3666ABF1" w14:textId="281D407E" w:rsidR="00A32A7E" w:rsidRPr="00EB459F" w:rsidRDefault="00A32A7E" w:rsidP="00A32A7E">
      <w:pPr>
        <w:numPr>
          <w:ilvl w:val="0"/>
          <w:numId w:val="13"/>
        </w:numPr>
        <w:rPr>
          <w:rFonts w:cs="Segoe UI"/>
        </w:rPr>
      </w:pPr>
      <w:r w:rsidRPr="00EB459F">
        <w:rPr>
          <w:rFonts w:cs="Segoe UI"/>
        </w:rPr>
        <w:t xml:space="preserve">Zákon č. </w:t>
      </w:r>
      <w:r w:rsidR="00EE2166" w:rsidRPr="00EE2166">
        <w:rPr>
          <w:rFonts w:cs="Segoe UI"/>
        </w:rPr>
        <w:t>283/2021</w:t>
      </w:r>
      <w:r w:rsidRPr="00EB459F">
        <w:rPr>
          <w:rFonts w:cs="Segoe UI"/>
        </w:rPr>
        <w:t xml:space="preserve"> Sb., o územním plánování a stavebním řádu (stavební zákon) - zejména § 128, odst. (5)</w:t>
      </w:r>
    </w:p>
    <w:p w14:paraId="1BDF1B30" w14:textId="053FEC2E" w:rsidR="00A32A7E" w:rsidRPr="00EB459F" w:rsidRDefault="00A32A7E" w:rsidP="00A32A7E">
      <w:pPr>
        <w:numPr>
          <w:ilvl w:val="0"/>
          <w:numId w:val="13"/>
        </w:numPr>
        <w:rPr>
          <w:rFonts w:cs="Segoe UI"/>
        </w:rPr>
      </w:pPr>
      <w:r w:rsidRPr="00EB459F">
        <w:rPr>
          <w:rFonts w:cs="Segoe UI"/>
        </w:rPr>
        <w:t>Vyhláška č. 273/2021 Sb., o podrobnostech nakládání s odpady – zejména § 42 a příloha č. 24</w:t>
      </w:r>
    </w:p>
    <w:p w14:paraId="5922C3B9" w14:textId="77777777" w:rsidR="00A32A7E" w:rsidRPr="00EB459F" w:rsidRDefault="00A32A7E" w:rsidP="00A32A7E">
      <w:pPr>
        <w:numPr>
          <w:ilvl w:val="0"/>
          <w:numId w:val="13"/>
        </w:numPr>
        <w:rPr>
          <w:rFonts w:cs="Segoe UI"/>
        </w:rPr>
      </w:pPr>
      <w:r w:rsidRPr="00EB459F">
        <w:rPr>
          <w:rFonts w:cs="Segoe UI"/>
        </w:rPr>
        <w:t>Vyhláška č. 8/2021 Sb., o Katalogu odpadů a posuzování vlastností odpadů (Katalog odpadů)</w:t>
      </w:r>
    </w:p>
    <w:p w14:paraId="25BB6E65" w14:textId="77777777" w:rsidR="00A32A7E" w:rsidRPr="00EB459F" w:rsidRDefault="00A32A7E" w:rsidP="00A32A7E">
      <w:pPr>
        <w:numPr>
          <w:ilvl w:val="0"/>
          <w:numId w:val="13"/>
        </w:numPr>
        <w:rPr>
          <w:rFonts w:cs="Segoe UI"/>
        </w:rPr>
      </w:pPr>
      <w:r w:rsidRPr="00EB459F">
        <w:rPr>
          <w:rFonts w:cs="Segoe UI"/>
        </w:rPr>
        <w:t>Nařízení vlády č. 163/2002 Sb., kterým se stanoví technické požadavky na vybrané stavební výrobky</w:t>
      </w:r>
    </w:p>
    <w:p w14:paraId="2286D888" w14:textId="77777777" w:rsidR="00A32A7E" w:rsidRPr="00EB459F" w:rsidRDefault="00A32A7E" w:rsidP="00A32A7E">
      <w:pPr>
        <w:pStyle w:val="Odstavecseseznamem"/>
        <w:numPr>
          <w:ilvl w:val="0"/>
          <w:numId w:val="13"/>
        </w:numPr>
        <w:spacing w:line="240" w:lineRule="auto"/>
        <w:rPr>
          <w:rFonts w:cs="Segoe UI"/>
          <w:u w:val="single"/>
        </w:rPr>
      </w:pPr>
      <w:r w:rsidRPr="00EB459F">
        <w:rPr>
          <w:rFonts w:cs="Segoe UI"/>
        </w:rPr>
        <w:t>Směrnice Evropského parlamentu a Rady 2012/19/EU o odpadních elektrických a elektronických zařízeních</w:t>
      </w:r>
    </w:p>
    <w:p w14:paraId="2A2DA9F5" w14:textId="77777777" w:rsidR="00A32A7E" w:rsidRPr="00EB459F" w:rsidRDefault="00A32A7E" w:rsidP="00A32A7E">
      <w:pPr>
        <w:pStyle w:val="Odstavecseseznamem"/>
        <w:numPr>
          <w:ilvl w:val="0"/>
          <w:numId w:val="13"/>
        </w:numPr>
        <w:spacing w:line="240" w:lineRule="auto"/>
        <w:rPr>
          <w:rFonts w:cs="Segoe UI"/>
          <w:u w:val="single"/>
        </w:rPr>
      </w:pPr>
      <w:r w:rsidRPr="00EB459F">
        <w:rPr>
          <w:rFonts w:cs="Segoe UI"/>
        </w:rPr>
        <w:t>Směrnice 2009/125/ES o stanovení rámce pro určení požadavků na ekodesign výrobků spojených se spotřebou energie</w:t>
      </w:r>
    </w:p>
    <w:p w14:paraId="34DDD999" w14:textId="77777777" w:rsidR="00A32A7E" w:rsidRPr="00EB459F" w:rsidRDefault="00A32A7E" w:rsidP="00A32A7E">
      <w:pPr>
        <w:pStyle w:val="Odstavecseseznamem"/>
        <w:numPr>
          <w:ilvl w:val="0"/>
          <w:numId w:val="13"/>
        </w:numPr>
        <w:spacing w:line="240" w:lineRule="auto"/>
        <w:rPr>
          <w:rFonts w:cs="Segoe UI"/>
        </w:rPr>
      </w:pPr>
      <w:r w:rsidRPr="00EB459F">
        <w:rPr>
          <w:rFonts w:cs="Segoe UI"/>
        </w:rPr>
        <w:t>Směrnice 2011/65/EU o omezení používání některých nebezpečných látek v elektrických a elektronických zařízeních</w:t>
      </w:r>
    </w:p>
    <w:p w14:paraId="3DF181E6" w14:textId="28E347D0" w:rsidR="00A32A7E" w:rsidRPr="00EB459F" w:rsidRDefault="002129CB" w:rsidP="00A32A7E">
      <w:pPr>
        <w:pStyle w:val="Odstavecseseznamem"/>
        <w:numPr>
          <w:ilvl w:val="0"/>
          <w:numId w:val="13"/>
        </w:numPr>
        <w:spacing w:line="240" w:lineRule="auto"/>
        <w:rPr>
          <w:rFonts w:cs="Segoe UI"/>
        </w:rPr>
      </w:pPr>
      <w:r w:rsidRPr="002129CB">
        <w:rPr>
          <w:rFonts w:cs="Segoe UI"/>
        </w:rPr>
        <w:t>Nařízení Evropského parlamentu a Rady (EU) 2024/590 ze dne 7. února 2024 o látkách, které poškozují ozonovou vrstvu</w:t>
      </w:r>
    </w:p>
    <w:p w14:paraId="75111AAF" w14:textId="3246B7D4" w:rsidR="00A32A7E" w:rsidRPr="006A4206" w:rsidRDefault="00A32A7E" w:rsidP="006A45B6">
      <w:pPr>
        <w:pStyle w:val="Nadpis4"/>
      </w:pPr>
      <w:r w:rsidRPr="006A4206">
        <w:t>Další podmínky k možnému zapracování</w:t>
      </w:r>
    </w:p>
    <w:p w14:paraId="426695DB" w14:textId="500E6AFF" w:rsidR="005570A4" w:rsidRPr="00EB459F" w:rsidRDefault="00A32A7E" w:rsidP="00A32A7E">
      <w:pPr>
        <w:rPr>
          <w:rFonts w:cs="Segoe UI"/>
        </w:rPr>
      </w:pPr>
      <w:r w:rsidRPr="00EB459F">
        <w:rPr>
          <w:rFonts w:cs="Segoe UI"/>
        </w:rPr>
        <w:t xml:space="preserve">V případě, že dojde ke shledání, že zamýšlený druh podpory i přes </w:t>
      </w:r>
      <w:r w:rsidR="0027587E">
        <w:rPr>
          <w:rFonts w:cs="Segoe UI"/>
        </w:rPr>
        <w:t xml:space="preserve">implementaci </w:t>
      </w:r>
      <w:r w:rsidR="0027587E" w:rsidRPr="00BA38D6">
        <w:rPr>
          <w:rFonts w:cs="Segoe UI"/>
        </w:rPr>
        <w:t xml:space="preserve">ochranných opatření a splnění souladu s legislativními předpisy a souvisejícími povoleními může představovat riziko </w:t>
      </w:r>
      <w:r w:rsidRPr="00EB459F">
        <w:rPr>
          <w:rFonts w:cs="Segoe UI"/>
        </w:rPr>
        <w:t>poškozování životního prostředí v oblasti oběhového hospodářství, je možné zvýšit úroveň ochrany implementací vhodných podmínek a opatření:</w:t>
      </w:r>
    </w:p>
    <w:p w14:paraId="3B96C201" w14:textId="3B544CA3" w:rsidR="00A32A7E" w:rsidRDefault="00342DDB" w:rsidP="00A32A7E">
      <w:pPr>
        <w:rPr>
          <w:rFonts w:cs="Segoe UI"/>
          <w:b/>
          <w:bCs/>
        </w:rPr>
      </w:pPr>
      <w:r w:rsidRPr="00342DDB">
        <w:rPr>
          <w:rFonts w:cs="Segoe UI"/>
          <w:b/>
          <w:bCs/>
        </w:rPr>
        <w:t>Fakultativní stanovení podmínek dle taxonomie (ať již na základě významného přínosu, či na základě podmínek DNSH)</w:t>
      </w:r>
    </w:p>
    <w:p w14:paraId="219D861E" w14:textId="71A2D260" w:rsidR="00A32A7E" w:rsidRDefault="00A2618E" w:rsidP="00A32A7E">
      <w:pPr>
        <w:rPr>
          <w:rFonts w:cs="Segoe UI"/>
        </w:rPr>
      </w:pPr>
      <w:r>
        <w:rPr>
          <w:rFonts w:cs="Segoe UI"/>
        </w:rPr>
        <w:t>Dodatečnou ochranu</w:t>
      </w:r>
      <w:r w:rsidRPr="00EB459F">
        <w:rPr>
          <w:rFonts w:cs="Segoe UI"/>
        </w:rPr>
        <w:t xml:space="preserve"> životního prostředí v oblasti oběhového hospodářství </w:t>
      </w:r>
      <w:r>
        <w:rPr>
          <w:rFonts w:cs="Segoe UI"/>
        </w:rPr>
        <w:t xml:space="preserve">je možné zajistit </w:t>
      </w:r>
      <w:r w:rsidRPr="00EB459F">
        <w:rPr>
          <w:rFonts w:cs="Segoe UI"/>
        </w:rPr>
        <w:t xml:space="preserve">využitím delegovaných aktů taxonomie, </w:t>
      </w:r>
      <w:r>
        <w:rPr>
          <w:rFonts w:cs="Segoe UI"/>
        </w:rPr>
        <w:t xml:space="preserve">implementací podmínek </w:t>
      </w:r>
      <w:r w:rsidRPr="00EB459F">
        <w:rPr>
          <w:rFonts w:cs="Segoe UI"/>
        </w:rPr>
        <w:t>nejen z technických kritérií významného přínosu, ale rovněž podmínek pro plnění zásady významně nepoškozovat</w:t>
      </w:r>
      <w:r w:rsidR="00A32A7E" w:rsidRPr="00EB459F">
        <w:rPr>
          <w:rFonts w:cs="Segoe UI"/>
        </w:rPr>
        <w:t xml:space="preserve">. </w:t>
      </w:r>
    </w:p>
    <w:p w14:paraId="09B37FEF" w14:textId="6D3B8624" w:rsidR="0027587E" w:rsidRPr="00751A92" w:rsidRDefault="00241D59" w:rsidP="0027587E">
      <w:pPr>
        <w:rPr>
          <w:rFonts w:cs="Segoe UI"/>
        </w:rPr>
      </w:pPr>
      <w:r>
        <w:rPr>
          <w:rFonts w:cs="Segoe UI"/>
        </w:rPr>
        <w:t>V případě postupu dle významného přínosu je d</w:t>
      </w:r>
      <w:r w:rsidRPr="00BA38D6">
        <w:rPr>
          <w:rFonts w:cs="Segoe UI"/>
        </w:rPr>
        <w:t xml:space="preserve">oporučeným postupem dohledat předmět </w:t>
      </w:r>
      <w:r w:rsidR="0027587E" w:rsidRPr="00751A92">
        <w:rPr>
          <w:rFonts w:cs="Segoe UI"/>
        </w:rPr>
        <w:t>podpory v </w:t>
      </w:r>
      <w:hyperlink r:id="rId98" w:history="1">
        <w:r w:rsidR="0027587E" w:rsidRPr="00751A92">
          <w:rPr>
            <w:rStyle w:val="Hypertextovodkaz"/>
            <w:rFonts w:cs="Segoe UI"/>
          </w:rPr>
          <w:t xml:space="preserve">EU Taxonomy </w:t>
        </w:r>
        <w:proofErr w:type="spellStart"/>
        <w:r w:rsidR="0027587E" w:rsidRPr="00751A92">
          <w:rPr>
            <w:rStyle w:val="Hypertextovodkaz"/>
            <w:rFonts w:cs="Segoe UI"/>
          </w:rPr>
          <w:t>compass</w:t>
        </w:r>
        <w:proofErr w:type="spellEnd"/>
      </w:hyperlink>
      <w:r w:rsidR="0027587E" w:rsidRPr="00751A92">
        <w:rPr>
          <w:rFonts w:cs="Segoe UI"/>
        </w:rPr>
        <w:t xml:space="preserve"> nebo </w:t>
      </w:r>
      <w:hyperlink w:anchor="_Kontext_taxonomie_EU" w:history="1">
        <w:r w:rsidR="0027587E" w:rsidRPr="0077290F">
          <w:rPr>
            <w:rStyle w:val="Hypertextovodkaz"/>
            <w:rFonts w:cs="Segoe UI"/>
          </w:rPr>
          <w:t>relevantním delegovaném aktu taxonomie</w:t>
        </w:r>
      </w:hyperlink>
      <w:r w:rsidR="0027587E">
        <w:rPr>
          <w:rFonts w:cs="Segoe UI"/>
        </w:rPr>
        <w:t>.</w:t>
      </w:r>
      <w:r w:rsidR="0027587E" w:rsidRPr="00751A92">
        <w:rPr>
          <w:rFonts w:cs="Segoe UI"/>
        </w:rPr>
        <w:t xml:space="preserve"> </w:t>
      </w:r>
      <w:r w:rsidR="0027587E" w:rsidRPr="009126CE">
        <w:rPr>
          <w:rFonts w:cs="Segoe UI"/>
        </w:rPr>
        <w:t xml:space="preserve">Český překlad je zveřejněn na webových stránkách </w:t>
      </w:r>
      <w:hyperlink r:id="rId99" w:history="1">
        <w:r w:rsidR="0027587E" w:rsidRPr="0058633B">
          <w:rPr>
            <w:rStyle w:val="Hypertextovodkaz"/>
            <w:rFonts w:cs="Segoe UI"/>
          </w:rPr>
          <w:t>Ministerstva financí</w:t>
        </w:r>
      </w:hyperlink>
      <w:r w:rsidR="0027587E" w:rsidRPr="009126CE">
        <w:rPr>
          <w:rFonts w:cs="Segoe UI"/>
        </w:rPr>
        <w:t>, kde jsou k dispozici překlady jednotlivých činností a také screeningových kritérií.</w:t>
      </w:r>
    </w:p>
    <w:p w14:paraId="3D6DB180" w14:textId="77777777" w:rsidR="0027587E" w:rsidRPr="00EB459F" w:rsidRDefault="0027587E" w:rsidP="0027587E">
      <w:pPr>
        <w:rPr>
          <w:rFonts w:cs="Segoe UI"/>
        </w:rPr>
      </w:pPr>
      <w:r w:rsidRPr="00EB459F">
        <w:rPr>
          <w:rFonts w:cs="Segoe UI"/>
          <w:noProof/>
        </w:rPr>
        <w:lastRenderedPageBreak/>
        <mc:AlternateContent>
          <mc:Choice Requires="wps">
            <w:drawing>
              <wp:anchor distT="0" distB="0" distL="114300" distR="114300" simplePos="0" relativeHeight="251696128" behindDoc="0" locked="0" layoutInCell="1" allowOverlap="1" wp14:anchorId="49CE7C74" wp14:editId="11894463">
                <wp:simplePos x="0" y="0"/>
                <wp:positionH relativeFrom="margin">
                  <wp:posOffset>3898265</wp:posOffset>
                </wp:positionH>
                <wp:positionV relativeFrom="paragraph">
                  <wp:posOffset>-13335</wp:posOffset>
                </wp:positionV>
                <wp:extent cx="662796" cy="959329"/>
                <wp:effectExtent l="19050" t="19050" r="23495" b="12700"/>
                <wp:wrapNone/>
                <wp:docPr id="113315005" name="Obdélník 1"/>
                <wp:cNvGraphicFramePr/>
                <a:graphic xmlns:a="http://schemas.openxmlformats.org/drawingml/2006/main">
                  <a:graphicData uri="http://schemas.microsoft.com/office/word/2010/wordprocessingShape">
                    <wps:wsp>
                      <wps:cNvSpPr/>
                      <wps:spPr>
                        <a:xfrm>
                          <a:off x="0" y="0"/>
                          <a:ext cx="662796" cy="959329"/>
                        </a:xfrm>
                        <a:prstGeom prst="rect">
                          <a:avLst/>
                        </a:prstGeom>
                        <a:noFill/>
                        <a:ln w="2857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0E2A60" id="Obdélník 1" o:spid="_x0000_s1026" style="position:absolute;margin-left:306.95pt;margin-top:-1.05pt;width:52.2pt;height:75.5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" filled="f" strokecolor="red" strokeweight="2.25pt">
                <w10:wrap anchorx="margin"/>
              </v:rect>
            </w:pict>
          </mc:Fallback>
        </mc:AlternateContent>
      </w:r>
      <w:r w:rsidRPr="00EB459F">
        <w:rPr>
          <w:rFonts w:cs="Segoe UI"/>
          <w:noProof/>
        </w:rPr>
        <w:drawing>
          <wp:inline distT="0" distB="0" distL="0" distR="0" wp14:anchorId="5A114010" wp14:editId="62D38532">
            <wp:extent cx="5760720" cy="404495"/>
            <wp:effectExtent l="0" t="0" r="0" b="0"/>
            <wp:docPr id="89167046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789274" name=""/>
                    <pic:cNvPicPr/>
                  </pic:nvPicPr>
                  <pic:blipFill>
                    <a:blip r:embed="rId63"/>
                    <a:stretch>
                      <a:fillRect/>
                    </a:stretch>
                  </pic:blipFill>
                  <pic:spPr>
                    <a:xfrm>
                      <a:off x="0" y="0"/>
                      <a:ext cx="5760720" cy="404495"/>
                    </a:xfrm>
                    <a:prstGeom prst="rect">
                      <a:avLst/>
                    </a:prstGeom>
                  </pic:spPr>
                </pic:pic>
              </a:graphicData>
            </a:graphic>
          </wp:inline>
        </w:drawing>
      </w:r>
    </w:p>
    <w:p w14:paraId="343F3FE9" w14:textId="77777777" w:rsidR="0027587E" w:rsidRPr="00EB459F" w:rsidRDefault="0027587E" w:rsidP="0027587E">
      <w:pPr>
        <w:rPr>
          <w:rFonts w:cs="Segoe UI"/>
        </w:rPr>
      </w:pPr>
      <w:r w:rsidRPr="00EB459F">
        <w:rPr>
          <w:rFonts w:cs="Segoe UI"/>
          <w:noProof/>
        </w:rPr>
        <w:drawing>
          <wp:inline distT="0" distB="0" distL="0" distR="0" wp14:anchorId="67A9B1C5" wp14:editId="7415ADE7">
            <wp:extent cx="5760720" cy="402590"/>
            <wp:effectExtent l="0" t="0" r="0" b="0"/>
            <wp:docPr id="122367085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202033" name=""/>
                    <pic:cNvPicPr/>
                  </pic:nvPicPr>
                  <pic:blipFill>
                    <a:blip r:embed="rId100"/>
                    <a:stretch>
                      <a:fillRect/>
                    </a:stretch>
                  </pic:blipFill>
                  <pic:spPr>
                    <a:xfrm>
                      <a:off x="0" y="0"/>
                      <a:ext cx="5760720" cy="402590"/>
                    </a:xfrm>
                    <a:prstGeom prst="rect">
                      <a:avLst/>
                    </a:prstGeom>
                  </pic:spPr>
                </pic:pic>
              </a:graphicData>
            </a:graphic>
          </wp:inline>
        </w:drawing>
      </w:r>
    </w:p>
    <w:p w14:paraId="5F4DA684" w14:textId="0591E036" w:rsidR="0027587E" w:rsidRPr="0027587E" w:rsidRDefault="0027587E" w:rsidP="0027587E">
      <w:pPr>
        <w:rPr>
          <w:rFonts w:cs="Segoe UI"/>
          <w:b/>
          <w:bCs/>
        </w:rPr>
      </w:pPr>
      <w:r w:rsidRPr="00EB459F">
        <w:rPr>
          <w:rFonts w:cs="Segoe UI"/>
        </w:rPr>
        <w:t>Tento postup je možný implementovat pouze v případech, kdy byly v rámci delegovaného aktu (EU) 2023/2486 taxonomie stanovena technická screeningová kritéria pro určení toho, za jakých podmínek je možné určit významný příspěvek hospodářské činnosti k</w:t>
      </w:r>
      <w:r>
        <w:rPr>
          <w:rFonts w:cs="Segoe UI"/>
        </w:rPr>
        <w:t xml:space="preserve"> přechodu na </w:t>
      </w:r>
      <w:r w:rsidRPr="00EB459F">
        <w:rPr>
          <w:rFonts w:cs="Segoe UI"/>
        </w:rPr>
        <w:t xml:space="preserve">oběhové hospodářství. </w:t>
      </w:r>
    </w:p>
    <w:p w14:paraId="458490CA" w14:textId="0375AEB9" w:rsidR="0027587E" w:rsidRPr="00EB459F" w:rsidRDefault="0027587E" w:rsidP="0027587E">
      <w:pPr>
        <w:spacing w:after="0"/>
        <w:rPr>
          <w:rFonts w:cs="Segoe UI"/>
        </w:rPr>
      </w:pPr>
      <w:r w:rsidRPr="00A37FFA">
        <w:rPr>
          <w:rFonts w:cs="Segoe UI"/>
        </w:rPr>
        <w:t xml:space="preserve">V případě </w:t>
      </w:r>
      <w:r>
        <w:rPr>
          <w:rFonts w:cs="Segoe UI"/>
        </w:rPr>
        <w:t xml:space="preserve">kritérií DNSH je při </w:t>
      </w:r>
      <w:r w:rsidRPr="00A37FFA">
        <w:rPr>
          <w:rFonts w:cs="Segoe UI"/>
        </w:rPr>
        <w:t xml:space="preserve">využití </w:t>
      </w:r>
      <w:hyperlink r:id="rId101" w:history="1">
        <w:r w:rsidRPr="00A37FFA">
          <w:rPr>
            <w:rStyle w:val="Hypertextovodkaz"/>
            <w:rFonts w:cs="Segoe UI"/>
          </w:rPr>
          <w:t xml:space="preserve">EU Taxonomy </w:t>
        </w:r>
        <w:proofErr w:type="spellStart"/>
        <w:r w:rsidRPr="00A37FFA">
          <w:rPr>
            <w:rStyle w:val="Hypertextovodkaz"/>
            <w:rFonts w:cs="Segoe UI"/>
          </w:rPr>
          <w:t>compass</w:t>
        </w:r>
        <w:proofErr w:type="spellEnd"/>
      </w:hyperlink>
      <w:r w:rsidRPr="00A37FFA">
        <w:rPr>
          <w:rFonts w:cs="Segoe UI"/>
        </w:rPr>
        <w:t xml:space="preserve"> možné relevantní podmínky </w:t>
      </w:r>
      <w:r>
        <w:rPr>
          <w:rFonts w:cs="Segoe UI"/>
        </w:rPr>
        <w:t xml:space="preserve">dohledat </w:t>
      </w:r>
      <w:r w:rsidRPr="00A37FFA">
        <w:rPr>
          <w:rFonts w:cs="Segoe UI"/>
        </w:rPr>
        <w:t>následujícím způsobem:</w:t>
      </w:r>
    </w:p>
    <w:p w14:paraId="2C39A852" w14:textId="77777777" w:rsidR="00A32A7E" w:rsidRDefault="00A32A7E" w:rsidP="00A32A7E">
      <w:pPr>
        <w:rPr>
          <w:rFonts w:cs="Segoe UI"/>
        </w:rPr>
      </w:pPr>
      <w:r>
        <w:rPr>
          <w:noProof/>
        </w:rPr>
        <mc:AlternateContent>
          <mc:Choice Requires="wps">
            <w:drawing>
              <wp:anchor distT="0" distB="0" distL="114300" distR="114300" simplePos="0" relativeHeight="251665408" behindDoc="0" locked="0" layoutInCell="1" allowOverlap="1" wp14:anchorId="29A48084" wp14:editId="26E30ACB">
                <wp:simplePos x="0" y="0"/>
                <wp:positionH relativeFrom="margin">
                  <wp:posOffset>273523</wp:posOffset>
                </wp:positionH>
                <wp:positionV relativeFrom="paragraph">
                  <wp:posOffset>2860040</wp:posOffset>
                </wp:positionV>
                <wp:extent cx="5267325" cy="333375"/>
                <wp:effectExtent l="0" t="0" r="28575" b="28575"/>
                <wp:wrapNone/>
                <wp:docPr id="1242130601" name="Vývojový diagram: postup 2"/>
                <wp:cNvGraphicFramePr/>
                <a:graphic xmlns:a="http://schemas.openxmlformats.org/drawingml/2006/main">
                  <a:graphicData uri="http://schemas.microsoft.com/office/word/2010/wordprocessingShape">
                    <wps:wsp>
                      <wps:cNvSpPr/>
                      <wps:spPr>
                        <a:xfrm>
                          <a:off x="0" y="0"/>
                          <a:ext cx="5267325" cy="333375"/>
                        </a:xfrm>
                        <a:prstGeom prst="flowChartProcess">
                          <a:avLst/>
                        </a:prstGeom>
                        <a:noFill/>
                        <a:ln w="190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E2305AE" id="Vývojový diagram: postup 2" o:spid="_x0000_s1026" type="#_x0000_t109" style="position:absolute;margin-left:21.55pt;margin-top:225.2pt;width:414.75pt;height:26.25pt;z-index:25166540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" filled="f" strokecolor="red" strokeweight="1.5pt">
                <w10:wrap anchorx="margin"/>
              </v:shape>
            </w:pict>
          </mc:Fallback>
        </mc:AlternateContent>
      </w:r>
      <w:r w:rsidRPr="00EB459F">
        <w:rPr>
          <w:rFonts w:cs="Segoe UI"/>
          <w:noProof/>
        </w:rPr>
        <w:drawing>
          <wp:inline distT="0" distB="0" distL="0" distR="0" wp14:anchorId="6F21C21E" wp14:editId="7D20F7D3">
            <wp:extent cx="5760720" cy="5876925"/>
            <wp:effectExtent l="0" t="0" r="0" b="9525"/>
            <wp:docPr id="431753379" name="Obrázek 1" descr="Obsah obrázku text, snímek obrazovky, číslo, Písmo&#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799538" name="Obrázek 1" descr="Obsah obrázku text, snímek obrazovky, číslo, Písmo&#10;&#10;Obsah vygenerovaný umělou inteligencí může být nesprávný."/>
                    <pic:cNvPicPr/>
                  </pic:nvPicPr>
                  <pic:blipFill>
                    <a:blip r:embed="rId96"/>
                    <a:stretch>
                      <a:fillRect/>
                    </a:stretch>
                  </pic:blipFill>
                  <pic:spPr>
                    <a:xfrm>
                      <a:off x="0" y="0"/>
                      <a:ext cx="5760720" cy="5876925"/>
                    </a:xfrm>
                    <a:prstGeom prst="rect">
                      <a:avLst/>
                    </a:prstGeom>
                  </pic:spPr>
                </pic:pic>
              </a:graphicData>
            </a:graphic>
          </wp:inline>
        </w:drawing>
      </w:r>
    </w:p>
    <w:p w14:paraId="3AFB0EDB" w14:textId="77777777" w:rsidR="00A32A7E" w:rsidRPr="00EB459F" w:rsidRDefault="00A32A7E" w:rsidP="00A32A7E">
      <w:pPr>
        <w:spacing w:line="360" w:lineRule="auto"/>
        <w:rPr>
          <w:rFonts w:cs="Segoe UI"/>
          <w:b/>
          <w:bCs/>
        </w:rPr>
      </w:pPr>
      <w:r w:rsidRPr="00EB459F">
        <w:rPr>
          <w:rFonts w:cs="Segoe UI"/>
          <w:b/>
          <w:bCs/>
        </w:rPr>
        <w:t>Obecné podmínky</w:t>
      </w:r>
    </w:p>
    <w:p w14:paraId="4BB7DFD6" w14:textId="2999A949" w:rsidR="00342DDB" w:rsidRDefault="00A32A7E" w:rsidP="00A32A7E">
      <w:pPr>
        <w:pStyle w:val="Odstavecseseznamem"/>
        <w:numPr>
          <w:ilvl w:val="0"/>
          <w:numId w:val="19"/>
        </w:numPr>
        <w:rPr>
          <w:rFonts w:cs="Segoe UI"/>
        </w:rPr>
      </w:pPr>
      <w:r w:rsidRPr="00EB459F">
        <w:rPr>
          <w:rFonts w:cs="Segoe UI"/>
        </w:rPr>
        <w:lastRenderedPageBreak/>
        <w:t>Opatření je v souladu se zásadami hospodárnosti, efektivnosti (nebo také účinnosti) a účelnosti využívání materiálů.</w:t>
      </w:r>
    </w:p>
    <w:p w14:paraId="5E70D49E" w14:textId="1D16D000" w:rsidR="00602DCA" w:rsidRPr="00342DDB" w:rsidRDefault="00342DDB" w:rsidP="00D77C59">
      <w:pPr>
        <w:spacing w:after="160" w:line="259" w:lineRule="auto"/>
        <w:jc w:val="left"/>
        <w:rPr>
          <w:rFonts w:cs="Segoe UI"/>
        </w:rPr>
      </w:pPr>
      <w:r>
        <w:rPr>
          <w:rFonts w:cs="Segoe UI"/>
        </w:rPr>
        <w:br w:type="page"/>
      </w:r>
    </w:p>
    <w:p w14:paraId="6812E07E" w14:textId="77777777" w:rsidR="00602DCA" w:rsidRDefault="00C5530C">
      <w:pPr>
        <w:pStyle w:val="Nadpis2"/>
      </w:pPr>
      <w:bookmarkStart w:id="122" w:name="_Toc210046036"/>
      <w:r>
        <w:lastRenderedPageBreak/>
        <w:t>Prevence a omezování znečištění</w:t>
      </w:r>
      <w:bookmarkEnd w:id="122"/>
    </w:p>
    <w:p w14:paraId="543A96DA" w14:textId="77777777" w:rsidR="00A32A7E" w:rsidRPr="002D74BE" w:rsidRDefault="00A32A7E" w:rsidP="00A32A7E">
      <w:pPr>
        <w:rPr>
          <w:rFonts w:cs="Segoe UI"/>
        </w:rPr>
      </w:pPr>
      <w:r w:rsidRPr="002D74BE">
        <w:rPr>
          <w:rFonts w:cs="Segoe UI"/>
        </w:rPr>
        <w:t>Smyslem DNSH je, aby činnost významně nepoškozovala prevenci a omezování znečištění ve smyslu, aby omezovala znečištění a působila preventivně vůči dalšímu znečišťování životního prostředí. Za poškození se považuje zejm. pokud by činnost vedla k významnému zvýšení emisí znečišťujících látek do ovzduší, vody a půdy.</w:t>
      </w:r>
    </w:p>
    <w:p w14:paraId="15EB3BC7" w14:textId="77777777" w:rsidR="00054338" w:rsidRDefault="00054338" w:rsidP="00204DAC">
      <w:pPr>
        <w:pStyle w:val="Nadpis3"/>
        <w:sectPr w:rsidR="00054338">
          <w:pgSz w:w="11906" w:h="16838"/>
          <w:pgMar w:top="1417" w:right="1417" w:bottom="709" w:left="1417" w:header="708" w:footer="708" w:gutter="0"/>
          <w:cols w:space="708"/>
        </w:sectPr>
      </w:pPr>
    </w:p>
    <w:p w14:paraId="66BA008F" w14:textId="74A1D202" w:rsidR="00A32A7E" w:rsidRPr="00204DAC" w:rsidRDefault="00A32A7E" w:rsidP="00204DAC">
      <w:pPr>
        <w:pStyle w:val="Nadpis3"/>
      </w:pPr>
      <w:r w:rsidRPr="00204DAC">
        <w:lastRenderedPageBreak/>
        <w:t>Posouzení souladu podpory se zásadou DNSH</w:t>
      </w:r>
      <w:r w:rsidR="003732CC">
        <w:rPr>
          <w:rStyle w:val="Znakapoznpodarou"/>
        </w:rPr>
        <w:footnoteReference w:id="65"/>
      </w:r>
    </w:p>
    <w:p w14:paraId="08B46636" w14:textId="404DCEAB" w:rsidR="00A32A7E" w:rsidRPr="002D74BE" w:rsidRDefault="00FB2A0F" w:rsidP="00A32A7E">
      <w:pPr>
        <w:rPr>
          <w:rFonts w:cs="Segoe UI"/>
        </w:rPr>
      </w:pPr>
      <w:r>
        <w:rPr>
          <w:noProof/>
          <w14:ligatures w14:val="standardContextual"/>
        </w:rPr>
        <w:t xml:space="preserve"> </w:t>
      </w:r>
      <w:r w:rsidR="00A50A8E">
        <w:rPr>
          <w:noProof/>
        </w:rPr>
        <w:drawing>
          <wp:inline distT="0" distB="0" distL="0" distR="0" wp14:anchorId="1ADCA676" wp14:editId="1E01DB63">
            <wp:extent cx="8886825" cy="4514850"/>
            <wp:effectExtent l="0" t="0" r="9525" b="0"/>
            <wp:docPr id="2003773066" name="Obrázek 1" descr="Obsah obrázku text, diagram, řada/pruh, snímek obrazovky&#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773066" name="Obrázek 1" descr="Obsah obrázku text, diagram, řada/pruh, snímek obrazovky&#10;&#10;Obsah vygenerovaný umělou inteligencí může být nesprávný."/>
                    <pic:cNvPicPr/>
                  </pic:nvPicPr>
                  <pic:blipFill>
                    <a:blip r:embed="rId102"/>
                    <a:stretch>
                      <a:fillRect/>
                    </a:stretch>
                  </pic:blipFill>
                  <pic:spPr>
                    <a:xfrm>
                      <a:off x="0" y="0"/>
                      <a:ext cx="8886825" cy="4514850"/>
                    </a:xfrm>
                    <a:prstGeom prst="rect">
                      <a:avLst/>
                    </a:prstGeom>
                  </pic:spPr>
                </pic:pic>
              </a:graphicData>
            </a:graphic>
          </wp:inline>
        </w:drawing>
      </w:r>
    </w:p>
    <w:p w14:paraId="7C61083F" w14:textId="77777777" w:rsidR="00054338" w:rsidRDefault="00054338" w:rsidP="00204DAC">
      <w:pPr>
        <w:pStyle w:val="Nadpis3"/>
        <w:sectPr w:rsidR="00054338" w:rsidSect="006A45B6">
          <w:pgSz w:w="16838" w:h="11906" w:orient="landscape"/>
          <w:pgMar w:top="1418" w:right="1418" w:bottom="1418" w:left="709" w:header="709" w:footer="709" w:gutter="0"/>
          <w:cols w:space="708"/>
        </w:sectPr>
      </w:pPr>
    </w:p>
    <w:p w14:paraId="0BC1ED8D" w14:textId="77777777" w:rsidR="00A32A7E" w:rsidRPr="00204DAC" w:rsidRDefault="00A32A7E" w:rsidP="00204DAC">
      <w:pPr>
        <w:pStyle w:val="Nadpis3"/>
      </w:pPr>
      <w:r w:rsidRPr="00204DAC">
        <w:lastRenderedPageBreak/>
        <w:t>Vyloučené podpory</w:t>
      </w:r>
    </w:p>
    <w:p w14:paraId="29C2FC16" w14:textId="44FFFCAE" w:rsidR="00A32A7E" w:rsidRPr="002D74BE" w:rsidRDefault="00A32A7E" w:rsidP="00A32A7E">
      <w:pPr>
        <w:rPr>
          <w:rFonts w:cs="Segoe UI"/>
        </w:rPr>
      </w:pPr>
      <w:r w:rsidRPr="002D74BE">
        <w:rPr>
          <w:rFonts w:cs="Segoe UI"/>
        </w:rPr>
        <w:t xml:space="preserve">V první řadě je při přípravě a schvalování OP / NPO / dotačních schémat </w:t>
      </w:r>
      <w:proofErr w:type="spellStart"/>
      <w:r w:rsidRPr="002D74BE">
        <w:rPr>
          <w:rFonts w:cs="Segoe UI"/>
        </w:rPr>
        <w:t>ModF</w:t>
      </w:r>
      <w:proofErr w:type="spellEnd"/>
      <w:r w:rsidRPr="002D74BE">
        <w:rPr>
          <w:rFonts w:cs="Segoe UI"/>
        </w:rPr>
        <w:t xml:space="preserve">/SKP nutné posoudit, zda zamýšlená podpora není vyloučena, ať již na základě oblasti působnosti nástroje nebo v souvislosti s DNSH. V některých případech je potřeba zásadu DNSH implementovat prostřednictvím věcného zaměření podpory a omezení určitých opatření. Vyloučené podpory jsou blíže popsány v části </w:t>
      </w:r>
      <w:hyperlink w:anchor="_Podmínky_DNSH_založené" w:history="1">
        <w:r w:rsidR="00356447" w:rsidRPr="00356447">
          <w:rPr>
            <w:rStyle w:val="Hypertextovodkaz"/>
            <w:rFonts w:cs="Segoe UI"/>
          </w:rPr>
          <w:t>3.5 tohoto materiálu</w:t>
        </w:r>
      </w:hyperlink>
      <w:r w:rsidRPr="002D74BE">
        <w:rPr>
          <w:rFonts w:cs="Segoe UI"/>
        </w:rPr>
        <w:t xml:space="preserve">. </w:t>
      </w:r>
    </w:p>
    <w:p w14:paraId="384DA4DF" w14:textId="77777777" w:rsidR="00A32A7E" w:rsidRPr="00204DAC" w:rsidRDefault="00A32A7E" w:rsidP="00204DAC">
      <w:pPr>
        <w:pStyle w:val="Nadpis3"/>
      </w:pPr>
      <w:r w:rsidRPr="00204DAC">
        <w:t>Sledování příspěvku opatření k ochraně klimatu a k environmentálním cílům</w:t>
      </w:r>
    </w:p>
    <w:p w14:paraId="15BAC06D" w14:textId="6B81B11C" w:rsidR="00A32A7E" w:rsidRPr="002D74BE" w:rsidRDefault="00A32A7E" w:rsidP="00A32A7E">
      <w:pPr>
        <w:rPr>
          <w:rFonts w:cs="Segoe UI"/>
        </w:rPr>
      </w:pPr>
      <w:r w:rsidRPr="002D74BE">
        <w:rPr>
          <w:rFonts w:cs="Segoe UI"/>
        </w:rPr>
        <w:t xml:space="preserve">Po ověření souladu s právními předpisy jednotlivých fondů a vyloučenými aktivity v souvislosti s DNSH nebo ad-hoc podmínkami (výjimkami) je možné postoupit k ověření enviromentálního tagu v oblasti prevence a omezování znečištění. Klimatické a environmentální tagy a obecně sledování příspěvku fondů k ochraně klimatu a k environmentálním cílům, stejně jako zdroje koeficientů pro jednotlivé fondy, jsou blíže popsány v části </w:t>
      </w:r>
      <w:hyperlink w:anchor="_Sledování_příspěvku_fondů" w:history="1">
        <w:r w:rsidR="00356447" w:rsidRPr="0077290F">
          <w:rPr>
            <w:rStyle w:val="Hypertextovodkaz"/>
            <w:rFonts w:cs="Segoe UI"/>
          </w:rPr>
          <w:t>2.4 tohoto materiálu</w:t>
        </w:r>
      </w:hyperlink>
      <w:r w:rsidRPr="002D74BE">
        <w:rPr>
          <w:rFonts w:cs="Segoe UI"/>
        </w:rPr>
        <w:t>. V případě, že je k činnosti zamýšlené podpory přiřazen koeficient 100 % v oblasti prevence znečištění, očekává se, že činnost významně přispěje k plnění tohoto environmentálního cíle</w:t>
      </w:r>
      <w:r>
        <w:rPr>
          <w:rFonts w:cs="Segoe UI"/>
        </w:rPr>
        <w:t xml:space="preserve"> </w:t>
      </w:r>
      <w:r w:rsidRPr="004863DB">
        <w:rPr>
          <w:rFonts w:cs="Segoe UI"/>
        </w:rPr>
        <w:t>a není nutné stanovovat dodatečné podmínky kromě těch</w:t>
      </w:r>
      <w:r>
        <w:rPr>
          <w:rFonts w:cs="Segoe UI"/>
        </w:rPr>
        <w:t xml:space="preserve">, </w:t>
      </w:r>
      <w:r w:rsidRPr="008263B6">
        <w:rPr>
          <w:rFonts w:cs="Segoe UI"/>
        </w:rPr>
        <w:t>které jsou nutné pro plnění 100 % klimatického tagu, (které je nutné přesně stanovit do úrovně projektu). V případě, že je při</w:t>
      </w:r>
      <w:r w:rsidR="00641F53">
        <w:rPr>
          <w:rFonts w:cs="Segoe UI"/>
        </w:rPr>
        <w:t>ř</w:t>
      </w:r>
      <w:r w:rsidRPr="008263B6">
        <w:rPr>
          <w:rFonts w:cs="Segoe UI"/>
        </w:rPr>
        <w:t>a</w:t>
      </w:r>
      <w:r w:rsidR="00400566">
        <w:rPr>
          <w:rFonts w:cs="Segoe UI"/>
        </w:rPr>
        <w:t>z</w:t>
      </w:r>
      <w:r w:rsidRPr="008263B6">
        <w:rPr>
          <w:rFonts w:cs="Segoe UI"/>
        </w:rPr>
        <w:t>ený koeficient 40 % nebo 0 % je nutné postoupit s detailním posouzením DNSH a případně nastavit doplňující podmínky nebo systém hodnocení projektů / míry podpory. Toto posouzení DNSH a nastavení podmínek by mělo být prioritně provedeno již na úrovni přípravy výzvy a pravidel pro žadatele / přípravy komponenty.</w:t>
      </w:r>
    </w:p>
    <w:p w14:paraId="3874DF07" w14:textId="77777777" w:rsidR="00A32A7E" w:rsidRPr="00204DAC" w:rsidRDefault="00A32A7E" w:rsidP="00204DAC">
      <w:pPr>
        <w:pStyle w:val="Nadpis3"/>
      </w:pPr>
      <w:bookmarkStart w:id="123" w:name="_Hlk193984901"/>
      <w:r w:rsidRPr="00204DAC">
        <w:t>Stanovení podmínek DNSH</w:t>
      </w:r>
    </w:p>
    <w:bookmarkEnd w:id="123"/>
    <w:p w14:paraId="769CE9AE" w14:textId="77777777" w:rsidR="00A32A7E" w:rsidRDefault="00A32A7E" w:rsidP="00A32A7E">
      <w:pPr>
        <w:rPr>
          <w:rFonts w:cs="Segoe UI"/>
        </w:rPr>
      </w:pPr>
      <w:r>
        <w:t xml:space="preserve">V případě, že na základě posouzení příspěvku opatření k </w:t>
      </w:r>
      <w:r w:rsidRPr="002D74BE">
        <w:rPr>
          <w:rFonts w:cs="Segoe UI"/>
        </w:rPr>
        <w:t>prevenc</w:t>
      </w:r>
      <w:r>
        <w:rPr>
          <w:rFonts w:cs="Segoe UI"/>
        </w:rPr>
        <w:t>i</w:t>
      </w:r>
      <w:r w:rsidRPr="002D74BE">
        <w:rPr>
          <w:rFonts w:cs="Segoe UI"/>
        </w:rPr>
        <w:t xml:space="preserve"> a omezování znečištění</w:t>
      </w:r>
      <w:r>
        <w:t xml:space="preserve"> bylo vyhodnoceno, že dané opatření nepředstavuje významný přínos k tomuto cíli, je nutné přistoupit k detailnímu posouzení DNSH.</w:t>
      </w:r>
    </w:p>
    <w:p w14:paraId="7CBDA5C1" w14:textId="77777777" w:rsidR="00A32A7E" w:rsidRPr="002D74BE" w:rsidRDefault="00A32A7E" w:rsidP="00A32A7E">
      <w:pPr>
        <w:rPr>
          <w:rFonts w:cs="Segoe UI"/>
        </w:rPr>
      </w:pPr>
      <w:r w:rsidRPr="002D74BE">
        <w:rPr>
          <w:rFonts w:cs="Segoe UI"/>
        </w:rPr>
        <w:t>Detailní posouzení je možné uchopit následujícími způsoby:</w:t>
      </w:r>
    </w:p>
    <w:p w14:paraId="4C8664CB" w14:textId="69746273" w:rsidR="00A32A7E" w:rsidRPr="00204DAC" w:rsidRDefault="00A32A7E" w:rsidP="00141780">
      <w:pPr>
        <w:pStyle w:val="Nadpis4"/>
      </w:pPr>
      <w:bookmarkStart w:id="124" w:name="_Hlk193719721"/>
      <w:r w:rsidRPr="00204DAC">
        <w:t xml:space="preserve">Plnění zásady DNSH na základě </w:t>
      </w:r>
      <w:r w:rsidR="00263794">
        <w:t>individuálního posouzení</w:t>
      </w:r>
    </w:p>
    <w:p w14:paraId="5AD58F9E" w14:textId="77777777" w:rsidR="00A32A7E" w:rsidRPr="007F478C" w:rsidRDefault="00A32A7E" w:rsidP="00A32A7E">
      <w:pPr>
        <w:rPr>
          <w:rFonts w:cs="Segoe UI"/>
        </w:rPr>
      </w:pPr>
      <w:bookmarkStart w:id="125" w:name="_Hlk193985049"/>
      <w:r>
        <w:rPr>
          <w:rFonts w:cs="Segoe UI"/>
        </w:rPr>
        <w:t>V případě vlastního vyhodnocení rizik a posouzení souladu se zásadou DNSH, je nutné dodržet následující podmínky:</w:t>
      </w:r>
    </w:p>
    <w:bookmarkEnd w:id="125"/>
    <w:p w14:paraId="4DF3925D" w14:textId="08E56A7C" w:rsidR="00A32A7E" w:rsidRPr="00204DAC" w:rsidRDefault="00204DAC" w:rsidP="00141780">
      <w:pPr>
        <w:pStyle w:val="Nadpis5"/>
      </w:pPr>
      <w:r>
        <w:t>E</w:t>
      </w:r>
      <w:r w:rsidR="00A32A7E" w:rsidRPr="00204DAC">
        <w:t>kologické zátěže</w:t>
      </w:r>
    </w:p>
    <w:p w14:paraId="6452C08F" w14:textId="1E35672E" w:rsidR="00A32A7E" w:rsidRPr="002D74BE" w:rsidRDefault="00A32A7E" w:rsidP="00A32A7E">
      <w:pPr>
        <w:rPr>
          <w:rFonts w:cs="Segoe UI"/>
        </w:rPr>
      </w:pPr>
      <w:r w:rsidRPr="002D74BE">
        <w:rPr>
          <w:rFonts w:cs="Segoe UI"/>
        </w:rPr>
        <w:t>Nutnou podmínkou pro podporu opatření je, aby byly předem vyřešeny ekologické zátěže, pokud se na daném pozemku nebo objektu nacházejí nehledě na to, zda tyto ekologické zátěže byly způsobeny současným majitelem / příjemcem podpory.</w:t>
      </w:r>
      <w:r w:rsidR="00253280">
        <w:rPr>
          <w:rFonts w:cs="Segoe UI"/>
        </w:rPr>
        <w:t xml:space="preserve"> </w:t>
      </w:r>
      <w:r w:rsidRPr="002D74BE">
        <w:rPr>
          <w:rFonts w:cs="Segoe UI"/>
        </w:rPr>
        <w:t>Podpora objektů a zejm. hospodářských objektů a zařízení na území s ekologickou zátěží není v souladu se zásadou DNSH, jelikož nadále dochází ke kontaminaci podložních zemin či podzemních vod, které pak následně setrvale kontaminují své okolí, sousední pozemky, vodní zdroje či ekosystémy.</w:t>
      </w:r>
    </w:p>
    <w:p w14:paraId="55B22815" w14:textId="77777777" w:rsidR="00A32A7E" w:rsidRPr="002D74BE" w:rsidRDefault="00A32A7E" w:rsidP="00A32A7E">
      <w:pPr>
        <w:rPr>
          <w:rFonts w:cs="Segoe UI"/>
        </w:rPr>
      </w:pPr>
      <w:r w:rsidRPr="002D74BE">
        <w:rPr>
          <w:rFonts w:cs="Segoe UI"/>
        </w:rPr>
        <w:t xml:space="preserve">S odkazem na ustanovení Ústavy ČR oddíl první článek 11. bod (3) </w:t>
      </w:r>
      <w:r w:rsidRPr="002D74BE">
        <w:rPr>
          <w:rFonts w:cs="Segoe UI"/>
          <w:i/>
        </w:rPr>
        <w:t xml:space="preserve">„Vlastnictví zavazuje. Nesmí být zneužito na újmu práv druhých anebo v rozporu se zákonem chráněnými obecnými zájmy. </w:t>
      </w:r>
      <w:r w:rsidRPr="002D74BE">
        <w:rPr>
          <w:rFonts w:cs="Segoe UI"/>
          <w:i/>
        </w:rPr>
        <w:lastRenderedPageBreak/>
        <w:t>Jeho výkon nesmí poškozovat lidské zdraví, přírodu a životní prostředí nad míru stanovenou zákonem.“</w:t>
      </w:r>
    </w:p>
    <w:p w14:paraId="2EB88A51" w14:textId="77777777" w:rsidR="00A32A7E" w:rsidRPr="002D74BE" w:rsidRDefault="00A32A7E" w:rsidP="00A32A7E">
      <w:pPr>
        <w:rPr>
          <w:rFonts w:cs="Segoe UI"/>
        </w:rPr>
      </w:pPr>
      <w:r w:rsidRPr="002D74BE">
        <w:rPr>
          <w:rFonts w:cs="Segoe UI"/>
        </w:rPr>
        <w:t xml:space="preserve">Majitelé kontaminovaných pozemků a objektů nejsou oprávněni ke kofinancování jiných investičních projektů na kontaminovaných pozemcích a stavbách, mimo projektů zaměřených na průzkum a sanaci kontaminovaných míst, až do doby, kdy </w:t>
      </w:r>
      <w:proofErr w:type="gramStart"/>
      <w:r w:rsidRPr="002D74BE">
        <w:rPr>
          <w:rFonts w:cs="Segoe UI"/>
        </w:rPr>
        <w:t>prokáží</w:t>
      </w:r>
      <w:proofErr w:type="gramEnd"/>
      <w:r w:rsidRPr="002D74BE">
        <w:rPr>
          <w:rFonts w:cs="Segoe UI"/>
        </w:rPr>
        <w:t>, že kontaminace již nepoškozuje dobrý stav vod a půdy v souladu se zásadou DNSH.</w:t>
      </w:r>
    </w:p>
    <w:p w14:paraId="789F1359" w14:textId="3C1E08EF" w:rsidR="00A32A7E" w:rsidRPr="002D74BE" w:rsidRDefault="00A32A7E" w:rsidP="00A32A7E">
      <w:pPr>
        <w:rPr>
          <w:rFonts w:cs="Segoe UI"/>
        </w:rPr>
      </w:pPr>
      <w:r w:rsidRPr="002D74BE">
        <w:rPr>
          <w:rFonts w:cs="Segoe UI"/>
        </w:rPr>
        <w:t xml:space="preserve">Na kontaminovaných nebo potenciálně kontaminovaných pozemcích a objektech </w:t>
      </w:r>
      <w:r w:rsidR="00036550">
        <w:rPr>
          <w:rFonts w:cs="Segoe UI"/>
        </w:rPr>
        <w:t xml:space="preserve">evidovaných v databázi SEKM </w:t>
      </w:r>
      <w:r w:rsidR="00813335">
        <w:rPr>
          <w:rFonts w:cs="Segoe UI"/>
        </w:rPr>
        <w:t xml:space="preserve">(Systém evidence kontaminovaných míst) </w:t>
      </w:r>
      <w:r w:rsidR="00036550">
        <w:rPr>
          <w:rFonts w:cs="Segoe UI"/>
        </w:rPr>
        <w:t xml:space="preserve">musí být ze strany podporovaných projektů </w:t>
      </w:r>
      <w:r w:rsidRPr="002D74BE">
        <w:rPr>
          <w:rFonts w:cs="Segoe UI"/>
        </w:rPr>
        <w:t xml:space="preserve">prokázáno, že míra kontaminace nepředstavuje rizika pro lidské zdraví či ekosystémy, a že nedochází k šíření kontaminace. </w:t>
      </w:r>
      <w:r w:rsidR="00036550">
        <w:rPr>
          <w:rFonts w:cs="Segoe UI"/>
        </w:rPr>
        <w:t xml:space="preserve">Pokud je na předmětech podpory evidován zápis s prioritou </w:t>
      </w:r>
      <w:r w:rsidR="00036550" w:rsidRPr="0024485B">
        <w:rPr>
          <w:rFonts w:cs="Segoe UI"/>
        </w:rPr>
        <w:t>P3, P4, A1, A2 případně A3</w:t>
      </w:r>
      <w:r w:rsidR="00036550">
        <w:rPr>
          <w:rFonts w:cs="Segoe UI"/>
        </w:rPr>
        <w:t>, musí být n</w:t>
      </w:r>
      <w:r w:rsidRPr="002D74BE">
        <w:rPr>
          <w:rFonts w:cs="Segoe UI"/>
        </w:rPr>
        <w:t>a lokalitě proveden průzkum kontaminace v úrovni ekologického auditu či analýzy rizik (v závislosti na charakteru lokality, a závažnosti a rozsahu kontaminace) podle metodického pokynu MŽP (Analýza rizik kontaminovaného území</w:t>
      </w:r>
      <w:r w:rsidRPr="002D74BE">
        <w:rPr>
          <w:rStyle w:val="Znakapoznpodarou"/>
          <w:rFonts w:cs="Segoe UI"/>
        </w:rPr>
        <w:footnoteReference w:id="66"/>
      </w:r>
      <w:r w:rsidRPr="002D74BE">
        <w:rPr>
          <w:rFonts w:cs="Segoe UI"/>
        </w:rPr>
        <w:t>), nebo sanace v návaznosti na výsledky předcházející Analýzy rizik.</w:t>
      </w:r>
      <w:r w:rsidRPr="002D74BE">
        <w:rPr>
          <w:rStyle w:val="Znakapoznpodarou"/>
          <w:rFonts w:cs="Segoe UI"/>
        </w:rPr>
        <w:footnoteReference w:id="67"/>
      </w:r>
      <w:r w:rsidRPr="002D74BE">
        <w:rPr>
          <w:rFonts w:cs="Segoe UI"/>
        </w:rPr>
        <w:t xml:space="preserve"> Na základě provedených prací a jejich závěrů je upraven záznam SEKM a změněna priorita lokality. </w:t>
      </w:r>
      <w:r w:rsidR="0038094B">
        <w:rPr>
          <w:rFonts w:cs="Segoe UI"/>
        </w:rPr>
        <w:t>Obdobně, p</w:t>
      </w:r>
      <w:r w:rsidR="0038094B" w:rsidRPr="0024485B">
        <w:rPr>
          <w:rFonts w:cs="Segoe UI"/>
          <w:lang w:eastAsia="cs-CZ"/>
        </w:rPr>
        <w:t>okud již průzkumné nebo sanační práce byly na kontaminované lokalitě provedeny, zajistí žadatel anotaci výsledků všech těchto prací a souvisejících dokumentů do</w:t>
      </w:r>
      <w:r w:rsidR="0038094B" w:rsidRPr="0024485B">
        <w:rPr>
          <w:rFonts w:cs="Segoe UI"/>
        </w:rPr>
        <w:t> </w:t>
      </w:r>
      <w:r w:rsidR="0038094B" w:rsidRPr="0024485B">
        <w:rPr>
          <w:rFonts w:cs="Segoe UI"/>
          <w:lang w:eastAsia="cs-CZ"/>
        </w:rPr>
        <w:t>databáze SEKM a aktualizaci tomu odpovídající priority SEKM.</w:t>
      </w:r>
      <w:r w:rsidR="0038094B">
        <w:rPr>
          <w:rFonts w:cs="Segoe UI"/>
          <w:lang w:eastAsia="cs-CZ"/>
        </w:rPr>
        <w:t xml:space="preserve"> </w:t>
      </w:r>
      <w:r w:rsidRPr="002D74BE">
        <w:rPr>
          <w:rFonts w:cs="Segoe UI"/>
        </w:rPr>
        <w:t xml:space="preserve">Rozsah prací potřebných k změně priority a odpovědnost za jejich výsledky je plně v zodpovědnosti odborně způsobilé osoby (držitele </w:t>
      </w:r>
      <w:r w:rsidRPr="002D74BE">
        <w:rPr>
          <w:rFonts w:cs="Segoe UI"/>
          <w:b/>
        </w:rPr>
        <w:t xml:space="preserve">Osvědčení </w:t>
      </w:r>
      <w:r w:rsidRPr="002D74BE">
        <w:rPr>
          <w:rFonts w:cs="Segoe UI"/>
          <w:b/>
          <w:bCs/>
        </w:rPr>
        <w:t>o odborné způsobilosti</w:t>
      </w:r>
      <w:r w:rsidRPr="002D74BE">
        <w:rPr>
          <w:rFonts w:cs="Segoe UI"/>
        </w:rPr>
        <w:t xml:space="preserve"> podle §3 odst. 3 zákona č. 62/1988 Sb., o geologických pracích, ve znění pozdějších předpisů, projektovat, provádět a vyhodnocovat geologické práce </w:t>
      </w:r>
      <w:r w:rsidRPr="002D74BE">
        <w:rPr>
          <w:rFonts w:cs="Segoe UI"/>
          <w:b/>
          <w:bCs/>
        </w:rPr>
        <w:t>v oboru Sanační geologické práce – sanace</w:t>
      </w:r>
      <w:r w:rsidRPr="002D74BE">
        <w:rPr>
          <w:rFonts w:cs="Segoe UI"/>
        </w:rPr>
        <w:t xml:space="preserve"> dle § 2 odst. 1 písm. g) zákona č. 62/1988 Sb., o geologických pracích, ve znění pozdějších předpisů.</w:t>
      </w:r>
    </w:p>
    <w:p w14:paraId="09B639F1" w14:textId="73F2CF0B" w:rsidR="00A32A7E" w:rsidRPr="002D74BE" w:rsidRDefault="00A32A7E" w:rsidP="00A32A7E">
      <w:pPr>
        <w:rPr>
          <w:rFonts w:cs="Segoe UI"/>
        </w:rPr>
      </w:pPr>
      <w:r w:rsidRPr="002D74BE">
        <w:rPr>
          <w:rFonts w:cs="Segoe UI"/>
        </w:rPr>
        <w:t xml:space="preserve">Pro průzkum a sanaci ekologických zátěží lze využít podpor v rámci OPŽP. </w:t>
      </w:r>
      <w:r w:rsidR="000079B9">
        <w:rPr>
          <w:rFonts w:cs="Segoe UI"/>
        </w:rPr>
        <w:t>Prohlášení o prověření</w:t>
      </w:r>
      <w:r w:rsidR="000079B9" w:rsidRPr="002D74BE">
        <w:rPr>
          <w:rFonts w:cs="Segoe UI"/>
        </w:rPr>
        <w:t xml:space="preserve"> </w:t>
      </w:r>
      <w:r w:rsidRPr="002D74BE">
        <w:rPr>
          <w:rFonts w:cs="Segoe UI"/>
        </w:rPr>
        <w:t>lokality</w:t>
      </w:r>
      <w:r w:rsidR="000079B9">
        <w:rPr>
          <w:rFonts w:cs="Segoe UI"/>
        </w:rPr>
        <w:t xml:space="preserve"> v SEKM</w:t>
      </w:r>
      <w:r w:rsidRPr="002D74BE">
        <w:rPr>
          <w:rFonts w:cs="Segoe UI"/>
        </w:rPr>
        <w:t xml:space="preserve"> je možné doložit formulářem Systému evidence kontaminovaných míst</w:t>
      </w:r>
      <w:r w:rsidRPr="002D74BE">
        <w:rPr>
          <w:rStyle w:val="Znakapoznpodarou"/>
          <w:rFonts w:cs="Segoe UI"/>
        </w:rPr>
        <w:footnoteReference w:id="68"/>
      </w:r>
      <w:r w:rsidRPr="002D74BE">
        <w:rPr>
          <w:rFonts w:cs="Segoe UI"/>
        </w:rPr>
        <w:t>, případně stanoviskem Odboru environmentálních rizik a ekologických škod MŽP.</w:t>
      </w:r>
    </w:p>
    <w:p w14:paraId="2ED988BA" w14:textId="77777777" w:rsidR="00A32A7E" w:rsidRPr="002D74BE" w:rsidRDefault="00A32A7E" w:rsidP="00141780">
      <w:pPr>
        <w:pStyle w:val="Nadpis5"/>
        <w:rPr>
          <w:bCs/>
        </w:rPr>
      </w:pPr>
      <w:r w:rsidRPr="002D74BE">
        <w:t>Prevence světelného znečištění</w:t>
      </w:r>
    </w:p>
    <w:p w14:paraId="33266CF5" w14:textId="77777777" w:rsidR="000937D0" w:rsidRPr="002D74BE" w:rsidRDefault="000937D0" w:rsidP="000937D0">
      <w:pPr>
        <w:rPr>
          <w:rFonts w:cs="Segoe UI"/>
        </w:rPr>
      </w:pPr>
      <w:r w:rsidRPr="002D74BE">
        <w:rPr>
          <w:rFonts w:cs="Segoe UI"/>
        </w:rPr>
        <w:t xml:space="preserve">Při výměně či nové instalaci osvětlení je nutné vycházet z 5 principů zodpovědného osvětlování dle asociace </w:t>
      </w:r>
      <w:hyperlink r:id="rId103" w:history="1">
        <w:proofErr w:type="spellStart"/>
        <w:r w:rsidRPr="002D74BE">
          <w:rPr>
            <w:rStyle w:val="Hypertextovodkaz"/>
            <w:rFonts w:cs="Segoe UI"/>
          </w:rPr>
          <w:t>DarkSky</w:t>
        </w:r>
        <w:proofErr w:type="spellEnd"/>
        <w:r w:rsidRPr="002D74BE">
          <w:rPr>
            <w:rStyle w:val="Hypertextovodkaz"/>
            <w:rFonts w:cs="Segoe UI"/>
          </w:rPr>
          <w:t xml:space="preserve"> International</w:t>
        </w:r>
      </w:hyperlink>
      <w:r w:rsidRPr="002D74BE">
        <w:rPr>
          <w:rFonts w:cs="Segoe UI"/>
        </w:rPr>
        <w:t>.</w:t>
      </w:r>
    </w:p>
    <w:p w14:paraId="642EB2B1" w14:textId="03FE43E7" w:rsidR="000937D0" w:rsidRDefault="000937D0" w:rsidP="000937D0">
      <w:pPr>
        <w:rPr>
          <w:rFonts w:cs="Segoe UI"/>
        </w:rPr>
      </w:pPr>
      <w:r w:rsidRPr="002D74BE">
        <w:rPr>
          <w:rFonts w:cs="Segoe UI"/>
        </w:rPr>
        <w:t xml:space="preserve">Pro </w:t>
      </w:r>
      <w:r>
        <w:rPr>
          <w:rFonts w:cs="Segoe UI"/>
        </w:rPr>
        <w:t>snížení</w:t>
      </w:r>
      <w:r w:rsidRPr="002D74BE">
        <w:rPr>
          <w:rFonts w:cs="Segoe UI"/>
        </w:rPr>
        <w:t xml:space="preserve"> negativního dopadu na životní prostředí, je</w:t>
      </w:r>
      <w:r>
        <w:rPr>
          <w:rFonts w:cs="Segoe UI"/>
        </w:rPr>
        <w:t xml:space="preserve"> nezbytné postupovat v souladu s technickou normou ČSN 360459 Omezování nežádoucích dopadů venkovního osvětlení a omezovat využití zdrojů s vysokým podílem krátkovlnného záření (do 500</w:t>
      </w:r>
      <w:r w:rsidR="002968EC">
        <w:rPr>
          <w:rFonts w:cs="Segoe UI"/>
        </w:rPr>
        <w:t> </w:t>
      </w:r>
      <w:proofErr w:type="spellStart"/>
      <w:r>
        <w:rPr>
          <w:rFonts w:cs="Segoe UI"/>
        </w:rPr>
        <w:t>nm</w:t>
      </w:r>
      <w:proofErr w:type="spellEnd"/>
      <w:r>
        <w:rPr>
          <w:rFonts w:cs="Segoe UI"/>
        </w:rPr>
        <w:t>).</w:t>
      </w:r>
    </w:p>
    <w:p w14:paraId="6E8A1946" w14:textId="4C7FA53F" w:rsidR="000937D0" w:rsidRDefault="000937D0" w:rsidP="000937D0">
      <w:pPr>
        <w:rPr>
          <w:rFonts w:cs="Segoe UI"/>
        </w:rPr>
      </w:pPr>
      <w:r>
        <w:rPr>
          <w:rFonts w:cs="Segoe UI"/>
        </w:rPr>
        <w:t>Technická norma ČSN 360459 definuje tzv. zóny světelného prostředí (Tabulka 1), u kterých následně určuje maximální hodnoty parametrů, zejména náhradní teplotu chromatičnosti (CCT). Tento parametr je v tabulce doplněn o maximální hodnoty podílu modré složky světla (U500) (Tabulka 2)</w:t>
      </w:r>
      <w:r w:rsidR="002515CA">
        <w:rPr>
          <w:rFonts w:cs="Segoe UI"/>
        </w:rPr>
        <w:t>.</w:t>
      </w:r>
    </w:p>
    <w:p w14:paraId="48C67C73" w14:textId="1D8C6E55" w:rsidR="000937D0" w:rsidRDefault="000937D0" w:rsidP="000937D0">
      <w:pPr>
        <w:pStyle w:val="Titulek"/>
      </w:pPr>
      <w:r>
        <w:lastRenderedPageBreak/>
        <w:t xml:space="preserve">Tabulka </w:t>
      </w:r>
      <w:r>
        <w:fldChar w:fldCharType="begin"/>
      </w:r>
      <w:r>
        <w:instrText xml:space="preserve"> SEQ Tabulka \* ARABIC </w:instrText>
      </w:r>
      <w:r>
        <w:fldChar w:fldCharType="separate"/>
      </w:r>
      <w:r>
        <w:rPr>
          <w:noProof/>
        </w:rPr>
        <w:t>1</w:t>
      </w:r>
      <w:r>
        <w:rPr>
          <w:noProof/>
        </w:rPr>
        <w:fldChar w:fldCharType="end"/>
      </w:r>
      <w:r>
        <w:t xml:space="preserve">: </w:t>
      </w:r>
      <w:r w:rsidRPr="006E56AB">
        <w:t>Specifikace zón světelného prostředí</w:t>
      </w:r>
    </w:p>
    <w:tbl>
      <w:tblPr>
        <w:tblW w:w="90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403"/>
        <w:gridCol w:w="1134"/>
        <w:gridCol w:w="6520"/>
      </w:tblGrid>
      <w:tr w:rsidR="000937D0" w:rsidRPr="002E0510" w14:paraId="3BC29382" w14:textId="77777777" w:rsidTr="009B1BC4">
        <w:trPr>
          <w:trHeight w:val="476"/>
        </w:trPr>
        <w:tc>
          <w:tcPr>
            <w:tcW w:w="1403" w:type="dxa"/>
            <w:vMerge w:val="restart"/>
            <w:tcBorders>
              <w:top w:val="single" w:sz="12" w:space="0" w:color="auto"/>
            </w:tcBorders>
            <w:noWrap/>
            <w:vAlign w:val="center"/>
            <w:hideMark/>
          </w:tcPr>
          <w:p w14:paraId="521EA50D" w14:textId="77777777" w:rsidR="000937D0" w:rsidRPr="00DB1A0B" w:rsidRDefault="000937D0" w:rsidP="009B1BC4">
            <w:pPr>
              <w:keepNext/>
              <w:rPr>
                <w:b/>
              </w:rPr>
            </w:pPr>
            <w:r w:rsidRPr="00DB1A0B">
              <w:rPr>
                <w:b/>
              </w:rPr>
              <w:t xml:space="preserve">Zóna světelného prostředí </w:t>
            </w:r>
          </w:p>
        </w:tc>
        <w:tc>
          <w:tcPr>
            <w:tcW w:w="1134" w:type="dxa"/>
            <w:vMerge w:val="restart"/>
            <w:tcBorders>
              <w:top w:val="single" w:sz="12" w:space="0" w:color="auto"/>
            </w:tcBorders>
            <w:noWrap/>
            <w:vAlign w:val="center"/>
            <w:hideMark/>
          </w:tcPr>
          <w:p w14:paraId="7CAED742" w14:textId="77777777" w:rsidR="000937D0" w:rsidRPr="00DB1A0B" w:rsidRDefault="000937D0" w:rsidP="009B1BC4">
            <w:pPr>
              <w:rPr>
                <w:b/>
              </w:rPr>
            </w:pPr>
            <w:r w:rsidRPr="00DB1A0B">
              <w:rPr>
                <w:b/>
              </w:rPr>
              <w:t>Světelné prostředí</w:t>
            </w:r>
          </w:p>
        </w:tc>
        <w:tc>
          <w:tcPr>
            <w:tcW w:w="6520" w:type="dxa"/>
            <w:vMerge w:val="restart"/>
            <w:tcBorders>
              <w:top w:val="single" w:sz="12" w:space="0" w:color="auto"/>
            </w:tcBorders>
            <w:noWrap/>
            <w:vAlign w:val="center"/>
            <w:hideMark/>
          </w:tcPr>
          <w:p w14:paraId="5A8502A0" w14:textId="77777777" w:rsidR="000937D0" w:rsidRPr="00DB1A0B" w:rsidRDefault="000937D0" w:rsidP="009B1BC4">
            <w:pPr>
              <w:rPr>
                <w:b/>
              </w:rPr>
            </w:pPr>
            <w:r w:rsidRPr="00DB1A0B">
              <w:rPr>
                <w:b/>
              </w:rPr>
              <w:t>Specifikace</w:t>
            </w:r>
          </w:p>
        </w:tc>
      </w:tr>
      <w:tr w:rsidR="000937D0" w:rsidRPr="002E0510" w14:paraId="7E26D7A8" w14:textId="77777777" w:rsidTr="009B1BC4">
        <w:trPr>
          <w:trHeight w:val="457"/>
        </w:trPr>
        <w:tc>
          <w:tcPr>
            <w:tcW w:w="1403" w:type="dxa"/>
            <w:vMerge/>
            <w:tcBorders>
              <w:bottom w:val="single" w:sz="12" w:space="0" w:color="auto"/>
            </w:tcBorders>
            <w:noWrap/>
            <w:vAlign w:val="center"/>
          </w:tcPr>
          <w:p w14:paraId="32A1C4D5" w14:textId="77777777" w:rsidR="000937D0" w:rsidRPr="000937D0" w:rsidRDefault="000937D0" w:rsidP="009B1BC4">
            <w:pPr>
              <w:keepNext/>
            </w:pPr>
          </w:p>
        </w:tc>
        <w:tc>
          <w:tcPr>
            <w:tcW w:w="1134" w:type="dxa"/>
            <w:vMerge/>
            <w:tcBorders>
              <w:bottom w:val="single" w:sz="12" w:space="0" w:color="auto"/>
            </w:tcBorders>
            <w:noWrap/>
            <w:vAlign w:val="center"/>
          </w:tcPr>
          <w:p w14:paraId="0308FAB8" w14:textId="77777777" w:rsidR="000937D0" w:rsidRPr="000937D0" w:rsidRDefault="000937D0" w:rsidP="009B1BC4"/>
        </w:tc>
        <w:tc>
          <w:tcPr>
            <w:tcW w:w="6520" w:type="dxa"/>
            <w:vMerge/>
            <w:tcBorders>
              <w:bottom w:val="single" w:sz="12" w:space="0" w:color="auto"/>
            </w:tcBorders>
            <w:noWrap/>
            <w:vAlign w:val="center"/>
          </w:tcPr>
          <w:p w14:paraId="0A87286F" w14:textId="77777777" w:rsidR="000937D0" w:rsidRPr="000937D0" w:rsidRDefault="000937D0" w:rsidP="009B1BC4"/>
        </w:tc>
      </w:tr>
      <w:tr w:rsidR="000937D0" w:rsidRPr="002E0510" w14:paraId="62EE8835" w14:textId="77777777" w:rsidTr="009B1BC4">
        <w:trPr>
          <w:trHeight w:val="301"/>
        </w:trPr>
        <w:tc>
          <w:tcPr>
            <w:tcW w:w="1403" w:type="dxa"/>
            <w:tcBorders>
              <w:top w:val="single" w:sz="12" w:space="0" w:color="auto"/>
              <w:bottom w:val="single" w:sz="6" w:space="0" w:color="auto"/>
            </w:tcBorders>
            <w:noWrap/>
            <w:vAlign w:val="center"/>
          </w:tcPr>
          <w:p w14:paraId="332C34BE" w14:textId="77777777" w:rsidR="000937D0" w:rsidRPr="00DB1A0B" w:rsidRDefault="000937D0" w:rsidP="009B1BC4">
            <w:pPr>
              <w:keepNext/>
              <w:jc w:val="left"/>
            </w:pPr>
            <w:r w:rsidRPr="00DB1A0B">
              <w:t>Z0</w:t>
            </w:r>
          </w:p>
        </w:tc>
        <w:tc>
          <w:tcPr>
            <w:tcW w:w="1134" w:type="dxa"/>
            <w:tcBorders>
              <w:top w:val="single" w:sz="12" w:space="0" w:color="auto"/>
              <w:bottom w:val="single" w:sz="6" w:space="0" w:color="auto"/>
            </w:tcBorders>
            <w:vAlign w:val="center"/>
          </w:tcPr>
          <w:p w14:paraId="41F03D28" w14:textId="77777777" w:rsidR="000937D0" w:rsidRPr="00DB1A0B" w:rsidRDefault="000937D0" w:rsidP="009B1BC4">
            <w:r w:rsidRPr="00DB1A0B">
              <w:t>velmi tmavé</w:t>
            </w:r>
          </w:p>
        </w:tc>
        <w:tc>
          <w:tcPr>
            <w:tcW w:w="6520" w:type="dxa"/>
            <w:tcBorders>
              <w:top w:val="single" w:sz="12" w:space="0" w:color="auto"/>
              <w:bottom w:val="single" w:sz="6" w:space="0" w:color="auto"/>
            </w:tcBorders>
            <w:noWrap/>
            <w:vAlign w:val="center"/>
          </w:tcPr>
          <w:p w14:paraId="38670318" w14:textId="77777777" w:rsidR="000937D0" w:rsidRPr="00DB1A0B" w:rsidRDefault="000937D0" w:rsidP="009B1BC4">
            <w:r w:rsidRPr="00DB1A0B">
              <w:t xml:space="preserve">Nezastavěná území v chráněných oblastech podle této </w:t>
            </w:r>
            <w:proofErr w:type="gramStart"/>
            <w:r w:rsidRPr="00DB1A0B">
              <w:t>normy</w:t>
            </w:r>
            <w:r w:rsidRPr="00DB1A0B">
              <w:rPr>
                <w:vertAlign w:val="superscript"/>
              </w:rPr>
              <w:t xml:space="preserve"> </w:t>
            </w:r>
            <w:r w:rsidRPr="00DB1A0B">
              <w:t>- území</w:t>
            </w:r>
            <w:proofErr w:type="gramEnd"/>
            <w:r w:rsidRPr="00DB1A0B">
              <w:t xml:space="preserve"> národních parků a jejich ochranných pásem, chráněných krajinných oblastí, přírodních parků a oblastí tmavé oblohy</w:t>
            </w:r>
          </w:p>
        </w:tc>
      </w:tr>
      <w:tr w:rsidR="000937D0" w:rsidRPr="002E0510" w14:paraId="467E081E" w14:textId="77777777" w:rsidTr="009B1BC4">
        <w:trPr>
          <w:trHeight w:val="301"/>
        </w:trPr>
        <w:tc>
          <w:tcPr>
            <w:tcW w:w="1403" w:type="dxa"/>
            <w:tcBorders>
              <w:top w:val="single" w:sz="6" w:space="0" w:color="auto"/>
              <w:bottom w:val="single" w:sz="6" w:space="0" w:color="auto"/>
            </w:tcBorders>
            <w:noWrap/>
            <w:vAlign w:val="center"/>
            <w:hideMark/>
          </w:tcPr>
          <w:p w14:paraId="73EC46F2" w14:textId="77777777" w:rsidR="000937D0" w:rsidRPr="00DB1A0B" w:rsidRDefault="000937D0" w:rsidP="009B1BC4">
            <w:pPr>
              <w:keepNext/>
              <w:jc w:val="left"/>
            </w:pPr>
            <w:r w:rsidRPr="00DB1A0B">
              <w:t>Z1</w:t>
            </w:r>
          </w:p>
          <w:p w14:paraId="4A6AAF1E" w14:textId="77777777" w:rsidR="000937D0" w:rsidRPr="00DB1A0B" w:rsidRDefault="000937D0" w:rsidP="009B1BC4">
            <w:pPr>
              <w:keepNext/>
              <w:jc w:val="left"/>
            </w:pPr>
          </w:p>
        </w:tc>
        <w:tc>
          <w:tcPr>
            <w:tcW w:w="1134" w:type="dxa"/>
            <w:tcBorders>
              <w:top w:val="single" w:sz="6" w:space="0" w:color="auto"/>
              <w:bottom w:val="single" w:sz="6" w:space="0" w:color="auto"/>
            </w:tcBorders>
            <w:vAlign w:val="center"/>
            <w:hideMark/>
          </w:tcPr>
          <w:p w14:paraId="79CCFFD1" w14:textId="77777777" w:rsidR="000937D0" w:rsidRPr="00DB1A0B" w:rsidRDefault="000937D0" w:rsidP="009B1BC4">
            <w:r w:rsidRPr="00DB1A0B">
              <w:t>tmavé</w:t>
            </w:r>
          </w:p>
        </w:tc>
        <w:tc>
          <w:tcPr>
            <w:tcW w:w="6520" w:type="dxa"/>
            <w:tcBorders>
              <w:top w:val="single" w:sz="6" w:space="0" w:color="auto"/>
              <w:bottom w:val="single" w:sz="6" w:space="0" w:color="auto"/>
            </w:tcBorders>
            <w:noWrap/>
            <w:vAlign w:val="center"/>
            <w:hideMark/>
          </w:tcPr>
          <w:p w14:paraId="487EE0AC" w14:textId="77777777" w:rsidR="000937D0" w:rsidRPr="00DB1A0B" w:rsidRDefault="000937D0" w:rsidP="009B1BC4">
            <w:r w:rsidRPr="00DB1A0B">
              <w:t xml:space="preserve">Ostatní nezastavěná území a plochy zeleně přírodního charakteru (které svým rozsahem, charakterem a skladbou odpovídají přírodě blízkému společenstvu) v zastavěném území </w:t>
            </w:r>
          </w:p>
        </w:tc>
      </w:tr>
      <w:tr w:rsidR="000937D0" w:rsidRPr="002E0510" w14:paraId="4B7ACE01" w14:textId="77777777" w:rsidTr="009B1BC4">
        <w:trPr>
          <w:trHeight w:val="301"/>
        </w:trPr>
        <w:tc>
          <w:tcPr>
            <w:tcW w:w="1403" w:type="dxa"/>
            <w:tcBorders>
              <w:top w:val="single" w:sz="6" w:space="0" w:color="auto"/>
              <w:bottom w:val="single" w:sz="6" w:space="0" w:color="auto"/>
            </w:tcBorders>
            <w:noWrap/>
            <w:vAlign w:val="center"/>
            <w:hideMark/>
          </w:tcPr>
          <w:p w14:paraId="6C0A345F" w14:textId="77777777" w:rsidR="000937D0" w:rsidRPr="00DB1A0B" w:rsidRDefault="000937D0" w:rsidP="009B1BC4">
            <w:pPr>
              <w:keepNext/>
              <w:jc w:val="left"/>
            </w:pPr>
            <w:r w:rsidRPr="00DB1A0B">
              <w:t>Z2</w:t>
            </w:r>
          </w:p>
          <w:p w14:paraId="5E8819AB" w14:textId="77777777" w:rsidR="000937D0" w:rsidRPr="00DB1A0B" w:rsidRDefault="000937D0" w:rsidP="009B1BC4">
            <w:pPr>
              <w:keepNext/>
              <w:jc w:val="left"/>
            </w:pPr>
          </w:p>
        </w:tc>
        <w:tc>
          <w:tcPr>
            <w:tcW w:w="1134" w:type="dxa"/>
            <w:tcBorders>
              <w:top w:val="single" w:sz="6" w:space="0" w:color="auto"/>
              <w:bottom w:val="single" w:sz="6" w:space="0" w:color="auto"/>
            </w:tcBorders>
            <w:noWrap/>
            <w:vAlign w:val="center"/>
            <w:hideMark/>
          </w:tcPr>
          <w:p w14:paraId="264DAA63" w14:textId="77777777" w:rsidR="000937D0" w:rsidRPr="00DB1A0B" w:rsidRDefault="000937D0" w:rsidP="009B1BC4">
            <w:r w:rsidRPr="00DB1A0B">
              <w:t>málo světlé</w:t>
            </w:r>
          </w:p>
        </w:tc>
        <w:tc>
          <w:tcPr>
            <w:tcW w:w="6520" w:type="dxa"/>
            <w:tcBorders>
              <w:top w:val="single" w:sz="6" w:space="0" w:color="auto"/>
              <w:bottom w:val="single" w:sz="6" w:space="0" w:color="auto"/>
            </w:tcBorders>
            <w:noWrap/>
            <w:vAlign w:val="center"/>
            <w:hideMark/>
          </w:tcPr>
          <w:p w14:paraId="0C8E55B6" w14:textId="77777777" w:rsidR="000937D0" w:rsidRPr="00DB1A0B" w:rsidRDefault="000937D0" w:rsidP="009B1BC4">
            <w:r w:rsidRPr="00DB1A0B">
              <w:t>Zastavěná území a zastavitelné plochy v obcích O1 a v okrajových a odloučených částech v obcích O2 a O3</w:t>
            </w:r>
          </w:p>
        </w:tc>
      </w:tr>
      <w:tr w:rsidR="000937D0" w:rsidRPr="002E0510" w14:paraId="1ED40B85" w14:textId="77777777" w:rsidTr="009B1BC4">
        <w:trPr>
          <w:trHeight w:val="301"/>
        </w:trPr>
        <w:tc>
          <w:tcPr>
            <w:tcW w:w="1403" w:type="dxa"/>
            <w:tcBorders>
              <w:top w:val="single" w:sz="6" w:space="0" w:color="auto"/>
              <w:bottom w:val="single" w:sz="6" w:space="0" w:color="auto"/>
            </w:tcBorders>
            <w:noWrap/>
            <w:vAlign w:val="center"/>
            <w:hideMark/>
          </w:tcPr>
          <w:p w14:paraId="413DE09E" w14:textId="77777777" w:rsidR="000937D0" w:rsidRPr="00DB1A0B" w:rsidRDefault="000937D0" w:rsidP="009B1BC4">
            <w:pPr>
              <w:keepNext/>
              <w:jc w:val="left"/>
            </w:pPr>
            <w:r w:rsidRPr="00DB1A0B">
              <w:t>Z3</w:t>
            </w:r>
          </w:p>
          <w:p w14:paraId="7DDEE895" w14:textId="77777777" w:rsidR="000937D0" w:rsidRPr="00DB1A0B" w:rsidRDefault="000937D0" w:rsidP="009B1BC4">
            <w:pPr>
              <w:keepNext/>
              <w:jc w:val="left"/>
            </w:pPr>
          </w:p>
        </w:tc>
        <w:tc>
          <w:tcPr>
            <w:tcW w:w="1134" w:type="dxa"/>
            <w:tcBorders>
              <w:top w:val="single" w:sz="6" w:space="0" w:color="auto"/>
              <w:bottom w:val="single" w:sz="6" w:space="0" w:color="auto"/>
            </w:tcBorders>
            <w:noWrap/>
            <w:vAlign w:val="center"/>
            <w:hideMark/>
          </w:tcPr>
          <w:p w14:paraId="6B8D9E80" w14:textId="77777777" w:rsidR="000937D0" w:rsidRPr="00DB1A0B" w:rsidRDefault="000937D0" w:rsidP="009B1BC4">
            <w:r w:rsidRPr="00DB1A0B">
              <w:t>středně světlé</w:t>
            </w:r>
          </w:p>
        </w:tc>
        <w:tc>
          <w:tcPr>
            <w:tcW w:w="6520" w:type="dxa"/>
            <w:tcBorders>
              <w:top w:val="single" w:sz="6" w:space="0" w:color="auto"/>
              <w:bottom w:val="single" w:sz="6" w:space="0" w:color="auto"/>
            </w:tcBorders>
            <w:noWrap/>
            <w:vAlign w:val="center"/>
            <w:hideMark/>
          </w:tcPr>
          <w:p w14:paraId="330696CD" w14:textId="77777777" w:rsidR="000937D0" w:rsidRPr="00DB1A0B" w:rsidRDefault="000937D0" w:rsidP="009B1BC4">
            <w:r w:rsidRPr="00DB1A0B">
              <w:t>Celoměstsky významná centra v obcích O2 a lokální centra a kompaktní vnitřní části v obcích O3</w:t>
            </w:r>
          </w:p>
        </w:tc>
      </w:tr>
      <w:tr w:rsidR="000937D0" w:rsidRPr="002E0510" w14:paraId="70791521" w14:textId="77777777" w:rsidTr="009B1BC4">
        <w:trPr>
          <w:trHeight w:val="316"/>
        </w:trPr>
        <w:tc>
          <w:tcPr>
            <w:tcW w:w="1403" w:type="dxa"/>
            <w:tcBorders>
              <w:top w:val="single" w:sz="6" w:space="0" w:color="auto"/>
              <w:bottom w:val="single" w:sz="12" w:space="0" w:color="auto"/>
            </w:tcBorders>
            <w:noWrap/>
            <w:vAlign w:val="center"/>
            <w:hideMark/>
          </w:tcPr>
          <w:p w14:paraId="47CAA703" w14:textId="77777777" w:rsidR="000937D0" w:rsidRPr="00DB1A0B" w:rsidRDefault="000937D0" w:rsidP="009B1BC4">
            <w:pPr>
              <w:jc w:val="left"/>
            </w:pPr>
            <w:r w:rsidRPr="00DB1A0B">
              <w:t>Z4</w:t>
            </w:r>
          </w:p>
          <w:p w14:paraId="4475F2AF" w14:textId="77777777" w:rsidR="000937D0" w:rsidRPr="00DB1A0B" w:rsidRDefault="000937D0" w:rsidP="009B1BC4">
            <w:pPr>
              <w:jc w:val="left"/>
            </w:pPr>
          </w:p>
        </w:tc>
        <w:tc>
          <w:tcPr>
            <w:tcW w:w="1134" w:type="dxa"/>
            <w:tcBorders>
              <w:top w:val="single" w:sz="6" w:space="0" w:color="auto"/>
              <w:bottom w:val="single" w:sz="12" w:space="0" w:color="auto"/>
            </w:tcBorders>
            <w:noWrap/>
            <w:vAlign w:val="center"/>
            <w:hideMark/>
          </w:tcPr>
          <w:p w14:paraId="7BEC002F" w14:textId="77777777" w:rsidR="000937D0" w:rsidRPr="00DB1A0B" w:rsidRDefault="000937D0" w:rsidP="009B1BC4">
            <w:r w:rsidRPr="00DB1A0B">
              <w:t>velmi světlé</w:t>
            </w:r>
          </w:p>
        </w:tc>
        <w:tc>
          <w:tcPr>
            <w:tcW w:w="6520" w:type="dxa"/>
            <w:tcBorders>
              <w:top w:val="single" w:sz="6" w:space="0" w:color="auto"/>
              <w:bottom w:val="single" w:sz="12" w:space="0" w:color="auto"/>
            </w:tcBorders>
            <w:noWrap/>
            <w:vAlign w:val="center"/>
            <w:hideMark/>
          </w:tcPr>
          <w:p w14:paraId="27CFF865" w14:textId="77777777" w:rsidR="000937D0" w:rsidRPr="00DB1A0B" w:rsidRDefault="000937D0" w:rsidP="009B1BC4">
            <w:r w:rsidRPr="00DB1A0B">
              <w:t>Celoměstsky významná centra v obcích O3</w:t>
            </w:r>
          </w:p>
        </w:tc>
      </w:tr>
    </w:tbl>
    <w:p w14:paraId="702C760A" w14:textId="77777777" w:rsidR="000937D0" w:rsidRDefault="000937D0" w:rsidP="000937D0">
      <w:pPr>
        <w:rPr>
          <w:rFonts w:cs="Segoe UI"/>
        </w:rPr>
      </w:pPr>
    </w:p>
    <w:p w14:paraId="74B962ED" w14:textId="77777777" w:rsidR="000937D0" w:rsidRPr="00DB1A0B" w:rsidRDefault="000937D0" w:rsidP="000937D0">
      <w:pPr>
        <w:rPr>
          <w:b/>
          <w:bCs/>
        </w:rPr>
      </w:pPr>
      <w:r w:rsidRPr="00DB1A0B">
        <w:rPr>
          <w:b/>
          <w:bCs/>
        </w:rPr>
        <w:t>Tabulka 2 – Požadavky na omezení nežádoucích účinků venkovního osvětlení</w:t>
      </w:r>
    </w:p>
    <w:tbl>
      <w:tblPr>
        <w:tblW w:w="9057" w:type="dxa"/>
        <w:tblLayout w:type="fixed"/>
        <w:tblCellMar>
          <w:left w:w="70" w:type="dxa"/>
          <w:right w:w="70" w:type="dxa"/>
        </w:tblCellMar>
        <w:tblLook w:val="04A0" w:firstRow="1" w:lastRow="0" w:firstColumn="1" w:lastColumn="0" w:noHBand="0" w:noVBand="1"/>
      </w:tblPr>
      <w:tblGrid>
        <w:gridCol w:w="3019"/>
        <w:gridCol w:w="3019"/>
        <w:gridCol w:w="3019"/>
      </w:tblGrid>
      <w:tr w:rsidR="000937D0" w:rsidRPr="00745720" w14:paraId="76E336EB" w14:textId="77777777" w:rsidTr="009B1BC4">
        <w:trPr>
          <w:trHeight w:val="600"/>
        </w:trPr>
        <w:tc>
          <w:tcPr>
            <w:tcW w:w="3019" w:type="dxa"/>
            <w:vMerge w:val="restart"/>
            <w:tcBorders>
              <w:top w:val="single" w:sz="12" w:space="0" w:color="auto"/>
              <w:left w:val="single" w:sz="12" w:space="0" w:color="auto"/>
              <w:bottom w:val="single" w:sz="12" w:space="0" w:color="auto"/>
              <w:right w:val="single" w:sz="6" w:space="0" w:color="auto"/>
            </w:tcBorders>
            <w:vAlign w:val="center"/>
            <w:hideMark/>
          </w:tcPr>
          <w:p w14:paraId="071523B3" w14:textId="77777777" w:rsidR="000937D0" w:rsidRPr="00DB1A0B" w:rsidRDefault="000937D0" w:rsidP="009B1BC4">
            <w:pPr>
              <w:jc w:val="center"/>
              <w:rPr>
                <w:rFonts w:cs="Arial"/>
              </w:rPr>
            </w:pPr>
            <w:r w:rsidRPr="00DB1A0B">
              <w:rPr>
                <w:rFonts w:cs="Arial"/>
              </w:rPr>
              <w:t xml:space="preserve">Zóna </w:t>
            </w:r>
          </w:p>
          <w:p w14:paraId="51073868" w14:textId="77777777" w:rsidR="000937D0" w:rsidRPr="00DB1A0B" w:rsidRDefault="000937D0" w:rsidP="009B1BC4">
            <w:pPr>
              <w:jc w:val="center"/>
              <w:rPr>
                <w:rFonts w:cs="Arial"/>
              </w:rPr>
            </w:pPr>
            <w:r w:rsidRPr="00DB1A0B">
              <w:rPr>
                <w:rFonts w:cs="Arial"/>
              </w:rPr>
              <w:t>světelného prostředí</w:t>
            </w:r>
          </w:p>
        </w:tc>
        <w:tc>
          <w:tcPr>
            <w:tcW w:w="3019" w:type="dxa"/>
            <w:tcBorders>
              <w:top w:val="single" w:sz="12" w:space="0" w:color="auto"/>
              <w:left w:val="single" w:sz="6" w:space="0" w:color="auto"/>
              <w:bottom w:val="single" w:sz="6" w:space="0" w:color="auto"/>
              <w:right w:val="single" w:sz="12" w:space="0" w:color="auto"/>
            </w:tcBorders>
            <w:vAlign w:val="center"/>
            <w:hideMark/>
          </w:tcPr>
          <w:p w14:paraId="1D0BD855" w14:textId="77777777" w:rsidR="000937D0" w:rsidRPr="00DB1A0B" w:rsidRDefault="000937D0" w:rsidP="009B1BC4">
            <w:pPr>
              <w:jc w:val="center"/>
              <w:rPr>
                <w:rFonts w:cs="Arial"/>
                <w:b/>
                <w:bCs/>
              </w:rPr>
            </w:pPr>
            <w:r w:rsidRPr="00DB1A0B">
              <w:rPr>
                <w:rFonts w:cs="Arial"/>
                <w:b/>
                <w:bCs/>
              </w:rPr>
              <w:t>Náhradní teplota</w:t>
            </w:r>
          </w:p>
          <w:p w14:paraId="6A76F397" w14:textId="77777777" w:rsidR="000937D0" w:rsidRPr="00DB1A0B" w:rsidRDefault="000937D0" w:rsidP="009B1BC4">
            <w:pPr>
              <w:jc w:val="center"/>
              <w:rPr>
                <w:rFonts w:cs="Arial"/>
                <w:b/>
                <w:bCs/>
              </w:rPr>
            </w:pPr>
            <w:r w:rsidRPr="00DB1A0B">
              <w:rPr>
                <w:rFonts w:cs="Arial"/>
                <w:b/>
                <w:bCs/>
              </w:rPr>
              <w:t xml:space="preserve">chromatičnosti </w:t>
            </w:r>
            <w:r w:rsidRPr="00DB1A0B">
              <w:rPr>
                <w:rFonts w:cs="Arial"/>
                <w:b/>
                <w:bCs/>
                <w:vertAlign w:val="superscript"/>
              </w:rPr>
              <w:t>a)</w:t>
            </w:r>
          </w:p>
        </w:tc>
        <w:tc>
          <w:tcPr>
            <w:tcW w:w="3019" w:type="dxa"/>
            <w:tcBorders>
              <w:top w:val="single" w:sz="12" w:space="0" w:color="auto"/>
              <w:left w:val="single" w:sz="6" w:space="0" w:color="auto"/>
              <w:bottom w:val="single" w:sz="6" w:space="0" w:color="auto"/>
              <w:right w:val="single" w:sz="12" w:space="0" w:color="auto"/>
            </w:tcBorders>
            <w:vAlign w:val="center"/>
          </w:tcPr>
          <w:p w14:paraId="706BE954" w14:textId="77777777" w:rsidR="000937D0" w:rsidRPr="00DB1A0B" w:rsidRDefault="000937D0" w:rsidP="009B1BC4">
            <w:pPr>
              <w:jc w:val="center"/>
              <w:rPr>
                <w:rFonts w:cs="Arial"/>
                <w:b/>
                <w:bCs/>
              </w:rPr>
            </w:pPr>
            <w:r w:rsidRPr="00DB1A0B">
              <w:rPr>
                <w:rFonts w:cs="Arial"/>
                <w:b/>
                <w:bCs/>
              </w:rPr>
              <w:t>U500</w:t>
            </w:r>
            <w:r w:rsidRPr="00DB1A0B">
              <w:rPr>
                <w:rFonts w:cs="Arial"/>
                <w:b/>
                <w:bCs/>
                <w:vertAlign w:val="superscript"/>
              </w:rPr>
              <w:t xml:space="preserve"> a)</w:t>
            </w:r>
          </w:p>
        </w:tc>
      </w:tr>
      <w:tr w:rsidR="000937D0" w:rsidRPr="00745720" w14:paraId="793BFA64" w14:textId="77777777" w:rsidTr="009B1BC4">
        <w:trPr>
          <w:trHeight w:val="476"/>
        </w:trPr>
        <w:tc>
          <w:tcPr>
            <w:tcW w:w="3019" w:type="dxa"/>
            <w:vMerge/>
            <w:tcBorders>
              <w:top w:val="single" w:sz="6" w:space="0" w:color="auto"/>
              <w:left w:val="single" w:sz="12" w:space="0" w:color="auto"/>
              <w:bottom w:val="single" w:sz="12" w:space="0" w:color="auto"/>
              <w:right w:val="single" w:sz="6" w:space="0" w:color="auto"/>
            </w:tcBorders>
            <w:vAlign w:val="center"/>
            <w:hideMark/>
          </w:tcPr>
          <w:p w14:paraId="05BEDBDF" w14:textId="77777777" w:rsidR="000937D0" w:rsidRPr="00DB1A0B" w:rsidRDefault="000937D0" w:rsidP="009B1BC4">
            <w:pPr>
              <w:rPr>
                <w:rFonts w:cs="Arial"/>
              </w:rPr>
            </w:pPr>
          </w:p>
        </w:tc>
        <w:tc>
          <w:tcPr>
            <w:tcW w:w="3019" w:type="dxa"/>
            <w:vMerge w:val="restart"/>
            <w:tcBorders>
              <w:top w:val="single" w:sz="6" w:space="0" w:color="auto"/>
              <w:left w:val="single" w:sz="6" w:space="0" w:color="auto"/>
              <w:bottom w:val="single" w:sz="12" w:space="0" w:color="auto"/>
              <w:right w:val="single" w:sz="12" w:space="0" w:color="auto"/>
            </w:tcBorders>
            <w:vAlign w:val="center"/>
            <w:hideMark/>
          </w:tcPr>
          <w:p w14:paraId="0605AF4A" w14:textId="77777777" w:rsidR="000937D0" w:rsidRPr="00DB1A0B" w:rsidRDefault="000937D0" w:rsidP="009B1BC4">
            <w:pPr>
              <w:jc w:val="center"/>
              <w:rPr>
                <w:rFonts w:ascii="Times New Roman" w:hAnsi="Times New Roman"/>
                <w:b/>
                <w:bCs/>
                <w:i/>
                <w:iCs/>
              </w:rPr>
            </w:pPr>
            <w:proofErr w:type="spellStart"/>
            <w:r w:rsidRPr="00DB1A0B">
              <w:rPr>
                <w:rFonts w:ascii="Times New Roman" w:hAnsi="Times New Roman"/>
                <w:b/>
                <w:bCs/>
                <w:i/>
                <w:iCs/>
              </w:rPr>
              <w:t>T</w:t>
            </w:r>
            <w:r w:rsidRPr="00DB1A0B">
              <w:rPr>
                <w:rFonts w:cs="Arial"/>
                <w:b/>
                <w:bCs/>
                <w:vertAlign w:val="subscript"/>
              </w:rPr>
              <w:t>cp</w:t>
            </w:r>
            <w:proofErr w:type="spellEnd"/>
            <w:r w:rsidRPr="00DB1A0B">
              <w:rPr>
                <w:rFonts w:cs="Arial"/>
                <w:b/>
                <w:bCs/>
              </w:rPr>
              <w:t xml:space="preserve"> (K)</w:t>
            </w:r>
          </w:p>
        </w:tc>
        <w:tc>
          <w:tcPr>
            <w:tcW w:w="3019" w:type="dxa"/>
            <w:vMerge w:val="restart"/>
            <w:tcBorders>
              <w:top w:val="single" w:sz="6" w:space="0" w:color="auto"/>
              <w:left w:val="single" w:sz="6" w:space="0" w:color="auto"/>
              <w:right w:val="single" w:sz="12" w:space="0" w:color="auto"/>
            </w:tcBorders>
            <w:vAlign w:val="center"/>
          </w:tcPr>
          <w:p w14:paraId="232262FB" w14:textId="77777777" w:rsidR="000937D0" w:rsidRPr="00DB1A0B" w:rsidRDefault="000937D0" w:rsidP="009B1BC4">
            <w:pPr>
              <w:jc w:val="center"/>
              <w:rPr>
                <w:rFonts w:ascii="Times New Roman" w:hAnsi="Times New Roman"/>
                <w:b/>
                <w:bCs/>
                <w:i/>
                <w:iCs/>
              </w:rPr>
            </w:pPr>
            <w:r w:rsidRPr="00DB1A0B">
              <w:rPr>
                <w:rFonts w:ascii="Times New Roman" w:hAnsi="Times New Roman"/>
                <w:b/>
                <w:bCs/>
                <w:i/>
                <w:iCs/>
              </w:rPr>
              <w:t>U500 (%)</w:t>
            </w:r>
          </w:p>
        </w:tc>
      </w:tr>
      <w:tr w:rsidR="000937D0" w:rsidRPr="00745720" w14:paraId="27398D29" w14:textId="77777777" w:rsidTr="009B1BC4">
        <w:trPr>
          <w:trHeight w:val="476"/>
        </w:trPr>
        <w:tc>
          <w:tcPr>
            <w:tcW w:w="3019" w:type="dxa"/>
            <w:vMerge/>
            <w:tcBorders>
              <w:top w:val="single" w:sz="6" w:space="0" w:color="auto"/>
              <w:left w:val="single" w:sz="12" w:space="0" w:color="auto"/>
              <w:bottom w:val="single" w:sz="12" w:space="0" w:color="auto"/>
              <w:right w:val="single" w:sz="6" w:space="0" w:color="auto"/>
            </w:tcBorders>
            <w:vAlign w:val="center"/>
            <w:hideMark/>
          </w:tcPr>
          <w:p w14:paraId="0D01CBE9" w14:textId="77777777" w:rsidR="000937D0" w:rsidRPr="00DB1A0B" w:rsidRDefault="000937D0" w:rsidP="009B1BC4">
            <w:pPr>
              <w:rPr>
                <w:rFonts w:cs="Arial"/>
              </w:rPr>
            </w:pPr>
          </w:p>
        </w:tc>
        <w:tc>
          <w:tcPr>
            <w:tcW w:w="3019" w:type="dxa"/>
            <w:vMerge/>
            <w:tcBorders>
              <w:top w:val="single" w:sz="6" w:space="0" w:color="auto"/>
              <w:left w:val="single" w:sz="6" w:space="0" w:color="auto"/>
              <w:bottom w:val="single" w:sz="12" w:space="0" w:color="auto"/>
              <w:right w:val="single" w:sz="12" w:space="0" w:color="auto"/>
            </w:tcBorders>
            <w:vAlign w:val="center"/>
            <w:hideMark/>
          </w:tcPr>
          <w:p w14:paraId="18F86D9B" w14:textId="77777777" w:rsidR="000937D0" w:rsidRPr="00DB1A0B" w:rsidRDefault="000937D0" w:rsidP="009B1BC4">
            <w:pPr>
              <w:rPr>
                <w:rFonts w:ascii="Times New Roman" w:hAnsi="Times New Roman"/>
                <w:b/>
                <w:bCs/>
                <w:i/>
                <w:iCs/>
              </w:rPr>
            </w:pPr>
          </w:p>
        </w:tc>
        <w:tc>
          <w:tcPr>
            <w:tcW w:w="3019" w:type="dxa"/>
            <w:vMerge/>
            <w:tcBorders>
              <w:left w:val="single" w:sz="6" w:space="0" w:color="auto"/>
              <w:bottom w:val="single" w:sz="12" w:space="0" w:color="auto"/>
              <w:right w:val="single" w:sz="12" w:space="0" w:color="auto"/>
            </w:tcBorders>
            <w:vAlign w:val="center"/>
          </w:tcPr>
          <w:p w14:paraId="0D91A37C" w14:textId="77777777" w:rsidR="000937D0" w:rsidRPr="00DB1A0B" w:rsidRDefault="000937D0" w:rsidP="009B1BC4">
            <w:pPr>
              <w:jc w:val="center"/>
              <w:rPr>
                <w:rFonts w:ascii="Times New Roman" w:hAnsi="Times New Roman"/>
                <w:b/>
                <w:bCs/>
                <w:i/>
                <w:iCs/>
              </w:rPr>
            </w:pPr>
          </w:p>
        </w:tc>
      </w:tr>
      <w:tr w:rsidR="000937D0" w:rsidRPr="00745720" w14:paraId="42AD7241" w14:textId="77777777" w:rsidTr="009B1BC4">
        <w:trPr>
          <w:trHeight w:val="244"/>
        </w:trPr>
        <w:tc>
          <w:tcPr>
            <w:tcW w:w="3019" w:type="dxa"/>
            <w:tcBorders>
              <w:top w:val="single" w:sz="12" w:space="0" w:color="auto"/>
              <w:left w:val="single" w:sz="12" w:space="0" w:color="auto"/>
              <w:bottom w:val="single" w:sz="6" w:space="0" w:color="auto"/>
              <w:right w:val="single" w:sz="6" w:space="0" w:color="auto"/>
            </w:tcBorders>
            <w:vAlign w:val="center"/>
            <w:hideMark/>
          </w:tcPr>
          <w:p w14:paraId="65E931D0" w14:textId="77777777" w:rsidR="000937D0" w:rsidRPr="00DB1A0B" w:rsidRDefault="000937D0" w:rsidP="009B1BC4">
            <w:pPr>
              <w:jc w:val="center"/>
              <w:rPr>
                <w:rFonts w:cs="Arial"/>
              </w:rPr>
            </w:pPr>
            <w:r w:rsidRPr="00DB1A0B">
              <w:rPr>
                <w:rFonts w:cs="Arial"/>
              </w:rPr>
              <w:t>Z0</w:t>
            </w:r>
          </w:p>
        </w:tc>
        <w:tc>
          <w:tcPr>
            <w:tcW w:w="3019" w:type="dxa"/>
            <w:tcBorders>
              <w:top w:val="single" w:sz="12" w:space="0" w:color="auto"/>
              <w:left w:val="single" w:sz="6" w:space="0" w:color="auto"/>
              <w:bottom w:val="single" w:sz="6" w:space="0" w:color="auto"/>
              <w:right w:val="single" w:sz="12" w:space="0" w:color="auto"/>
            </w:tcBorders>
            <w:vAlign w:val="center"/>
            <w:hideMark/>
          </w:tcPr>
          <w:p w14:paraId="3E28E330" w14:textId="77777777" w:rsidR="000937D0" w:rsidRPr="00DB1A0B" w:rsidRDefault="000937D0" w:rsidP="009B1BC4">
            <w:pPr>
              <w:jc w:val="center"/>
              <w:rPr>
                <w:rFonts w:cs="Arial"/>
                <w:b/>
                <w:bCs/>
              </w:rPr>
            </w:pPr>
            <w:r w:rsidRPr="00DB1A0B">
              <w:rPr>
                <w:rFonts w:cs="Arial"/>
                <w:b/>
                <w:bCs/>
              </w:rPr>
              <w:t>≤ 2 200</w:t>
            </w:r>
          </w:p>
        </w:tc>
        <w:tc>
          <w:tcPr>
            <w:tcW w:w="3019" w:type="dxa"/>
            <w:tcBorders>
              <w:top w:val="single" w:sz="12" w:space="0" w:color="auto"/>
              <w:left w:val="single" w:sz="6" w:space="0" w:color="auto"/>
              <w:bottom w:val="single" w:sz="6" w:space="0" w:color="auto"/>
              <w:right w:val="single" w:sz="12" w:space="0" w:color="auto"/>
            </w:tcBorders>
            <w:vAlign w:val="center"/>
          </w:tcPr>
          <w:p w14:paraId="41A06E1F" w14:textId="77777777" w:rsidR="000937D0" w:rsidRPr="00DB1A0B" w:rsidRDefault="000937D0" w:rsidP="009B1BC4">
            <w:pPr>
              <w:jc w:val="center"/>
              <w:rPr>
                <w:rFonts w:cs="Arial"/>
                <w:b/>
                <w:bCs/>
              </w:rPr>
            </w:pPr>
            <w:r w:rsidRPr="00DB1A0B">
              <w:rPr>
                <w:rFonts w:cs="Arial"/>
                <w:b/>
                <w:bCs/>
              </w:rPr>
              <w:t xml:space="preserve">≤1 </w:t>
            </w:r>
          </w:p>
        </w:tc>
      </w:tr>
      <w:tr w:rsidR="000937D0" w:rsidRPr="00745720" w14:paraId="7E6E66E6" w14:textId="77777777" w:rsidTr="009B1BC4">
        <w:trPr>
          <w:trHeight w:val="273"/>
        </w:trPr>
        <w:tc>
          <w:tcPr>
            <w:tcW w:w="3019" w:type="dxa"/>
            <w:tcBorders>
              <w:top w:val="single" w:sz="6" w:space="0" w:color="auto"/>
              <w:left w:val="single" w:sz="12" w:space="0" w:color="auto"/>
              <w:bottom w:val="single" w:sz="6" w:space="0" w:color="auto"/>
              <w:right w:val="single" w:sz="6" w:space="0" w:color="auto"/>
            </w:tcBorders>
            <w:vAlign w:val="center"/>
            <w:hideMark/>
          </w:tcPr>
          <w:p w14:paraId="1304FD09" w14:textId="77777777" w:rsidR="000937D0" w:rsidRPr="00DB1A0B" w:rsidRDefault="000937D0" w:rsidP="009B1BC4">
            <w:pPr>
              <w:jc w:val="center"/>
              <w:rPr>
                <w:rFonts w:cs="Arial"/>
              </w:rPr>
            </w:pPr>
            <w:r w:rsidRPr="00DB1A0B">
              <w:rPr>
                <w:rFonts w:cs="Arial"/>
              </w:rPr>
              <w:t>Z1</w:t>
            </w:r>
          </w:p>
        </w:tc>
        <w:tc>
          <w:tcPr>
            <w:tcW w:w="3019" w:type="dxa"/>
            <w:tcBorders>
              <w:top w:val="single" w:sz="6" w:space="0" w:color="auto"/>
              <w:left w:val="single" w:sz="6" w:space="0" w:color="auto"/>
              <w:bottom w:val="single" w:sz="6" w:space="0" w:color="auto"/>
              <w:right w:val="single" w:sz="12" w:space="0" w:color="auto"/>
            </w:tcBorders>
            <w:vAlign w:val="center"/>
            <w:hideMark/>
          </w:tcPr>
          <w:p w14:paraId="416BF871" w14:textId="77777777" w:rsidR="000937D0" w:rsidRPr="00DB1A0B" w:rsidRDefault="000937D0" w:rsidP="009B1BC4">
            <w:pPr>
              <w:jc w:val="center"/>
              <w:rPr>
                <w:rFonts w:cs="Arial"/>
                <w:b/>
                <w:bCs/>
              </w:rPr>
            </w:pPr>
            <w:r w:rsidRPr="00DB1A0B">
              <w:rPr>
                <w:rFonts w:cs="Arial"/>
                <w:b/>
                <w:bCs/>
              </w:rPr>
              <w:t>≤ 2 200</w:t>
            </w:r>
          </w:p>
        </w:tc>
        <w:tc>
          <w:tcPr>
            <w:tcW w:w="3019" w:type="dxa"/>
            <w:tcBorders>
              <w:top w:val="single" w:sz="6" w:space="0" w:color="auto"/>
              <w:left w:val="single" w:sz="6" w:space="0" w:color="auto"/>
              <w:bottom w:val="single" w:sz="6" w:space="0" w:color="auto"/>
              <w:right w:val="single" w:sz="12" w:space="0" w:color="auto"/>
            </w:tcBorders>
            <w:vAlign w:val="center"/>
          </w:tcPr>
          <w:p w14:paraId="6626ED67" w14:textId="77777777" w:rsidR="000937D0" w:rsidRPr="00DB1A0B" w:rsidRDefault="000937D0" w:rsidP="009B1BC4">
            <w:pPr>
              <w:jc w:val="center"/>
              <w:rPr>
                <w:rFonts w:cs="Arial"/>
                <w:b/>
                <w:bCs/>
              </w:rPr>
            </w:pPr>
            <w:r w:rsidRPr="00DB1A0B">
              <w:rPr>
                <w:rFonts w:cs="Arial"/>
                <w:b/>
                <w:bCs/>
              </w:rPr>
              <w:t xml:space="preserve">≤ 2 </w:t>
            </w:r>
          </w:p>
        </w:tc>
      </w:tr>
      <w:tr w:rsidR="000937D0" w:rsidRPr="00745720" w14:paraId="76321D53" w14:textId="77777777" w:rsidTr="009B1BC4">
        <w:trPr>
          <w:trHeight w:val="300"/>
        </w:trPr>
        <w:tc>
          <w:tcPr>
            <w:tcW w:w="3019" w:type="dxa"/>
            <w:tcBorders>
              <w:top w:val="single" w:sz="6" w:space="0" w:color="auto"/>
              <w:left w:val="single" w:sz="12" w:space="0" w:color="auto"/>
              <w:bottom w:val="single" w:sz="6" w:space="0" w:color="auto"/>
              <w:right w:val="single" w:sz="6" w:space="0" w:color="auto"/>
            </w:tcBorders>
            <w:vAlign w:val="center"/>
            <w:hideMark/>
          </w:tcPr>
          <w:p w14:paraId="6C6E87A1" w14:textId="77777777" w:rsidR="000937D0" w:rsidRPr="00DB1A0B" w:rsidRDefault="000937D0" w:rsidP="009B1BC4">
            <w:pPr>
              <w:jc w:val="center"/>
              <w:rPr>
                <w:rFonts w:cs="Arial"/>
              </w:rPr>
            </w:pPr>
            <w:r w:rsidRPr="00DB1A0B">
              <w:rPr>
                <w:rFonts w:cs="Arial"/>
              </w:rPr>
              <w:t>Z2</w:t>
            </w:r>
          </w:p>
        </w:tc>
        <w:tc>
          <w:tcPr>
            <w:tcW w:w="3019" w:type="dxa"/>
            <w:tcBorders>
              <w:top w:val="single" w:sz="6" w:space="0" w:color="auto"/>
              <w:left w:val="single" w:sz="6" w:space="0" w:color="auto"/>
              <w:bottom w:val="single" w:sz="6" w:space="0" w:color="auto"/>
              <w:right w:val="single" w:sz="12" w:space="0" w:color="auto"/>
            </w:tcBorders>
            <w:vAlign w:val="center"/>
            <w:hideMark/>
          </w:tcPr>
          <w:p w14:paraId="675611EA" w14:textId="77777777" w:rsidR="000937D0" w:rsidRPr="00DB1A0B" w:rsidRDefault="000937D0" w:rsidP="009B1BC4">
            <w:pPr>
              <w:jc w:val="center"/>
              <w:rPr>
                <w:rFonts w:cs="Arial"/>
                <w:b/>
                <w:bCs/>
              </w:rPr>
            </w:pPr>
            <w:r w:rsidRPr="00DB1A0B">
              <w:rPr>
                <w:rFonts w:cs="Arial"/>
                <w:b/>
                <w:bCs/>
              </w:rPr>
              <w:t>≤ 3 000</w:t>
            </w:r>
          </w:p>
        </w:tc>
        <w:tc>
          <w:tcPr>
            <w:tcW w:w="3019" w:type="dxa"/>
            <w:tcBorders>
              <w:top w:val="single" w:sz="6" w:space="0" w:color="auto"/>
              <w:left w:val="single" w:sz="6" w:space="0" w:color="auto"/>
              <w:bottom w:val="single" w:sz="6" w:space="0" w:color="auto"/>
              <w:right w:val="single" w:sz="12" w:space="0" w:color="auto"/>
            </w:tcBorders>
            <w:vAlign w:val="center"/>
          </w:tcPr>
          <w:p w14:paraId="6BFA2389" w14:textId="77777777" w:rsidR="000937D0" w:rsidRPr="00DB1A0B" w:rsidRDefault="000937D0" w:rsidP="009B1BC4">
            <w:pPr>
              <w:jc w:val="center"/>
              <w:rPr>
                <w:rFonts w:cs="Arial"/>
                <w:b/>
                <w:bCs/>
              </w:rPr>
            </w:pPr>
            <w:r w:rsidRPr="00DB1A0B">
              <w:rPr>
                <w:rFonts w:cs="Arial"/>
                <w:b/>
                <w:bCs/>
              </w:rPr>
              <w:t xml:space="preserve">≤ 7 </w:t>
            </w:r>
          </w:p>
        </w:tc>
      </w:tr>
      <w:tr w:rsidR="000937D0" w:rsidRPr="00745720" w14:paraId="5F181478" w14:textId="77777777" w:rsidTr="009B1BC4">
        <w:trPr>
          <w:trHeight w:val="225"/>
        </w:trPr>
        <w:tc>
          <w:tcPr>
            <w:tcW w:w="3019" w:type="dxa"/>
            <w:tcBorders>
              <w:top w:val="single" w:sz="6" w:space="0" w:color="auto"/>
              <w:left w:val="single" w:sz="12" w:space="0" w:color="auto"/>
              <w:bottom w:val="single" w:sz="6" w:space="0" w:color="auto"/>
              <w:right w:val="single" w:sz="6" w:space="0" w:color="auto"/>
            </w:tcBorders>
            <w:vAlign w:val="center"/>
            <w:hideMark/>
          </w:tcPr>
          <w:p w14:paraId="7B9C0258" w14:textId="77777777" w:rsidR="000937D0" w:rsidRPr="00DB1A0B" w:rsidRDefault="000937D0" w:rsidP="009B1BC4">
            <w:pPr>
              <w:jc w:val="center"/>
              <w:rPr>
                <w:rFonts w:cs="Arial"/>
              </w:rPr>
            </w:pPr>
            <w:r w:rsidRPr="00DB1A0B">
              <w:rPr>
                <w:rFonts w:cs="Arial"/>
              </w:rPr>
              <w:t>Z3</w:t>
            </w:r>
          </w:p>
        </w:tc>
        <w:tc>
          <w:tcPr>
            <w:tcW w:w="3019" w:type="dxa"/>
            <w:tcBorders>
              <w:top w:val="single" w:sz="6" w:space="0" w:color="auto"/>
              <w:left w:val="single" w:sz="6" w:space="0" w:color="auto"/>
              <w:bottom w:val="single" w:sz="6" w:space="0" w:color="auto"/>
              <w:right w:val="single" w:sz="12" w:space="0" w:color="auto"/>
            </w:tcBorders>
            <w:vAlign w:val="center"/>
            <w:hideMark/>
          </w:tcPr>
          <w:p w14:paraId="2B12DA4A" w14:textId="77777777" w:rsidR="000937D0" w:rsidRPr="00DB1A0B" w:rsidRDefault="000937D0" w:rsidP="009B1BC4">
            <w:pPr>
              <w:jc w:val="center"/>
              <w:rPr>
                <w:rFonts w:cs="Arial"/>
                <w:b/>
                <w:bCs/>
              </w:rPr>
            </w:pPr>
            <w:r w:rsidRPr="00DB1A0B">
              <w:rPr>
                <w:rFonts w:cs="Arial"/>
                <w:b/>
                <w:bCs/>
              </w:rPr>
              <w:t>≤ 3 000</w:t>
            </w:r>
          </w:p>
        </w:tc>
        <w:tc>
          <w:tcPr>
            <w:tcW w:w="3019" w:type="dxa"/>
            <w:tcBorders>
              <w:top w:val="single" w:sz="6" w:space="0" w:color="auto"/>
              <w:left w:val="single" w:sz="6" w:space="0" w:color="auto"/>
              <w:bottom w:val="single" w:sz="6" w:space="0" w:color="auto"/>
              <w:right w:val="single" w:sz="12" w:space="0" w:color="auto"/>
            </w:tcBorders>
            <w:vAlign w:val="center"/>
          </w:tcPr>
          <w:p w14:paraId="0D4D0727" w14:textId="77777777" w:rsidR="000937D0" w:rsidRPr="00DB1A0B" w:rsidRDefault="000937D0" w:rsidP="009B1BC4">
            <w:pPr>
              <w:jc w:val="center"/>
              <w:rPr>
                <w:rFonts w:cs="Arial"/>
                <w:b/>
                <w:bCs/>
              </w:rPr>
            </w:pPr>
            <w:r w:rsidRPr="00DB1A0B">
              <w:rPr>
                <w:rFonts w:cs="Arial"/>
                <w:b/>
                <w:bCs/>
              </w:rPr>
              <w:t xml:space="preserve">≤ 11 </w:t>
            </w:r>
          </w:p>
        </w:tc>
      </w:tr>
      <w:tr w:rsidR="000937D0" w:rsidRPr="00745720" w14:paraId="5302C8B4" w14:textId="77777777" w:rsidTr="009B1BC4">
        <w:trPr>
          <w:trHeight w:val="273"/>
        </w:trPr>
        <w:tc>
          <w:tcPr>
            <w:tcW w:w="3019" w:type="dxa"/>
            <w:tcBorders>
              <w:top w:val="single" w:sz="6" w:space="0" w:color="auto"/>
              <w:left w:val="single" w:sz="12" w:space="0" w:color="auto"/>
              <w:bottom w:val="single" w:sz="12" w:space="0" w:color="auto"/>
              <w:right w:val="single" w:sz="6" w:space="0" w:color="auto"/>
            </w:tcBorders>
            <w:vAlign w:val="center"/>
            <w:hideMark/>
          </w:tcPr>
          <w:p w14:paraId="39D62D5D" w14:textId="77777777" w:rsidR="000937D0" w:rsidRPr="00DB1A0B" w:rsidRDefault="000937D0" w:rsidP="009B1BC4">
            <w:pPr>
              <w:jc w:val="center"/>
              <w:rPr>
                <w:rFonts w:cs="Arial"/>
              </w:rPr>
            </w:pPr>
            <w:r w:rsidRPr="00DB1A0B">
              <w:rPr>
                <w:rFonts w:cs="Arial"/>
              </w:rPr>
              <w:t>Z4</w:t>
            </w:r>
          </w:p>
        </w:tc>
        <w:tc>
          <w:tcPr>
            <w:tcW w:w="3019" w:type="dxa"/>
            <w:tcBorders>
              <w:top w:val="single" w:sz="6" w:space="0" w:color="auto"/>
              <w:left w:val="single" w:sz="6" w:space="0" w:color="auto"/>
              <w:bottom w:val="single" w:sz="12" w:space="0" w:color="auto"/>
              <w:right w:val="single" w:sz="12" w:space="0" w:color="auto"/>
            </w:tcBorders>
            <w:vAlign w:val="center"/>
            <w:hideMark/>
          </w:tcPr>
          <w:p w14:paraId="68972698" w14:textId="77777777" w:rsidR="000937D0" w:rsidRPr="00DB1A0B" w:rsidRDefault="000937D0" w:rsidP="009B1BC4">
            <w:pPr>
              <w:jc w:val="center"/>
              <w:rPr>
                <w:rFonts w:cs="Arial"/>
                <w:b/>
                <w:bCs/>
              </w:rPr>
            </w:pPr>
            <w:r w:rsidRPr="00DB1A0B">
              <w:rPr>
                <w:rFonts w:cs="Arial"/>
                <w:b/>
                <w:bCs/>
              </w:rPr>
              <w:t>≤ 3 000</w:t>
            </w:r>
          </w:p>
        </w:tc>
        <w:tc>
          <w:tcPr>
            <w:tcW w:w="3019" w:type="dxa"/>
            <w:tcBorders>
              <w:top w:val="single" w:sz="6" w:space="0" w:color="auto"/>
              <w:left w:val="single" w:sz="6" w:space="0" w:color="auto"/>
              <w:bottom w:val="single" w:sz="12" w:space="0" w:color="auto"/>
              <w:right w:val="single" w:sz="12" w:space="0" w:color="auto"/>
            </w:tcBorders>
            <w:vAlign w:val="center"/>
          </w:tcPr>
          <w:p w14:paraId="09B07EF2" w14:textId="77777777" w:rsidR="000937D0" w:rsidRPr="00DB1A0B" w:rsidRDefault="000937D0" w:rsidP="009B1BC4">
            <w:pPr>
              <w:jc w:val="center"/>
              <w:rPr>
                <w:rFonts w:cs="Arial"/>
                <w:b/>
                <w:bCs/>
              </w:rPr>
            </w:pPr>
            <w:r w:rsidRPr="00DB1A0B">
              <w:rPr>
                <w:rFonts w:cs="Arial"/>
                <w:b/>
                <w:bCs/>
              </w:rPr>
              <w:t xml:space="preserve">≤ 11 </w:t>
            </w:r>
          </w:p>
        </w:tc>
      </w:tr>
      <w:tr w:rsidR="000937D0" w:rsidRPr="00745720" w14:paraId="55F289E1" w14:textId="77777777" w:rsidTr="009B1BC4">
        <w:trPr>
          <w:trHeight w:val="300"/>
        </w:trPr>
        <w:tc>
          <w:tcPr>
            <w:tcW w:w="9057" w:type="dxa"/>
            <w:gridSpan w:val="3"/>
            <w:tcBorders>
              <w:top w:val="single" w:sz="6" w:space="0" w:color="auto"/>
              <w:left w:val="single" w:sz="12" w:space="0" w:color="auto"/>
              <w:bottom w:val="single" w:sz="6" w:space="0" w:color="auto"/>
              <w:right w:val="single" w:sz="12" w:space="0" w:color="auto"/>
            </w:tcBorders>
            <w:vAlign w:val="center"/>
            <w:hideMark/>
          </w:tcPr>
          <w:p w14:paraId="2CDA8379" w14:textId="77777777" w:rsidR="000937D0" w:rsidRPr="00DB1A0B" w:rsidRDefault="000937D0" w:rsidP="009B1BC4">
            <w:pPr>
              <w:rPr>
                <w:rFonts w:cs="Arial"/>
                <w:vertAlign w:val="superscript"/>
              </w:rPr>
            </w:pPr>
            <w:r w:rsidRPr="00DB1A0B">
              <w:rPr>
                <w:rFonts w:cs="Arial"/>
                <w:b/>
                <w:bCs/>
                <w:vertAlign w:val="superscript"/>
              </w:rPr>
              <w:t>a)</w:t>
            </w:r>
            <w:r w:rsidRPr="00DB1A0B">
              <w:rPr>
                <w:rFonts w:cs="Arial"/>
                <w:b/>
                <w:bCs/>
              </w:rPr>
              <w:t xml:space="preserve"> Platí v noční době od 22:00 do 6:00.</w:t>
            </w:r>
          </w:p>
        </w:tc>
      </w:tr>
    </w:tbl>
    <w:p w14:paraId="54A05D2C" w14:textId="77777777" w:rsidR="000937D0" w:rsidRDefault="000937D0" w:rsidP="000937D0">
      <w:pPr>
        <w:rPr>
          <w:u w:val="single"/>
        </w:rPr>
      </w:pPr>
    </w:p>
    <w:p w14:paraId="2723320F" w14:textId="57F341CB" w:rsidR="000937D0" w:rsidRPr="002D74BE" w:rsidRDefault="000937D0" w:rsidP="000937D0">
      <w:pPr>
        <w:rPr>
          <w:rFonts w:cs="Segoe UI"/>
        </w:rPr>
      </w:pPr>
      <w:r w:rsidRPr="002D74BE">
        <w:rPr>
          <w:rFonts w:cs="Segoe UI"/>
        </w:rPr>
        <w:t>Procentní podíl složky modrého světla je již uváděn v rámci produktových listů některých výrobců.</w:t>
      </w:r>
      <w:r w:rsidR="00FB2A0F">
        <w:rPr>
          <w:rFonts w:cs="Segoe UI"/>
        </w:rPr>
        <w:t xml:space="preserve"> </w:t>
      </w:r>
      <w:r w:rsidRPr="002D74BE">
        <w:rPr>
          <w:rFonts w:cs="Segoe UI"/>
        </w:rPr>
        <w:t xml:space="preserve">Pokud uveden není, existuje výpočet a </w:t>
      </w:r>
      <w:r w:rsidR="009F131A">
        <w:rPr>
          <w:rFonts w:cs="Segoe UI"/>
        </w:rPr>
        <w:t xml:space="preserve">bezplatná </w:t>
      </w:r>
      <w:r w:rsidRPr="002D74BE">
        <w:rPr>
          <w:rFonts w:cs="Segoe UI"/>
        </w:rPr>
        <w:t xml:space="preserve">webová aplikace pro jeho jednoduché zjištění ze světelného spektra svítidla. V ČR byl s odkazem na chilskou legislativu zpracován parametr U500 Českou společností pro osvětlování, regionální skupina Brno. Tato skupina na svých stránkách uvádí postup jeho výpočtu: </w:t>
      </w:r>
      <w:hyperlink r:id="rId104" w:history="1">
        <w:r w:rsidRPr="002D74BE">
          <w:rPr>
            <w:rStyle w:val="Hypertextovodkaz"/>
            <w:rFonts w:cs="Segoe UI"/>
          </w:rPr>
          <w:t>https://brno.cso.lighting/wp-content/uploads/2024/09/CSO-B_WhitePaperU500_9.2024_Fin1ENG.pdf</w:t>
        </w:r>
      </w:hyperlink>
      <w:r w:rsidRPr="002D74BE">
        <w:rPr>
          <w:rFonts w:cs="Segoe UI"/>
        </w:rPr>
        <w:t xml:space="preserve">. Tento parametr je </w:t>
      </w:r>
      <w:r w:rsidRPr="002D74BE">
        <w:rPr>
          <w:rFonts w:cs="Segoe UI"/>
        </w:rPr>
        <w:lastRenderedPageBreak/>
        <w:t xml:space="preserve">možné zjistit za využití webové aplikace </w:t>
      </w:r>
      <w:hyperlink r:id="rId105" w:history="1">
        <w:r w:rsidRPr="002D74BE">
          <w:rPr>
            <w:rStyle w:val="Hypertextovodkaz"/>
            <w:rFonts w:cs="Segoe UI"/>
          </w:rPr>
          <w:t>https://luoxtech.app/</w:t>
        </w:r>
      </w:hyperlink>
      <w:r w:rsidRPr="002D74BE">
        <w:rPr>
          <w:rFonts w:cs="Segoe UI"/>
        </w:rPr>
        <w:t xml:space="preserve"> po zadání spektrálních specifikace svítidel. </w:t>
      </w:r>
    </w:p>
    <w:p w14:paraId="0C443175" w14:textId="77777777" w:rsidR="000937D0" w:rsidRDefault="000937D0" w:rsidP="000937D0">
      <w:pPr>
        <w:rPr>
          <w:rFonts w:cs="Segoe UI"/>
        </w:rPr>
      </w:pPr>
      <w:r w:rsidRPr="002D74BE">
        <w:rPr>
          <w:rFonts w:cs="Segoe UI"/>
        </w:rPr>
        <w:t>V případě projektů podléhajících působnosti zákona č. 100/2001 Sb. o posuzování vlivů na životní prostředí a o změně některých souvisejících zákonů (zákon o posuzování vlivů na životní prostředí) je možné zajistit plnění provedením posouzení EIA</w:t>
      </w:r>
      <w:r>
        <w:rPr>
          <w:rFonts w:cs="Segoe UI"/>
        </w:rPr>
        <w:t>, kde světelné znečištění podléhá Metodickému pokynu k</w:t>
      </w:r>
      <w:r w:rsidRPr="00846344">
        <w:rPr>
          <w:rFonts w:cs="Segoe UI"/>
        </w:rPr>
        <w:t xml:space="preserve"> předcházení a snižování světelného znečištění</w:t>
      </w:r>
      <w:r>
        <w:rPr>
          <w:rFonts w:cs="Segoe UI"/>
        </w:rPr>
        <w:t xml:space="preserve"> </w:t>
      </w:r>
      <w:r w:rsidRPr="00846344">
        <w:rPr>
          <w:rFonts w:cs="Segoe UI"/>
        </w:rPr>
        <w:t>MZP/2023/710/2146</w:t>
      </w:r>
      <w:r>
        <w:rPr>
          <w:rFonts w:cs="Segoe UI"/>
        </w:rPr>
        <w:t xml:space="preserve">, </w:t>
      </w:r>
      <w:r w:rsidRPr="002D74BE">
        <w:rPr>
          <w:rFonts w:cs="Segoe UI"/>
        </w:rPr>
        <w:t>nebo screening</w:t>
      </w:r>
      <w:r w:rsidRPr="002D74BE">
        <w:rPr>
          <w:rFonts w:cs="Segoe UI"/>
          <w:vertAlign w:val="superscript"/>
        </w:rPr>
        <w:footnoteReference w:id="69"/>
      </w:r>
      <w:r w:rsidRPr="002D74BE">
        <w:rPr>
          <w:rFonts w:cs="Segoe UI"/>
        </w:rPr>
        <w:t xml:space="preserve"> v souladu se směrnicí 2011/92/EU</w:t>
      </w:r>
      <w:r w:rsidRPr="002D74BE">
        <w:rPr>
          <w:rFonts w:cs="Segoe UI"/>
          <w:vertAlign w:val="superscript"/>
        </w:rPr>
        <w:footnoteReference w:id="70"/>
      </w:r>
      <w:r w:rsidRPr="002D74BE">
        <w:rPr>
          <w:rFonts w:cs="Segoe UI"/>
        </w:rPr>
        <w:t>. V případě, že bylo provedeno posouzení vlivů na životní prostředí, jsou provedena požadovaná zmírňující a kompenzační opatření na ochranu životního prostředí, vč. opatření souvisejících se světelným znečištěním. Zmírňující a kompenzační opatření (na základě závazného stanoviska provedeného posuzování vlivů na životní prostředí, EIA) k prevenci a minimalizaci negativních vlivů způsobených světelným zářením na životní prostředí by měla být součástí projektové dokumentace. Důkazem může být čestné prohlášení žadatele, že v případě, kdy projekt podléhá EIA, budou provedena požadovaná zmírňující a kompenzační opatření na ochranu životního prostředí. Alternativně by bylo nutné kontrolovat ze strany administrátora EU fondů projektovou dokumentaci se stanoviskem EIA, zda je v projektu řádně zapracováno.</w:t>
      </w:r>
    </w:p>
    <w:p w14:paraId="3FD5D4B2" w14:textId="7712DFB8" w:rsidR="00A32A7E" w:rsidRPr="00624ED6" w:rsidRDefault="00A32A7E" w:rsidP="00141780">
      <w:pPr>
        <w:pStyle w:val="Nadpis5"/>
      </w:pPr>
      <w:r w:rsidRPr="00624ED6">
        <w:t>Zavedení alternativní</w:t>
      </w:r>
      <w:r>
        <w:t>ch</w:t>
      </w:r>
      <w:r w:rsidRPr="00624ED6">
        <w:t xml:space="preserve"> řešení používání nebezpečných látek</w:t>
      </w:r>
    </w:p>
    <w:p w14:paraId="094D9632" w14:textId="77777777" w:rsidR="00A32A7E" w:rsidRPr="00BF59EA" w:rsidRDefault="00A32A7E" w:rsidP="00A32A7E">
      <w:pPr>
        <w:rPr>
          <w:rFonts w:cs="Segoe UI"/>
        </w:rPr>
      </w:pPr>
      <w:r w:rsidRPr="00BF59EA">
        <w:rPr>
          <w:rFonts w:cs="Segoe UI"/>
        </w:rPr>
        <w:t>Budou zavedena alternativní řešení používání nebezpečných látek.</w:t>
      </w:r>
      <w:r w:rsidRPr="002D74BE">
        <w:rPr>
          <w:rStyle w:val="Znakapoznpodarou"/>
          <w:rFonts w:cs="Segoe UI"/>
        </w:rPr>
        <w:footnoteReference w:id="71"/>
      </w:r>
      <w:r w:rsidRPr="00BF59EA">
        <w:rPr>
          <w:rFonts w:cs="Segoe UI"/>
        </w:rPr>
        <w:t xml:space="preserve"> Na základě nařízení REACH se nejnebezpečnější látky průběžně označují jako látky vzbuzující mimořádné obavy (SVHC). Tyto látky</w:t>
      </w:r>
      <w:r w:rsidRPr="002D74BE">
        <w:rPr>
          <w:rStyle w:val="Znakapoznpodarou"/>
          <w:rFonts w:cs="Segoe UI"/>
        </w:rPr>
        <w:footnoteReference w:id="72"/>
      </w:r>
      <w:r w:rsidRPr="00BF59EA">
        <w:rPr>
          <w:rFonts w:cs="Segoe UI"/>
        </w:rPr>
        <w:t xml:space="preserve"> mohou následně podléhat zákonným požadavkům na řízení rizik, která představují. Mělo by se směřovat k omezení využívání těchto látek, a to i v souvislosti s principy oběhového hospodářství, jelikož přítomnost SVHC v materiálech komplikuje jejich budoucí recyklaci a opětovné využití. </w:t>
      </w:r>
    </w:p>
    <w:p w14:paraId="0087B45D" w14:textId="77777777" w:rsidR="00A32A7E" w:rsidRPr="00BF59EA" w:rsidRDefault="00A32A7E" w:rsidP="00A32A7E">
      <w:pPr>
        <w:pStyle w:val="Odstavecseseznamem"/>
        <w:numPr>
          <w:ilvl w:val="0"/>
          <w:numId w:val="79"/>
        </w:numPr>
        <w:spacing w:line="276" w:lineRule="auto"/>
        <w:contextualSpacing/>
        <w:rPr>
          <w:rFonts w:cs="Segoe UI"/>
        </w:rPr>
      </w:pPr>
      <w:r w:rsidRPr="00BF59EA">
        <w:rPr>
          <w:rFonts w:cs="Segoe UI"/>
        </w:rPr>
        <w:t>Žadatel by měl prověřit, zda připravovaný projekt zahrnuje použití SVHC látek a případně zvážit možnost jejich náhrady bezpečnějšími alternativami, pokud jsou dostupné. V případě, že není možné se látkám SVHC vyhnout, mělo by být součástí projektové dokumentace odůvodnění, proč není možné látky nahradit bezpečnější alternativou (např. technická nemožnost, neexistence alternativy…)</w:t>
      </w:r>
    </w:p>
    <w:p w14:paraId="711F101A" w14:textId="77777777" w:rsidR="00A32A7E" w:rsidRPr="00BF59EA" w:rsidRDefault="00A32A7E" w:rsidP="00A32A7E">
      <w:pPr>
        <w:pStyle w:val="Odstavecseseznamem"/>
        <w:numPr>
          <w:ilvl w:val="0"/>
          <w:numId w:val="79"/>
        </w:numPr>
        <w:spacing w:line="276" w:lineRule="auto"/>
        <w:contextualSpacing/>
        <w:rPr>
          <w:rFonts w:cs="Segoe UI"/>
        </w:rPr>
      </w:pPr>
      <w:r w:rsidRPr="00BF59EA">
        <w:rPr>
          <w:rFonts w:cs="Segoe UI"/>
        </w:rPr>
        <w:lastRenderedPageBreak/>
        <w:t>Ustanovení by se mělo sledovat při kontrole projektové dokumentace předkládané v rámci žádosti o podporu a dále v rámci kontrolní činnosti u realizovaných projektů.</w:t>
      </w:r>
    </w:p>
    <w:p w14:paraId="4FB997C0" w14:textId="77777777" w:rsidR="00A32A7E" w:rsidRDefault="00A32A7E" w:rsidP="00A32A7E">
      <w:pPr>
        <w:pStyle w:val="Odstavecseseznamem"/>
        <w:numPr>
          <w:ilvl w:val="0"/>
          <w:numId w:val="79"/>
        </w:numPr>
        <w:spacing w:line="276" w:lineRule="auto"/>
        <w:contextualSpacing/>
        <w:rPr>
          <w:rFonts w:cs="Segoe UI"/>
        </w:rPr>
      </w:pPr>
      <w:r w:rsidRPr="00BF59EA">
        <w:rPr>
          <w:rFonts w:cs="Segoe UI"/>
        </w:rPr>
        <w:t>Alternativně se doporučuje vyžadovat čestné prohlášení žadatele, že při své činnosti nepoužívá látky SVHC. Při fyzické kontrole stavby pak mohou být ověřeny dodané materiály (štítky, označení CE, bezpečnostní listy).</w:t>
      </w:r>
    </w:p>
    <w:p w14:paraId="70955BEB" w14:textId="46AF04B7" w:rsidR="00A32A7E" w:rsidRPr="002D74BE" w:rsidRDefault="00A32A7E" w:rsidP="00141780">
      <w:pPr>
        <w:pStyle w:val="Nadpis5"/>
        <w:rPr>
          <w:bCs/>
        </w:rPr>
      </w:pPr>
      <w:r w:rsidRPr="002D74BE">
        <w:t xml:space="preserve">Postupy typizovaných </w:t>
      </w:r>
      <w:r>
        <w:t>částí projektů</w:t>
      </w:r>
      <w:r w:rsidR="00127B96">
        <w:t xml:space="preserve"> (dle příloh)</w:t>
      </w:r>
    </w:p>
    <w:p w14:paraId="4D998251" w14:textId="2A2FF5C5" w:rsidR="005B2BA8" w:rsidRPr="005B2BA8" w:rsidRDefault="00A32A7E" w:rsidP="006C1B48">
      <w:pPr>
        <w:rPr>
          <w:rFonts w:cs="Segoe UI"/>
        </w:rPr>
      </w:pPr>
      <w:r w:rsidRPr="002D74BE">
        <w:rPr>
          <w:rFonts w:cs="Segoe UI"/>
        </w:rPr>
        <w:t>Dále je nutné dodržovat postupy v rámci tzv. typizovaných karet pro konkrétní typy projektů:</w:t>
      </w:r>
    </w:p>
    <w:p w14:paraId="69536523" w14:textId="1C2B9043" w:rsidR="005B2BA8" w:rsidRPr="002D74BE" w:rsidRDefault="005B2BA8" w:rsidP="005B2BA8">
      <w:pPr>
        <w:pStyle w:val="Odstavecseseznamem"/>
        <w:numPr>
          <w:ilvl w:val="0"/>
          <w:numId w:val="73"/>
        </w:numPr>
        <w:spacing w:line="276" w:lineRule="auto"/>
        <w:contextualSpacing/>
        <w:rPr>
          <w:rFonts w:cs="Segoe UI"/>
        </w:rPr>
      </w:pPr>
      <w:r w:rsidRPr="002D74BE">
        <w:rPr>
          <w:rFonts w:cs="Segoe UI"/>
        </w:rPr>
        <w:t>V případě, že je součástí předmětu podporu výstavba nových budov, či renovace budov, je nutné zajistit promítnutí podmínek prevence a omezování znečištění obsažen</w:t>
      </w:r>
      <w:r>
        <w:rPr>
          <w:rFonts w:cs="Segoe UI"/>
        </w:rPr>
        <w:t>ých</w:t>
      </w:r>
      <w:r w:rsidRPr="002D74BE">
        <w:rPr>
          <w:rFonts w:cs="Segoe UI"/>
        </w:rPr>
        <w:t xml:space="preserve"> v </w:t>
      </w:r>
      <w:hyperlink w:anchor="_Definice_infrastruktury_pro" w:history="1">
        <w:r w:rsidRPr="005B2BA8">
          <w:rPr>
            <w:rStyle w:val="Hypertextovodkaz"/>
            <w:rFonts w:cs="Segoe UI"/>
          </w:rPr>
          <w:t>kapitole</w:t>
        </w:r>
      </w:hyperlink>
      <w:r w:rsidRPr="002D74BE">
        <w:rPr>
          <w:rFonts w:cs="Segoe UI"/>
        </w:rPr>
        <w:t xml:space="preserve"> </w:t>
      </w:r>
      <w:hyperlink w:anchor="_Výstavba_nových_budov" w:history="1">
        <w:r w:rsidRPr="006A02C3">
          <w:rPr>
            <w:rStyle w:val="Hypertextovodkaz"/>
            <w:rFonts w:cs="Segoe UI"/>
          </w:rPr>
          <w:t>5.</w:t>
        </w:r>
        <w:r>
          <w:rPr>
            <w:rStyle w:val="Hypertextovodkaz"/>
            <w:rFonts w:cs="Segoe UI"/>
          </w:rPr>
          <w:t>2</w:t>
        </w:r>
      </w:hyperlink>
      <w:r w:rsidRPr="002D74BE">
        <w:rPr>
          <w:rFonts w:cs="Segoe UI"/>
        </w:rPr>
        <w:t xml:space="preserve"> tohoto materiálu.</w:t>
      </w:r>
    </w:p>
    <w:p w14:paraId="2DFFF84B" w14:textId="62A0CB06" w:rsidR="00A32A7E" w:rsidRPr="002D74BE" w:rsidRDefault="00A32A7E" w:rsidP="00A32A7E">
      <w:pPr>
        <w:pStyle w:val="Odstavecseseznamem"/>
        <w:numPr>
          <w:ilvl w:val="0"/>
          <w:numId w:val="73"/>
        </w:numPr>
        <w:spacing w:line="276" w:lineRule="auto"/>
        <w:contextualSpacing/>
        <w:rPr>
          <w:rFonts w:cs="Segoe UI"/>
        </w:rPr>
      </w:pPr>
      <w:r w:rsidRPr="002D74BE">
        <w:rPr>
          <w:rFonts w:cs="Segoe UI"/>
        </w:rPr>
        <w:t>V případě, že je součástí předmětu podporu pořizování automobilů, či ostatních dopravních prostředků, je nutné zajistit promítnutí podmínek prevence a omezování znečištění obsažené v </w:t>
      </w:r>
      <w:hyperlink w:anchor="_Pořizování_automobilů_(a" w:history="1">
        <w:r w:rsidR="009830DC" w:rsidRPr="006A02C3">
          <w:rPr>
            <w:rStyle w:val="Hypertextovodkaz"/>
            <w:rFonts w:cs="Segoe UI"/>
          </w:rPr>
          <w:t>kapitole 5.</w:t>
        </w:r>
        <w:r w:rsidR="009830DC">
          <w:rPr>
            <w:rStyle w:val="Hypertextovodkaz"/>
            <w:rFonts w:cs="Segoe UI"/>
          </w:rPr>
          <w:t>4</w:t>
        </w:r>
      </w:hyperlink>
      <w:r w:rsidR="009830DC" w:rsidRPr="002D74BE">
        <w:rPr>
          <w:rFonts w:cs="Segoe UI"/>
        </w:rPr>
        <w:t xml:space="preserve"> </w:t>
      </w:r>
      <w:r w:rsidRPr="002D74BE">
        <w:rPr>
          <w:rFonts w:cs="Segoe UI"/>
        </w:rPr>
        <w:t>tohoto materiálu.</w:t>
      </w:r>
    </w:p>
    <w:p w14:paraId="30DE1AB6" w14:textId="77777777" w:rsidR="00D27E31" w:rsidRPr="00BF1EC6" w:rsidRDefault="00D27E31" w:rsidP="00D27E31">
      <w:pPr>
        <w:pStyle w:val="Nadpis5"/>
        <w:numPr>
          <w:ilvl w:val="4"/>
          <w:numId w:val="189"/>
        </w:numPr>
      </w:pPr>
      <w:bookmarkStart w:id="126" w:name="_Hlk193719769"/>
      <w:bookmarkEnd w:id="124"/>
      <w:r w:rsidRPr="00BF1EC6">
        <w:t xml:space="preserve">Provedení opatření vzešlých z posuzování vlivů na </w:t>
      </w:r>
      <w:r w:rsidRPr="00141780">
        <w:t>životní</w:t>
      </w:r>
      <w:r w:rsidRPr="00BF1EC6">
        <w:t xml:space="preserve"> prostředí (EIA) a z jednotného environmentálního stanoviska</w:t>
      </w:r>
    </w:p>
    <w:p w14:paraId="53B38DD6" w14:textId="77777777" w:rsidR="00D27E31" w:rsidRDefault="00D27E31" w:rsidP="00D27E31">
      <w:pPr>
        <w:spacing w:after="0"/>
        <w:rPr>
          <w:rFonts w:cs="Segoe UI"/>
        </w:rPr>
      </w:pPr>
      <w:r w:rsidRPr="00751A92">
        <w:rPr>
          <w:rFonts w:cs="Segoe UI"/>
        </w:rPr>
        <w:t>V případě, že bylo provedeno posuzování vlivů na životní prostředí (EIA), screening</w:t>
      </w:r>
      <w:r w:rsidRPr="00751A92">
        <w:rPr>
          <w:rFonts w:cs="Segoe UI"/>
          <w:vertAlign w:val="superscript"/>
        </w:rPr>
        <w:footnoteReference w:id="73"/>
      </w:r>
      <w:r w:rsidRPr="00751A92">
        <w:rPr>
          <w:rFonts w:cs="Segoe UI"/>
        </w:rPr>
        <w:t xml:space="preserve"> v souladu se směrnicí 2011/92/EU</w:t>
      </w:r>
      <w:r w:rsidRPr="00751A92">
        <w:rPr>
          <w:rFonts w:cs="Segoe UI"/>
          <w:vertAlign w:val="superscript"/>
        </w:rPr>
        <w:footnoteReference w:id="74"/>
      </w:r>
      <w:r w:rsidRPr="00751A92">
        <w:rPr>
          <w:rFonts w:cs="Segoe UI"/>
        </w:rPr>
        <w:t>, nebo spadá záměr opatření pod složkovou environmentální legislativu integrovanou do jednotného environmentálního stanoviska, je nutné zajistit, že byla provedena požadovaná zmírňující a kompenzační opatření na ochranu životního prostředí.</w:t>
      </w:r>
      <w:r w:rsidRPr="00EE237B">
        <w:rPr>
          <w:rFonts w:cs="Segoe UI"/>
        </w:rPr>
        <w:t xml:space="preserve"> </w:t>
      </w:r>
      <w:r>
        <w:rPr>
          <w:rFonts w:cs="Segoe UI"/>
        </w:rPr>
        <w:t>EIA a JES mohou zahrnovat doporučení ke všem environmentálním cílům a jsou tedy vždy relevantní z pohledu DNSH.</w:t>
      </w:r>
    </w:p>
    <w:p w14:paraId="2A551CCA" w14:textId="77777777" w:rsidR="00D27E31" w:rsidRDefault="00D27E31" w:rsidP="00D27E31">
      <w:pPr>
        <w:rPr>
          <w:rFonts w:cs="Segoe UI"/>
        </w:rPr>
      </w:pPr>
      <w:r w:rsidRPr="00751A92">
        <w:rPr>
          <w:rFonts w:cs="Segoe UI"/>
        </w:rPr>
        <w:t>Zmírňující a kompenzační opatření na ochranu životního prostředí (na základě závazného stanoviska provedeného posouzení vlivů na životní prostředí</w:t>
      </w:r>
      <w:r>
        <w:rPr>
          <w:rFonts w:cs="Segoe UI"/>
        </w:rPr>
        <w:t xml:space="preserve"> a JES</w:t>
      </w:r>
      <w:r w:rsidRPr="00751A92">
        <w:rPr>
          <w:rFonts w:cs="Segoe UI"/>
        </w:rPr>
        <w:t>) by měla být součástí projektové dokumentace. Tyto jsou poté kontrolovány v rámci stavebního řízení, finálně však ve smyslu, že byla provedena zmírňující a kompenzační opatření až při kolaudaci. Z pohledu procesu se však legislativní postup nemusí setkat v čase s rozhodnutím o poskytnutí dotace, proto je potřeba požadovat čestné prohlášení ohledně provedení zmírňujících a kompenzačních opatření na ochranu životního prostředí.</w:t>
      </w:r>
    </w:p>
    <w:p w14:paraId="2C93B1B2" w14:textId="6A6F9B98" w:rsidR="00A32A7E" w:rsidRPr="00204DAC" w:rsidRDefault="00A32A7E" w:rsidP="00141780">
      <w:pPr>
        <w:pStyle w:val="Nadpis5"/>
      </w:pPr>
      <w:r w:rsidRPr="00204DAC">
        <w:t>Splnění legislativní ochrany a souvisejících povolení</w:t>
      </w:r>
    </w:p>
    <w:p w14:paraId="1F3EC7D1" w14:textId="14C77DCE" w:rsidR="00D1646E" w:rsidRPr="009C7B63" w:rsidRDefault="00D1646E" w:rsidP="00D1646E">
      <w:pPr>
        <w:rPr>
          <w:b/>
        </w:rPr>
      </w:pPr>
      <w:bookmarkStart w:id="127" w:name="_Hlk193985082"/>
      <w:bookmarkEnd w:id="126"/>
      <w:r w:rsidRPr="009C7B63">
        <w:rPr>
          <w:b/>
        </w:rPr>
        <w:t xml:space="preserve">Dodržování platných právních předpisů EU a vnitrostátních environmentálních právních předpisů je samostatnou povinností při administraci EU fondů, dokladování souladu s legislativou na úrovni projektu je na rozhodnutí a dosavadní praxi příslušného </w:t>
      </w:r>
      <w:r w:rsidR="005B2BA8">
        <w:rPr>
          <w:b/>
        </w:rPr>
        <w:t>administrátora zdrojů EU</w:t>
      </w:r>
      <w:r w:rsidRPr="009C7B63">
        <w:rPr>
          <w:b/>
        </w:rPr>
        <w:t xml:space="preserve">, pokud není rozvedena potřeba v rámci administrace EU fondů </w:t>
      </w:r>
      <w:r w:rsidRPr="009C7B63">
        <w:rPr>
          <w:b/>
        </w:rPr>
        <w:lastRenderedPageBreak/>
        <w:t>specifická kontrola požadavků vyplývajících z legislativy s vazbou na DNSH (např. ad provedení opatření ve vazbě na EIA a JES).</w:t>
      </w:r>
    </w:p>
    <w:p w14:paraId="46845678" w14:textId="77777777" w:rsidR="00D1646E" w:rsidRPr="00A84314" w:rsidRDefault="00D1646E" w:rsidP="00D1646E">
      <w:r w:rsidRPr="009C7B63">
        <w:rPr>
          <w:b/>
        </w:rPr>
        <w:t>Fakultativně se doporučuje zvážit dokládání žadatele jako subjektu, zda neporušuje environmentální legislativu</w:t>
      </w:r>
      <w:r w:rsidRPr="009C7B63">
        <w:t xml:space="preserve"> – např. v podobě čestného prohlášení žadatele, že proti němu nejsou vedena řízení za porušení povinností spojených s ochranou životního prostředí (např. ze strany ČIŽP a jiných kontrolních orgánů) a klimatu (ve smyslu, že nemá nedoplatky za povolenky na emise skleníkových plynů).</w:t>
      </w:r>
    </w:p>
    <w:bookmarkEnd w:id="127"/>
    <w:p w14:paraId="3914C604" w14:textId="332AA8A3" w:rsidR="00A32A7E" w:rsidRPr="002D74BE" w:rsidRDefault="00A32A7E" w:rsidP="00A32A7E">
      <w:pPr>
        <w:rPr>
          <w:rFonts w:cs="Segoe UI"/>
        </w:rPr>
      </w:pPr>
      <w:r>
        <w:rPr>
          <w:rFonts w:cs="Segoe UI"/>
        </w:rPr>
        <w:t>V případě</w:t>
      </w:r>
      <w:r w:rsidRPr="002D74BE">
        <w:rPr>
          <w:rFonts w:cs="Segoe UI"/>
        </w:rPr>
        <w:t xml:space="preserve"> poškozování v oblasti environmentálního cíle prevence znečištění </w:t>
      </w:r>
      <w:r>
        <w:rPr>
          <w:rFonts w:cs="Segoe UI"/>
        </w:rPr>
        <w:t xml:space="preserve">je </w:t>
      </w:r>
      <w:r w:rsidRPr="002D74BE">
        <w:rPr>
          <w:rFonts w:cs="Segoe UI"/>
        </w:rPr>
        <w:t>ve většině případ</w:t>
      </w:r>
      <w:r>
        <w:rPr>
          <w:rFonts w:cs="Segoe UI"/>
        </w:rPr>
        <w:t>ech ochrana</w:t>
      </w:r>
      <w:r w:rsidRPr="002D74BE">
        <w:rPr>
          <w:rFonts w:cs="Segoe UI"/>
        </w:rPr>
        <w:t xml:space="preserve"> zajištěna splněním souladu s legislativou, která garantuje, že:</w:t>
      </w:r>
    </w:p>
    <w:p w14:paraId="6CFD64D0" w14:textId="116EAA77" w:rsidR="00A32A7E" w:rsidRPr="00BF59EA" w:rsidRDefault="00A32A7E" w:rsidP="00A32A7E">
      <w:pPr>
        <w:pStyle w:val="Odstavecseseznamem"/>
        <w:numPr>
          <w:ilvl w:val="0"/>
          <w:numId w:val="21"/>
        </w:numPr>
        <w:spacing w:line="276" w:lineRule="auto"/>
        <w:rPr>
          <w:rFonts w:cs="Segoe UI"/>
        </w:rPr>
      </w:pPr>
      <w:r w:rsidRPr="002D74BE">
        <w:rPr>
          <w:rFonts w:cs="Segoe UI"/>
        </w:rPr>
        <w:t>Opatření je v souladu s příslušnými závěry referenčního dokumentu o nejlepších dostupných technikách (BAT) nebo s referenčními dokumenty o nejlepších dostupných technikách (BREF) v daném odvětví, pokud jde o investice v zařízeních spadajících do působnosti zákona o integrované prevenci. tj. u činností, které spadají do přílohy č. 1 zákona č. 76/2002 Sb., o integrované prevenci, ve znění pozdějších předpisů.</w:t>
      </w:r>
      <w:r w:rsidR="00FB2A0F">
        <w:rPr>
          <w:rFonts w:cs="Segoe UI"/>
        </w:rPr>
        <w:t xml:space="preserve"> </w:t>
      </w:r>
    </w:p>
    <w:p w14:paraId="501165D7" w14:textId="77777777" w:rsidR="00A32A7E" w:rsidRPr="002D74BE" w:rsidRDefault="00A32A7E" w:rsidP="00A32A7E">
      <w:pPr>
        <w:pStyle w:val="Odstavecseseznamem"/>
        <w:numPr>
          <w:ilvl w:val="0"/>
          <w:numId w:val="21"/>
        </w:numPr>
        <w:spacing w:line="276" w:lineRule="auto"/>
        <w:rPr>
          <w:rFonts w:cs="Segoe UI"/>
        </w:rPr>
      </w:pPr>
      <w:r w:rsidRPr="002D74BE">
        <w:rPr>
          <w:rFonts w:cs="Segoe UI"/>
        </w:rPr>
        <w:t>Opatření je v souladu s udržitelným používáním pesticidů.</w:t>
      </w:r>
      <w:r w:rsidRPr="002D74BE">
        <w:rPr>
          <w:rStyle w:val="Znakapoznpodarou"/>
          <w:rFonts w:cs="Segoe UI"/>
        </w:rPr>
        <w:footnoteReference w:id="75"/>
      </w:r>
    </w:p>
    <w:p w14:paraId="467CC0B2" w14:textId="77777777" w:rsidR="00A32A7E" w:rsidRPr="002D74BE" w:rsidRDefault="00A32A7E" w:rsidP="00A32A7E">
      <w:pPr>
        <w:pStyle w:val="Odstavecseseznamem"/>
        <w:numPr>
          <w:ilvl w:val="0"/>
          <w:numId w:val="22"/>
        </w:numPr>
        <w:spacing w:line="276" w:lineRule="auto"/>
        <w:rPr>
          <w:rFonts w:cs="Segoe UI"/>
        </w:rPr>
      </w:pPr>
      <w:r w:rsidRPr="002D74BE">
        <w:rPr>
          <w:rFonts w:cs="Segoe UI"/>
        </w:rPr>
        <w:t xml:space="preserve">Opatření nezpůsobí v případě kvality vody nebo ovzduší překročení limitní hodnoty norem environmentální kvality nebo limitní úrovně stanovené platnou legislativou (vodní zákon, zákon o ochraně </w:t>
      </w:r>
      <w:proofErr w:type="gramStart"/>
      <w:r w:rsidRPr="002D74BE">
        <w:rPr>
          <w:rFonts w:cs="Segoe UI"/>
        </w:rPr>
        <w:t>ovzduší,</w:t>
      </w:r>
      <w:proofErr w:type="gramEnd"/>
      <w:r w:rsidRPr="002D74BE">
        <w:rPr>
          <w:rFonts w:cs="Segoe UI"/>
        </w:rPr>
        <w:t xml:space="preserve"> atd.).</w:t>
      </w:r>
    </w:p>
    <w:p w14:paraId="3AF95377" w14:textId="073A2A1F" w:rsidR="00A32A7E" w:rsidRPr="00D77C59" w:rsidRDefault="00662060" w:rsidP="00A32A7E">
      <w:pPr>
        <w:rPr>
          <w:rFonts w:cs="Segoe UI"/>
          <w:b/>
          <w:bCs/>
        </w:rPr>
      </w:pPr>
      <w:r>
        <w:rPr>
          <w:rFonts w:cs="Segoe UI"/>
          <w:b/>
          <w:bCs/>
        </w:rPr>
        <w:t>Přehled legislativy:</w:t>
      </w:r>
    </w:p>
    <w:p w14:paraId="0A03DE2A" w14:textId="77777777" w:rsidR="00A32A7E" w:rsidRPr="002D74BE" w:rsidRDefault="00A32A7E" w:rsidP="00A32A7E">
      <w:pPr>
        <w:pStyle w:val="Odstavecseseznamem"/>
        <w:numPr>
          <w:ilvl w:val="0"/>
          <w:numId w:val="23"/>
        </w:numPr>
        <w:spacing w:line="276" w:lineRule="auto"/>
        <w:rPr>
          <w:rFonts w:cs="Segoe UI"/>
        </w:rPr>
      </w:pPr>
      <w:r w:rsidRPr="002D74BE">
        <w:rPr>
          <w:rFonts w:cs="Segoe UI"/>
        </w:rPr>
        <w:t xml:space="preserve">Zákon č. 76/2002 Sb., o integrované prevenci a o omezování znečištění, o integrovaném registru znečišťování a o změně některých zákonů (zákon o integrované prevenci) – implementace směrnice Evropského parlamentu a Rady 2010/75/EU ze dne 24. listopadu 2010 o průmyslových emisích (integrované prevenci a omezování znečištění) je zařízení posuzováno v integrovaném povolení. Určení, zda se jedná o zařízení s integrovaným povolením a zda je záměr v souladu s BAT, je povinností zpracovatele záměru a je posouzeno v rámci řízení o vydání integrovaného povolení, vedeným příslušným krajským úřadem. Všechna zařízení s vydaným integrovaným povolením dle zákona č. 76/2002 Sb., o integrované prevenci, jsou zveřejněna v informačním systému MŽP </w:t>
      </w:r>
      <w:hyperlink r:id="rId106" w:tooltip="http://www.ippc.mzp.cz" w:history="1">
        <w:r w:rsidRPr="002D74BE">
          <w:rPr>
            <w:rStyle w:val="Hypertextovodkaz"/>
            <w:rFonts w:cs="Segoe UI"/>
          </w:rPr>
          <w:t>www.ippc.mzp.cz</w:t>
        </w:r>
      </w:hyperlink>
      <w:r w:rsidRPr="002D74BE">
        <w:rPr>
          <w:rFonts w:cs="Segoe UI"/>
        </w:rPr>
        <w:t>.</w:t>
      </w:r>
    </w:p>
    <w:p w14:paraId="516EB43E" w14:textId="77777777" w:rsidR="00A32A7E" w:rsidRPr="002D74BE" w:rsidRDefault="00A32A7E" w:rsidP="00A32A7E">
      <w:pPr>
        <w:pStyle w:val="Odstavecseseznamem"/>
        <w:numPr>
          <w:ilvl w:val="0"/>
          <w:numId w:val="23"/>
        </w:numPr>
        <w:spacing w:line="276" w:lineRule="auto"/>
        <w:rPr>
          <w:rFonts w:cs="Segoe UI"/>
        </w:rPr>
      </w:pPr>
      <w:r w:rsidRPr="002D74BE">
        <w:rPr>
          <w:rFonts w:cs="Segoe UI"/>
        </w:rPr>
        <w:t xml:space="preserve">Zákon č. 201/2012 Sb., o ochraně ovzduší, transponuje řadu směrnic v oblasti snižování emisí ze stacionárních zdrojů a stanovuje podmínky pro povolování, provoz a kontrolu provozu těchto zdrojů, stejně jako imisní limity a požadavky na přípravu příslušných strategických dokumentů. </w:t>
      </w:r>
    </w:p>
    <w:p w14:paraId="34864FDA" w14:textId="77777777" w:rsidR="00A32A7E" w:rsidRPr="002D74BE" w:rsidRDefault="00A32A7E" w:rsidP="00A32A7E">
      <w:pPr>
        <w:pStyle w:val="Odstavecseseznamem"/>
        <w:numPr>
          <w:ilvl w:val="0"/>
          <w:numId w:val="23"/>
        </w:numPr>
        <w:spacing w:line="276" w:lineRule="auto"/>
        <w:rPr>
          <w:rFonts w:cs="Segoe UI"/>
        </w:rPr>
      </w:pPr>
      <w:r w:rsidRPr="002D74BE">
        <w:rPr>
          <w:rFonts w:cs="Segoe UI"/>
        </w:rPr>
        <w:t>Zákon č. 254/2001 Sb. o vodách a o změně některých zákonů (vodní zákon), ve znění pozdějších předpisů</w:t>
      </w:r>
      <w:r w:rsidR="00B03551">
        <w:rPr>
          <w:rFonts w:cs="Segoe UI"/>
        </w:rPr>
        <w:t>.</w:t>
      </w:r>
    </w:p>
    <w:p w14:paraId="1FB22D3F" w14:textId="77777777" w:rsidR="00A32A7E" w:rsidRPr="002D74BE" w:rsidRDefault="00A32A7E" w:rsidP="00A32A7E">
      <w:pPr>
        <w:pStyle w:val="Odstavecseseznamem"/>
        <w:numPr>
          <w:ilvl w:val="0"/>
          <w:numId w:val="23"/>
        </w:numPr>
        <w:spacing w:line="276" w:lineRule="auto"/>
        <w:rPr>
          <w:rFonts w:cs="Segoe UI"/>
        </w:rPr>
      </w:pPr>
      <w:r w:rsidRPr="002D74BE">
        <w:rPr>
          <w:rFonts w:cs="Segoe UI"/>
        </w:rPr>
        <w:t>Směrnice Evropského parlamentu a Rady 2011/65/EU o omezení používání některých nebezpečných látek v elektrických a elektronických zařízeních</w:t>
      </w:r>
      <w:r w:rsidR="00B03551">
        <w:rPr>
          <w:rFonts w:cs="Segoe UI"/>
        </w:rPr>
        <w:t>.</w:t>
      </w:r>
    </w:p>
    <w:p w14:paraId="117E9591" w14:textId="77777777" w:rsidR="00A32A7E" w:rsidRPr="002D74BE" w:rsidRDefault="00A32A7E" w:rsidP="00A32A7E">
      <w:pPr>
        <w:pStyle w:val="Odstavecseseznamem"/>
        <w:numPr>
          <w:ilvl w:val="0"/>
          <w:numId w:val="13"/>
        </w:numPr>
        <w:spacing w:line="276" w:lineRule="auto"/>
        <w:rPr>
          <w:rFonts w:cs="Segoe UI"/>
        </w:rPr>
      </w:pPr>
      <w:r w:rsidRPr="002D74BE">
        <w:rPr>
          <w:rFonts w:cs="Segoe UI"/>
        </w:rPr>
        <w:lastRenderedPageBreak/>
        <w:t>Směrnice Evropského parlamentu a Rady 2000/60/ES ze dne 23. října 2000, kterou se stanoví rámec pro činnost Společenství v oblasti vodní politiky</w:t>
      </w:r>
      <w:r w:rsidR="00B03551">
        <w:rPr>
          <w:rFonts w:cs="Segoe UI"/>
        </w:rPr>
        <w:t>.</w:t>
      </w:r>
    </w:p>
    <w:p w14:paraId="403CA0AF" w14:textId="5D8E57AB" w:rsidR="00A32A7E" w:rsidRPr="002D74BE" w:rsidRDefault="00A32A7E" w:rsidP="00A32A7E">
      <w:pPr>
        <w:pStyle w:val="Odstavecseseznamem"/>
        <w:numPr>
          <w:ilvl w:val="0"/>
          <w:numId w:val="5"/>
        </w:numPr>
        <w:spacing w:line="276" w:lineRule="auto"/>
        <w:rPr>
          <w:rFonts w:cs="Segoe UI"/>
        </w:rPr>
      </w:pPr>
      <w:r w:rsidRPr="002D74BE">
        <w:rPr>
          <w:rFonts w:cs="Segoe UI"/>
        </w:rPr>
        <w:t>Směrnice Evropského parlamentu a Rady 2008/105/ES, ze dne 16. prosince 2008 o normách environmentální kvality v oblasti vodní politiky (probíhá novelizace, jejíž přijetí se předpokládá v průběhu roku 2025)</w:t>
      </w:r>
      <w:r w:rsidR="00B03551">
        <w:rPr>
          <w:rFonts w:cs="Segoe UI"/>
        </w:rPr>
        <w:t>.</w:t>
      </w:r>
    </w:p>
    <w:p w14:paraId="70ED3E93" w14:textId="38C61D0E" w:rsidR="00A32A7E" w:rsidRPr="002D74BE" w:rsidRDefault="00A32A7E" w:rsidP="00A32A7E">
      <w:pPr>
        <w:pStyle w:val="Odstavecseseznamem"/>
        <w:numPr>
          <w:ilvl w:val="0"/>
          <w:numId w:val="5"/>
        </w:numPr>
        <w:spacing w:line="276" w:lineRule="auto"/>
        <w:rPr>
          <w:rFonts w:cs="Segoe UI"/>
        </w:rPr>
      </w:pPr>
      <w:r w:rsidRPr="002D74BE">
        <w:rPr>
          <w:rFonts w:cs="Segoe UI"/>
        </w:rPr>
        <w:t>Směrnice Evropského parlamentu a Rady 2006/118/ES ze dne 12. prosince 2006 o ochraně podzemních vod před znečištěním a zhoršováním stavu (probíhá novelizace, jejíž přijetí se předpokládá v průběhu roku 2025)</w:t>
      </w:r>
      <w:r w:rsidR="00B03551">
        <w:rPr>
          <w:rFonts w:cs="Segoe UI"/>
        </w:rPr>
        <w:t>.</w:t>
      </w:r>
    </w:p>
    <w:p w14:paraId="588687E9" w14:textId="77777777" w:rsidR="00A32A7E" w:rsidRPr="002D74BE" w:rsidRDefault="00A32A7E" w:rsidP="00A32A7E">
      <w:pPr>
        <w:pStyle w:val="Odstavecseseznamem"/>
        <w:numPr>
          <w:ilvl w:val="0"/>
          <w:numId w:val="13"/>
        </w:numPr>
        <w:spacing w:line="276" w:lineRule="auto"/>
        <w:rPr>
          <w:rFonts w:cs="Segoe UI"/>
        </w:rPr>
      </w:pPr>
      <w:r w:rsidRPr="002D74BE">
        <w:rPr>
          <w:rFonts w:cs="Segoe UI"/>
        </w:rPr>
        <w:t>Směrnice Evropského parlamentu a Rady 2012/18/EU ze dne 4. července 2012 o kontrole nebezpečí závažných havárií s přítomností nebezpečných látek a o změně a následném zrušení směrnice Rady 96/82/ES Text s významem pro EHP</w:t>
      </w:r>
      <w:r w:rsidR="00B03551">
        <w:rPr>
          <w:rFonts w:cs="Segoe UI"/>
        </w:rPr>
        <w:t>.</w:t>
      </w:r>
    </w:p>
    <w:p w14:paraId="3C18CEE2" w14:textId="77777777" w:rsidR="00A32A7E" w:rsidRPr="002D74BE" w:rsidRDefault="00A32A7E" w:rsidP="00A32A7E">
      <w:pPr>
        <w:pStyle w:val="Odstavecseseznamem"/>
        <w:numPr>
          <w:ilvl w:val="0"/>
          <w:numId w:val="13"/>
        </w:numPr>
        <w:spacing w:line="276" w:lineRule="auto"/>
        <w:rPr>
          <w:rFonts w:cs="Segoe UI"/>
        </w:rPr>
      </w:pPr>
      <w:r w:rsidRPr="002D74BE">
        <w:rPr>
          <w:rFonts w:cs="Segoe UI"/>
        </w:rPr>
        <w:t>Směrnice Evropského parlamentu a Rady 2004/35/ES ze dne 21. dubna 2004 o odpovědnosti za životní prostředí v souvislosti s prevencí a nápravou škod na životním prostředí</w:t>
      </w:r>
      <w:r w:rsidR="00B03551">
        <w:rPr>
          <w:rFonts w:cs="Segoe UI"/>
        </w:rPr>
        <w:t>.</w:t>
      </w:r>
    </w:p>
    <w:p w14:paraId="1EC59AC1" w14:textId="77777777" w:rsidR="00A32A7E" w:rsidRPr="002D74BE" w:rsidRDefault="00A32A7E" w:rsidP="00A32A7E">
      <w:pPr>
        <w:pStyle w:val="Odstavecseseznamem"/>
        <w:numPr>
          <w:ilvl w:val="0"/>
          <w:numId w:val="13"/>
        </w:numPr>
        <w:spacing w:line="276" w:lineRule="auto"/>
        <w:rPr>
          <w:rFonts w:cs="Segoe UI"/>
        </w:rPr>
      </w:pPr>
      <w:r w:rsidRPr="002D74BE">
        <w:rPr>
          <w:rFonts w:cs="Segoe UI"/>
        </w:rPr>
        <w:t>Směrnice Evropského parlamentu a Rady 2008/98/ES ze dne 19. listopadu 2008 o odpadech a o zrušení některých směrnic</w:t>
      </w:r>
      <w:r w:rsidR="00B03551">
        <w:rPr>
          <w:rFonts w:cs="Segoe UI"/>
        </w:rPr>
        <w:t>.</w:t>
      </w:r>
    </w:p>
    <w:p w14:paraId="1DCEB21C" w14:textId="77777777" w:rsidR="00A32A7E" w:rsidRPr="002D74BE" w:rsidRDefault="00A32A7E" w:rsidP="00A32A7E">
      <w:pPr>
        <w:pStyle w:val="Odstavecseseznamem"/>
        <w:numPr>
          <w:ilvl w:val="0"/>
          <w:numId w:val="13"/>
        </w:numPr>
        <w:spacing w:line="276" w:lineRule="auto"/>
        <w:rPr>
          <w:rFonts w:cs="Segoe UI"/>
        </w:rPr>
      </w:pPr>
      <w:r w:rsidRPr="002D74BE">
        <w:rPr>
          <w:rFonts w:cs="Segoe UI"/>
        </w:rPr>
        <w:t>Nařízení Evropského parlamentu a Rady (EU) 2019/1021 ze dne 20. června 2019 o perzistentních organických znečišťujících látkách</w:t>
      </w:r>
      <w:r w:rsidR="00B03551">
        <w:rPr>
          <w:rFonts w:cs="Segoe UI"/>
        </w:rPr>
        <w:t>.</w:t>
      </w:r>
    </w:p>
    <w:p w14:paraId="1D93A767" w14:textId="77777777" w:rsidR="00A32A7E" w:rsidRPr="002D74BE" w:rsidRDefault="00A32A7E" w:rsidP="00A32A7E">
      <w:pPr>
        <w:pStyle w:val="Odstavecseseznamem"/>
        <w:numPr>
          <w:ilvl w:val="0"/>
          <w:numId w:val="13"/>
        </w:numPr>
        <w:spacing w:line="276" w:lineRule="auto"/>
        <w:rPr>
          <w:rFonts w:cs="Segoe UI"/>
        </w:rPr>
      </w:pPr>
      <w:r w:rsidRPr="002D74BE">
        <w:rPr>
          <w:rFonts w:cs="Segoe UI"/>
        </w:rPr>
        <w:t>Nařízení Evropského parlamentu a Rady (EU) 2017/852 ze dne 17. května 2017 o rtuti a o zrušení nařízení (ES) č. 1102/2008</w:t>
      </w:r>
      <w:r w:rsidR="00B03551">
        <w:rPr>
          <w:rFonts w:cs="Segoe UI"/>
        </w:rPr>
        <w:t>.</w:t>
      </w:r>
    </w:p>
    <w:p w14:paraId="4489DBFB" w14:textId="77777777" w:rsidR="00A32A7E" w:rsidRDefault="00A32A7E" w:rsidP="00A32A7E">
      <w:pPr>
        <w:pStyle w:val="Odstavecseseznamem"/>
        <w:numPr>
          <w:ilvl w:val="0"/>
          <w:numId w:val="13"/>
        </w:numPr>
        <w:spacing w:line="276" w:lineRule="auto"/>
        <w:rPr>
          <w:rFonts w:cs="Segoe UI"/>
        </w:rPr>
      </w:pPr>
      <w:r w:rsidRPr="002D74BE">
        <w:rPr>
          <w:rFonts w:cs="Segoe UI"/>
        </w:rPr>
        <w:t>Nařízení Evropského parlamentu a Rady (ES) č. 1907/2006 ze dne 18. prosince 2006 o registraci, hodnocení, povolování a omezování chemických látek, o zřízení Evropské agentury pro chemické látky, o změně směrnice 1999/45/ES a o zrušení nařízení Rady (EHS) č. 793/93, nařízení Komise (ES) č. 1488/94, směrnice Rady 76/769/EHS a směrnic Komise 91/155/EHS, 93/67/EHS, 93/105/ES a 2000/21/ES</w:t>
      </w:r>
      <w:r w:rsidR="00B03551">
        <w:rPr>
          <w:rFonts w:cs="Segoe UI"/>
        </w:rPr>
        <w:t>.</w:t>
      </w:r>
    </w:p>
    <w:p w14:paraId="77C9038C" w14:textId="79D0D832" w:rsidR="00A32A7E" w:rsidRPr="002D74BE" w:rsidRDefault="0090493B" w:rsidP="00D27E31">
      <w:pPr>
        <w:pStyle w:val="Nadpis4"/>
        <w:rPr>
          <w:bCs/>
        </w:rPr>
      </w:pPr>
      <w:bookmarkStart w:id="128" w:name="_Hlk193720626"/>
      <w:r>
        <w:t>Další podmínky k možnému zapracování</w:t>
      </w:r>
    </w:p>
    <w:p w14:paraId="759A0A1E" w14:textId="01198420" w:rsidR="00A32A7E" w:rsidRPr="002D74BE" w:rsidRDefault="00A32A7E" w:rsidP="00A32A7E">
      <w:pPr>
        <w:rPr>
          <w:rFonts w:cs="Segoe UI"/>
        </w:rPr>
      </w:pPr>
      <w:bookmarkStart w:id="129" w:name="_Hlk193720675"/>
      <w:bookmarkEnd w:id="128"/>
      <w:r w:rsidRPr="002D74BE">
        <w:rPr>
          <w:rFonts w:cs="Segoe UI"/>
        </w:rPr>
        <w:t xml:space="preserve">V případě, že dojde ke shledání, že zamýšlený druh podpory </w:t>
      </w:r>
      <w:r w:rsidR="00FB5C99" w:rsidRPr="00EB459F">
        <w:rPr>
          <w:rFonts w:cs="Segoe UI"/>
        </w:rPr>
        <w:t xml:space="preserve">i přes </w:t>
      </w:r>
      <w:r w:rsidR="00FB5C99">
        <w:rPr>
          <w:rFonts w:cs="Segoe UI"/>
        </w:rPr>
        <w:t xml:space="preserve">implementaci </w:t>
      </w:r>
      <w:r w:rsidR="00FB5C99" w:rsidRPr="00BA38D6">
        <w:rPr>
          <w:rFonts w:cs="Segoe UI"/>
        </w:rPr>
        <w:t>ochranných opatření a splnění souladu s legislativními předpisy a souvisejícími povoleními může představovat riziko</w:t>
      </w:r>
      <w:r w:rsidR="00FB5C99">
        <w:rPr>
          <w:rFonts w:cs="Segoe UI"/>
        </w:rPr>
        <w:t xml:space="preserve"> poškozování životního prostředí</w:t>
      </w:r>
      <w:r w:rsidRPr="002D74BE">
        <w:rPr>
          <w:rFonts w:cs="Segoe UI"/>
        </w:rPr>
        <w:t xml:space="preserve"> v oblasti prevence znečištění, je možné zvýšit úroveň ochrany implementací vhodných podmínek a opatření:</w:t>
      </w:r>
    </w:p>
    <w:bookmarkEnd w:id="129"/>
    <w:p w14:paraId="0D81B956" w14:textId="6BBEE689" w:rsidR="0090493B" w:rsidRPr="00063DFD" w:rsidRDefault="0090493B" w:rsidP="00A32A7E">
      <w:pPr>
        <w:rPr>
          <w:rFonts w:cs="Segoe UI"/>
          <w:b/>
          <w:bCs/>
        </w:rPr>
      </w:pPr>
      <w:r w:rsidRPr="0090493B">
        <w:rPr>
          <w:rFonts w:cs="Segoe UI"/>
          <w:b/>
          <w:bCs/>
        </w:rPr>
        <w:t>Fakultativní stanovení podmínek dle taxonomie (ať již na základě významného přínosu, či na základě podmínek DNSH)</w:t>
      </w:r>
    </w:p>
    <w:p w14:paraId="32B8F1AE" w14:textId="118AF360" w:rsidR="00FB5C99" w:rsidRPr="002D74BE" w:rsidRDefault="00A2618E" w:rsidP="00FB5C99">
      <w:pPr>
        <w:rPr>
          <w:rFonts w:cs="Segoe UI"/>
        </w:rPr>
      </w:pPr>
      <w:r>
        <w:rPr>
          <w:rFonts w:cs="Segoe UI"/>
        </w:rPr>
        <w:t>Dodatečnou ochranu</w:t>
      </w:r>
      <w:r w:rsidRPr="00EB459F">
        <w:rPr>
          <w:rFonts w:cs="Segoe UI"/>
        </w:rPr>
        <w:t xml:space="preserve"> životního prostředí v oblasti </w:t>
      </w:r>
      <w:r>
        <w:rPr>
          <w:rFonts w:cs="Segoe UI"/>
        </w:rPr>
        <w:t>prevence a omezování znečištění</w:t>
      </w:r>
      <w:r w:rsidRPr="00EB459F">
        <w:rPr>
          <w:rFonts w:cs="Segoe UI"/>
        </w:rPr>
        <w:t xml:space="preserve"> </w:t>
      </w:r>
      <w:r>
        <w:rPr>
          <w:rFonts w:cs="Segoe UI"/>
        </w:rPr>
        <w:t xml:space="preserve">je možné zajistit </w:t>
      </w:r>
      <w:r w:rsidRPr="00EB459F">
        <w:rPr>
          <w:rFonts w:cs="Segoe UI"/>
        </w:rPr>
        <w:t xml:space="preserve">využitím delegovaných aktů taxonomie, </w:t>
      </w:r>
      <w:r>
        <w:rPr>
          <w:rFonts w:cs="Segoe UI"/>
        </w:rPr>
        <w:t xml:space="preserve">implementací podmínek </w:t>
      </w:r>
      <w:r w:rsidRPr="00EB459F">
        <w:rPr>
          <w:rFonts w:cs="Segoe UI"/>
        </w:rPr>
        <w:t>nejen z technických kritérií významného přínosu, ale rovněž podmínek pro plnění zásady významně nepoškozovat</w:t>
      </w:r>
      <w:r>
        <w:rPr>
          <w:rFonts w:cs="Segoe UI"/>
        </w:rPr>
        <w:t>.</w:t>
      </w:r>
      <w:r w:rsidR="00FB5C99">
        <w:rPr>
          <w:rFonts w:cs="Segoe UI"/>
        </w:rPr>
        <w:t xml:space="preserve"> </w:t>
      </w:r>
      <w:r w:rsidR="00FB5C99" w:rsidRPr="002D74BE">
        <w:rPr>
          <w:rFonts w:cs="Segoe UI"/>
        </w:rPr>
        <w:t>Jelikož je zásada DNSH ukotvena v článku 17 Nařízení o taxonomii a je obdobně interpretována i v jednotlivých právních předpisech relevantních fondů, je možné stanovit konkrétní podmínky pro čerpání podpory analogicky dle technických kritérií</w:t>
      </w:r>
      <w:r w:rsidR="00FB5C99">
        <w:rPr>
          <w:rFonts w:cs="Segoe UI"/>
        </w:rPr>
        <w:t>.</w:t>
      </w:r>
    </w:p>
    <w:p w14:paraId="7C1C79AC" w14:textId="22299E93" w:rsidR="00FB5C99" w:rsidRPr="002D74BE" w:rsidRDefault="00241D59" w:rsidP="00FB5C99">
      <w:pPr>
        <w:rPr>
          <w:rFonts w:cs="Segoe UI"/>
        </w:rPr>
      </w:pPr>
      <w:r>
        <w:rPr>
          <w:rFonts w:cs="Segoe UI"/>
        </w:rPr>
        <w:lastRenderedPageBreak/>
        <w:t>V případě postupu dle významného přínosu je d</w:t>
      </w:r>
      <w:r w:rsidRPr="00BA38D6">
        <w:rPr>
          <w:rFonts w:cs="Segoe UI"/>
        </w:rPr>
        <w:t xml:space="preserve">oporučeným postupem dohledat předmět </w:t>
      </w:r>
      <w:r w:rsidR="00FB5C99" w:rsidRPr="002D74BE">
        <w:rPr>
          <w:rFonts w:cs="Segoe UI"/>
        </w:rPr>
        <w:t>podpory v </w:t>
      </w:r>
      <w:hyperlink r:id="rId107" w:history="1">
        <w:r w:rsidR="00FB5C99" w:rsidRPr="002D74BE">
          <w:rPr>
            <w:rStyle w:val="Hypertextovodkaz"/>
            <w:rFonts w:cs="Segoe UI"/>
          </w:rPr>
          <w:t xml:space="preserve">EU Taxonomy </w:t>
        </w:r>
        <w:proofErr w:type="spellStart"/>
        <w:r w:rsidR="00FB5C99" w:rsidRPr="002D74BE">
          <w:rPr>
            <w:rStyle w:val="Hypertextovodkaz"/>
            <w:rFonts w:cs="Segoe UI"/>
          </w:rPr>
          <w:t>compass</w:t>
        </w:r>
        <w:proofErr w:type="spellEnd"/>
      </w:hyperlink>
      <w:r w:rsidR="00FB5C99" w:rsidRPr="002D74BE">
        <w:rPr>
          <w:rFonts w:cs="Segoe UI"/>
        </w:rPr>
        <w:t xml:space="preserve"> nebo </w:t>
      </w:r>
      <w:hyperlink w:anchor="_Kontext_taxonomie_EU" w:history="1">
        <w:r w:rsidR="00FB5C99" w:rsidRPr="0077290F">
          <w:rPr>
            <w:rStyle w:val="Hypertextovodkaz"/>
            <w:rFonts w:cs="Segoe UI"/>
          </w:rPr>
          <w:t>relevantním delegovaném aktu taxonomie</w:t>
        </w:r>
      </w:hyperlink>
      <w:r w:rsidR="00FB5C99" w:rsidRPr="002D74BE">
        <w:rPr>
          <w:rFonts w:cs="Segoe UI"/>
        </w:rPr>
        <w:t xml:space="preserve">. </w:t>
      </w:r>
      <w:r w:rsidR="00FB5C99" w:rsidRPr="009126CE">
        <w:rPr>
          <w:rFonts w:cs="Segoe UI"/>
        </w:rPr>
        <w:t xml:space="preserve">Český překlad je zveřejněn na webových stránkách </w:t>
      </w:r>
      <w:hyperlink r:id="rId108" w:history="1">
        <w:r w:rsidR="00FB5C99" w:rsidRPr="0058633B">
          <w:rPr>
            <w:rStyle w:val="Hypertextovodkaz"/>
            <w:rFonts w:cs="Segoe UI"/>
          </w:rPr>
          <w:t>Ministerstva financí</w:t>
        </w:r>
      </w:hyperlink>
      <w:r w:rsidR="00FB5C99" w:rsidRPr="009126CE">
        <w:rPr>
          <w:rFonts w:cs="Segoe UI"/>
        </w:rPr>
        <w:t>, kde jsou k dispozici překlady jednotlivých činností a také screeningových kritérií.</w:t>
      </w:r>
    </w:p>
    <w:p w14:paraId="6B74B70A" w14:textId="77777777" w:rsidR="00FB5C99" w:rsidRPr="002D74BE" w:rsidRDefault="00FB5C99" w:rsidP="00FB5C99">
      <w:pPr>
        <w:rPr>
          <w:rFonts w:cs="Segoe UI"/>
        </w:rPr>
      </w:pPr>
      <w:r w:rsidRPr="002D74BE">
        <w:rPr>
          <w:rFonts w:cs="Segoe UI"/>
          <w:noProof/>
          <w14:ligatures w14:val="standardContextual"/>
        </w:rPr>
        <mc:AlternateContent>
          <mc:Choice Requires="wps">
            <w:drawing>
              <wp:anchor distT="0" distB="0" distL="114300" distR="114300" simplePos="0" relativeHeight="251698176" behindDoc="0" locked="0" layoutInCell="1" allowOverlap="1" wp14:anchorId="35F4434E" wp14:editId="76C6CA78">
                <wp:simplePos x="0" y="0"/>
                <wp:positionH relativeFrom="column">
                  <wp:posOffset>4534535</wp:posOffset>
                </wp:positionH>
                <wp:positionV relativeFrom="paragraph">
                  <wp:posOffset>6654</wp:posOffset>
                </wp:positionV>
                <wp:extent cx="514350" cy="914400"/>
                <wp:effectExtent l="19050" t="19050" r="19050" b="19050"/>
                <wp:wrapNone/>
                <wp:docPr id="360329687" name="Obdélník 1"/>
                <wp:cNvGraphicFramePr/>
                <a:graphic xmlns:a="http://schemas.openxmlformats.org/drawingml/2006/main">
                  <a:graphicData uri="http://schemas.microsoft.com/office/word/2010/wordprocessingShape">
                    <wps:wsp>
                      <wps:cNvSpPr/>
                      <wps:spPr>
                        <a:xfrm>
                          <a:off x="0" y="0"/>
                          <a:ext cx="514350" cy="914400"/>
                        </a:xfrm>
                        <a:prstGeom prst="rect">
                          <a:avLst/>
                        </a:prstGeom>
                        <a:noFill/>
                        <a:ln w="2857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113331" id="Obdélník 1" o:spid="_x0000_s1026" style="position:absolute;margin-left:357.05pt;margin-top:.5pt;width:40.5pt;height:1in;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" filled="f" strokecolor="red" strokeweight="2.25pt"/>
            </w:pict>
          </mc:Fallback>
        </mc:AlternateContent>
      </w:r>
      <w:r w:rsidRPr="002D74BE">
        <w:rPr>
          <w:rFonts w:cs="Segoe UI"/>
          <w:noProof/>
          <w14:ligatures w14:val="standardContextual"/>
        </w:rPr>
        <w:drawing>
          <wp:inline distT="0" distB="0" distL="0" distR="0" wp14:anchorId="43525435" wp14:editId="48753D69">
            <wp:extent cx="5760720" cy="404495"/>
            <wp:effectExtent l="0" t="0" r="0" b="0"/>
            <wp:docPr id="147460079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789274" name=""/>
                    <pic:cNvPicPr/>
                  </pic:nvPicPr>
                  <pic:blipFill>
                    <a:blip r:embed="rId63"/>
                    <a:stretch>
                      <a:fillRect/>
                    </a:stretch>
                  </pic:blipFill>
                  <pic:spPr>
                    <a:xfrm>
                      <a:off x="0" y="0"/>
                      <a:ext cx="5760720" cy="404495"/>
                    </a:xfrm>
                    <a:prstGeom prst="rect">
                      <a:avLst/>
                    </a:prstGeom>
                  </pic:spPr>
                </pic:pic>
              </a:graphicData>
            </a:graphic>
          </wp:inline>
        </w:drawing>
      </w:r>
    </w:p>
    <w:p w14:paraId="779EE8B3" w14:textId="77777777" w:rsidR="00FB5C99" w:rsidRPr="002D74BE" w:rsidRDefault="00FB5C99" w:rsidP="00FB5C99">
      <w:pPr>
        <w:rPr>
          <w:rFonts w:cs="Segoe UI"/>
        </w:rPr>
      </w:pPr>
      <w:r w:rsidRPr="002D74BE">
        <w:rPr>
          <w:rFonts w:cs="Segoe UI"/>
          <w:noProof/>
          <w14:ligatures w14:val="standardContextual"/>
        </w:rPr>
        <w:drawing>
          <wp:inline distT="0" distB="0" distL="0" distR="0" wp14:anchorId="54C1BBE9" wp14:editId="2752C086">
            <wp:extent cx="5760720" cy="422910"/>
            <wp:effectExtent l="0" t="0" r="0" b="0"/>
            <wp:docPr id="145174938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62652" name=""/>
                    <pic:cNvPicPr/>
                  </pic:nvPicPr>
                  <pic:blipFill>
                    <a:blip r:embed="rId109"/>
                    <a:stretch>
                      <a:fillRect/>
                    </a:stretch>
                  </pic:blipFill>
                  <pic:spPr>
                    <a:xfrm>
                      <a:off x="0" y="0"/>
                      <a:ext cx="5760720" cy="422910"/>
                    </a:xfrm>
                    <a:prstGeom prst="rect">
                      <a:avLst/>
                    </a:prstGeom>
                  </pic:spPr>
                </pic:pic>
              </a:graphicData>
            </a:graphic>
          </wp:inline>
        </w:drawing>
      </w:r>
    </w:p>
    <w:p w14:paraId="2A484CD9" w14:textId="7CF2E51B" w:rsidR="00FB5C99" w:rsidRDefault="00FB5C99" w:rsidP="00A2618E">
      <w:pPr>
        <w:rPr>
          <w:rFonts w:cs="Segoe UI"/>
        </w:rPr>
      </w:pPr>
      <w:r w:rsidRPr="002D74BE">
        <w:rPr>
          <w:rFonts w:cs="Segoe UI"/>
        </w:rPr>
        <w:t xml:space="preserve">Tento postup je možný implementovat pouze v případech, kdy byly v rámci delegovaného aktu (EU) 2023/2486 taxonomie technická screeningová kritéria pro určení toho, </w:t>
      </w:r>
      <w:r w:rsidRPr="00BA38D6">
        <w:rPr>
          <w:rFonts w:cs="Segoe UI"/>
        </w:rPr>
        <w:t xml:space="preserve">za jakých podmínek </w:t>
      </w:r>
      <w:r>
        <w:rPr>
          <w:rFonts w:cs="Segoe UI"/>
        </w:rPr>
        <w:t>je možné určit významný příspěvek</w:t>
      </w:r>
      <w:r w:rsidRPr="00BA38D6">
        <w:rPr>
          <w:rFonts w:cs="Segoe UI"/>
        </w:rPr>
        <w:t xml:space="preserve"> hospodářsk</w:t>
      </w:r>
      <w:r>
        <w:rPr>
          <w:rFonts w:cs="Segoe UI"/>
        </w:rPr>
        <w:t>é</w:t>
      </w:r>
      <w:r w:rsidRPr="00BA38D6">
        <w:rPr>
          <w:rFonts w:cs="Segoe UI"/>
        </w:rPr>
        <w:t xml:space="preserve"> činnos</w:t>
      </w:r>
      <w:r>
        <w:rPr>
          <w:rFonts w:cs="Segoe UI"/>
        </w:rPr>
        <w:t>ti</w:t>
      </w:r>
      <w:r w:rsidRPr="00BA38D6">
        <w:rPr>
          <w:rFonts w:cs="Segoe UI"/>
        </w:rPr>
        <w:t xml:space="preserve"> k</w:t>
      </w:r>
      <w:r>
        <w:rPr>
          <w:rFonts w:cs="Segoe UI"/>
        </w:rPr>
        <w:t xml:space="preserve"> prevenci</w:t>
      </w:r>
      <w:r w:rsidRPr="002D74BE">
        <w:rPr>
          <w:rFonts w:cs="Segoe UI"/>
        </w:rPr>
        <w:t xml:space="preserve"> a omezování znečištění. </w:t>
      </w:r>
    </w:p>
    <w:p w14:paraId="0BED92FA" w14:textId="682044DB" w:rsidR="00A32A7E" w:rsidRPr="002D74BE" w:rsidRDefault="00FB5C99" w:rsidP="00FB5C99">
      <w:pPr>
        <w:spacing w:after="0"/>
        <w:rPr>
          <w:rFonts w:cs="Segoe UI"/>
        </w:rPr>
      </w:pPr>
      <w:r w:rsidRPr="00A37FFA">
        <w:rPr>
          <w:rFonts w:cs="Segoe UI"/>
        </w:rPr>
        <w:t xml:space="preserve">V případě </w:t>
      </w:r>
      <w:r>
        <w:rPr>
          <w:rFonts w:cs="Segoe UI"/>
        </w:rPr>
        <w:t xml:space="preserve">kritérií DNSH je při </w:t>
      </w:r>
      <w:r w:rsidRPr="00A37FFA">
        <w:rPr>
          <w:rFonts w:cs="Segoe UI"/>
        </w:rPr>
        <w:t xml:space="preserve">využití </w:t>
      </w:r>
      <w:hyperlink r:id="rId110" w:history="1">
        <w:r w:rsidRPr="00A37FFA">
          <w:rPr>
            <w:rStyle w:val="Hypertextovodkaz"/>
            <w:rFonts w:cs="Segoe UI"/>
          </w:rPr>
          <w:t xml:space="preserve">EU Taxonomy </w:t>
        </w:r>
        <w:proofErr w:type="spellStart"/>
        <w:r w:rsidRPr="00A37FFA">
          <w:rPr>
            <w:rStyle w:val="Hypertextovodkaz"/>
            <w:rFonts w:cs="Segoe UI"/>
          </w:rPr>
          <w:t>compass</w:t>
        </w:r>
        <w:proofErr w:type="spellEnd"/>
      </w:hyperlink>
      <w:r w:rsidRPr="00A37FFA">
        <w:rPr>
          <w:rFonts w:cs="Segoe UI"/>
        </w:rPr>
        <w:t xml:space="preserve"> možné relevantní podmínky </w:t>
      </w:r>
      <w:r>
        <w:rPr>
          <w:rFonts w:cs="Segoe UI"/>
        </w:rPr>
        <w:t xml:space="preserve">dohledat </w:t>
      </w:r>
      <w:r w:rsidRPr="00A37FFA">
        <w:rPr>
          <w:rFonts w:cs="Segoe UI"/>
        </w:rPr>
        <w:t>následujícím způsobem:</w:t>
      </w:r>
    </w:p>
    <w:p w14:paraId="342C2A2F" w14:textId="77777777" w:rsidR="00A32A7E" w:rsidRDefault="00A32A7E" w:rsidP="00A32A7E">
      <w:pPr>
        <w:rPr>
          <w:rFonts w:cs="Segoe UI"/>
          <w:b/>
          <w:bCs/>
        </w:rPr>
      </w:pPr>
      <w:r>
        <w:rPr>
          <w:noProof/>
          <w14:ligatures w14:val="standardContextual"/>
        </w:rPr>
        <mc:AlternateContent>
          <mc:Choice Requires="wps">
            <w:drawing>
              <wp:anchor distT="0" distB="0" distL="114300" distR="114300" simplePos="0" relativeHeight="251668480" behindDoc="0" locked="0" layoutInCell="1" allowOverlap="1" wp14:anchorId="6BBFC3F4" wp14:editId="36CD55DC">
                <wp:simplePos x="0" y="0"/>
                <wp:positionH relativeFrom="column">
                  <wp:posOffset>252730</wp:posOffset>
                </wp:positionH>
                <wp:positionV relativeFrom="paragraph">
                  <wp:posOffset>3195955</wp:posOffset>
                </wp:positionV>
                <wp:extent cx="5267325" cy="333375"/>
                <wp:effectExtent l="0" t="0" r="28575" b="28575"/>
                <wp:wrapNone/>
                <wp:docPr id="37458272" name="Vývojový diagram: postup 2"/>
                <wp:cNvGraphicFramePr/>
                <a:graphic xmlns:a="http://schemas.openxmlformats.org/drawingml/2006/main">
                  <a:graphicData uri="http://schemas.microsoft.com/office/word/2010/wordprocessingShape">
                    <wps:wsp>
                      <wps:cNvSpPr/>
                      <wps:spPr>
                        <a:xfrm>
                          <a:off x="0" y="0"/>
                          <a:ext cx="5267325" cy="333375"/>
                        </a:xfrm>
                        <a:prstGeom prst="flowChartProcess">
                          <a:avLst/>
                        </a:prstGeom>
                        <a:noFill/>
                        <a:ln w="190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99E3C28" id="Vývojový diagram: postup 2" o:spid="_x0000_s1026" type="#_x0000_t109" style="position:absolute;margin-left:19.9pt;margin-top:251.65pt;width:414.75pt;height:26.2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" filled="f" strokecolor="red" strokeweight="1.5pt"/>
            </w:pict>
          </mc:Fallback>
        </mc:AlternateContent>
      </w:r>
      <w:r>
        <w:rPr>
          <w:noProof/>
          <w14:ligatures w14:val="standardContextual"/>
        </w:rPr>
        <w:drawing>
          <wp:inline distT="0" distB="0" distL="0" distR="0" wp14:anchorId="7E63BA40" wp14:editId="52ED2794">
            <wp:extent cx="5760720" cy="5876925"/>
            <wp:effectExtent l="0" t="0" r="0" b="9525"/>
            <wp:docPr id="1460687396" name="Obrázek 1" descr="Obsah obrázku text, snímek obrazovky, číslo, Písmo&#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799538" name="Obrázek 1" descr="Obsah obrázku text, snímek obrazovky, číslo, Písmo&#10;&#10;Obsah vygenerovaný umělou inteligencí může být nesprávný."/>
                    <pic:cNvPicPr/>
                  </pic:nvPicPr>
                  <pic:blipFill>
                    <a:blip r:embed="rId96"/>
                    <a:stretch>
                      <a:fillRect/>
                    </a:stretch>
                  </pic:blipFill>
                  <pic:spPr>
                    <a:xfrm>
                      <a:off x="0" y="0"/>
                      <a:ext cx="5760720" cy="5876925"/>
                    </a:xfrm>
                    <a:prstGeom prst="rect">
                      <a:avLst/>
                    </a:prstGeom>
                  </pic:spPr>
                </pic:pic>
              </a:graphicData>
            </a:graphic>
          </wp:inline>
        </w:drawing>
      </w:r>
    </w:p>
    <w:p w14:paraId="1D5B0ABE" w14:textId="77777777" w:rsidR="00A32A7E" w:rsidRPr="002D74BE" w:rsidRDefault="00A32A7E" w:rsidP="00A32A7E">
      <w:pPr>
        <w:rPr>
          <w:rFonts w:cs="Segoe UI"/>
          <w:b/>
          <w:bCs/>
        </w:rPr>
      </w:pPr>
      <w:bookmarkStart w:id="130" w:name="_Hlk193985444"/>
      <w:r w:rsidRPr="002D74BE">
        <w:rPr>
          <w:rFonts w:cs="Segoe UI"/>
          <w:b/>
          <w:bCs/>
        </w:rPr>
        <w:lastRenderedPageBreak/>
        <w:t>Obecné podmínky</w:t>
      </w:r>
    </w:p>
    <w:bookmarkEnd w:id="130"/>
    <w:p w14:paraId="48B7E14E" w14:textId="77777777" w:rsidR="00A32A7E" w:rsidRPr="002D74BE" w:rsidRDefault="00A32A7E" w:rsidP="00A32A7E">
      <w:pPr>
        <w:pStyle w:val="Odstavecseseznamem"/>
        <w:numPr>
          <w:ilvl w:val="0"/>
          <w:numId w:val="78"/>
        </w:numPr>
        <w:spacing w:after="0" w:line="276" w:lineRule="auto"/>
        <w:contextualSpacing/>
        <w:rPr>
          <w:rFonts w:cs="Segoe UI"/>
        </w:rPr>
      </w:pPr>
      <w:r w:rsidRPr="002D74BE">
        <w:rPr>
          <w:rFonts w:cs="Segoe UI"/>
        </w:rPr>
        <w:t>Přijímají se opatření ke snížení hluku, prachu a emisí znečišťujících látek při stavebních nebo údržbářských pracích. Poučit žadatele o vhodných postupech viz:</w:t>
      </w:r>
    </w:p>
    <w:p w14:paraId="514B55B6" w14:textId="77777777" w:rsidR="00A32A7E" w:rsidRPr="002D74BE" w:rsidRDefault="00A32A7E" w:rsidP="00A32A7E">
      <w:pPr>
        <w:pStyle w:val="Odstavecseseznamem"/>
        <w:numPr>
          <w:ilvl w:val="0"/>
          <w:numId w:val="63"/>
        </w:numPr>
        <w:spacing w:after="0" w:line="276" w:lineRule="auto"/>
        <w:ind w:left="1068"/>
        <w:rPr>
          <w:rFonts w:cs="Segoe UI"/>
        </w:rPr>
      </w:pPr>
      <w:r w:rsidRPr="002D74BE">
        <w:rPr>
          <w:rFonts w:cs="Segoe UI"/>
        </w:rPr>
        <w:t>Katalog doporučených opatření k omezení emisí ze stavebních strojů a z dalších stavebních činností naleznete např. v Metodickém návodu Ministerstva životního prostředí</w:t>
      </w:r>
      <w:r w:rsidRPr="002D74BE">
        <w:rPr>
          <w:rStyle w:val="Znakapoznpodarou"/>
          <w:rFonts w:cs="Segoe UI"/>
        </w:rPr>
        <w:footnoteReference w:id="76"/>
      </w:r>
      <w:r w:rsidRPr="002D74BE">
        <w:rPr>
          <w:rFonts w:cs="Segoe UI"/>
        </w:rPr>
        <w:t>.</w:t>
      </w:r>
    </w:p>
    <w:p w14:paraId="522401EE" w14:textId="77777777" w:rsidR="00A32A7E" w:rsidRPr="002D74BE" w:rsidRDefault="00A32A7E" w:rsidP="00761A6D">
      <w:pPr>
        <w:pStyle w:val="Odstavecseseznamem"/>
        <w:numPr>
          <w:ilvl w:val="0"/>
          <w:numId w:val="191"/>
        </w:numPr>
        <w:spacing w:line="276" w:lineRule="auto"/>
        <w:contextualSpacing/>
        <w:rPr>
          <w:rFonts w:cs="Segoe UI"/>
        </w:rPr>
      </w:pPr>
      <w:r w:rsidRPr="002D74BE">
        <w:rPr>
          <w:rFonts w:cs="Segoe UI"/>
        </w:rPr>
        <w:t>Pro přehled nástrojů pro efektivní minimalizaci, hluku, prachu a emisí v průběhu výstavby doporučujeme konzultovat Průvodce udržitelností a zásadou DNSH pro budovy</w:t>
      </w:r>
      <w:r w:rsidRPr="002D74BE">
        <w:rPr>
          <w:rStyle w:val="Znakapoznpodarou"/>
          <w:rFonts w:cs="Segoe UI"/>
        </w:rPr>
        <w:footnoteReference w:id="77"/>
      </w:r>
      <w:r w:rsidRPr="002D74BE">
        <w:rPr>
          <w:rFonts w:cs="Segoe UI"/>
        </w:rPr>
        <w:t>.</w:t>
      </w:r>
    </w:p>
    <w:p w14:paraId="4A6AE6FF" w14:textId="77777777" w:rsidR="00A32A7E" w:rsidRPr="002D74BE" w:rsidRDefault="00A32A7E" w:rsidP="00A32A7E">
      <w:pPr>
        <w:keepNext/>
        <w:rPr>
          <w:rFonts w:cs="Segoe UI"/>
          <w:b/>
          <w:bCs/>
        </w:rPr>
      </w:pPr>
      <w:r w:rsidRPr="002D74BE">
        <w:rPr>
          <w:rFonts w:cs="Segoe UI"/>
          <w:b/>
          <w:bCs/>
        </w:rPr>
        <w:t xml:space="preserve">Prevence a omezování znečištění ovzduší </w:t>
      </w:r>
    </w:p>
    <w:p w14:paraId="022C8ED2" w14:textId="77777777" w:rsidR="00A32A7E" w:rsidRPr="002D74BE" w:rsidRDefault="00A32A7E" w:rsidP="00A32A7E">
      <w:pPr>
        <w:pStyle w:val="Odstavecseseznamem"/>
        <w:keepNext/>
        <w:numPr>
          <w:ilvl w:val="0"/>
          <w:numId w:val="76"/>
        </w:numPr>
        <w:spacing w:line="276" w:lineRule="auto"/>
        <w:contextualSpacing/>
        <w:rPr>
          <w:rFonts w:cs="Segoe UI"/>
          <w:b/>
          <w:bCs/>
        </w:rPr>
      </w:pPr>
      <w:r w:rsidRPr="002D74BE">
        <w:rPr>
          <w:rFonts w:cs="Segoe UI"/>
        </w:rPr>
        <w:t>Intervence není v rozporu s opatřením stávajících globálních, vnitrostátních, regionálních nebo místních plánů na snížení znečištění (např. Národní program snižování emisí, Programy zlepšování kvality ovzduší).</w:t>
      </w:r>
    </w:p>
    <w:p w14:paraId="026FBB06" w14:textId="77777777" w:rsidR="00A32A7E" w:rsidRPr="002D74BE" w:rsidRDefault="00A32A7E" w:rsidP="00A32A7E">
      <w:pPr>
        <w:pStyle w:val="Odstavecseseznamem"/>
        <w:numPr>
          <w:ilvl w:val="0"/>
          <w:numId w:val="75"/>
        </w:numPr>
        <w:spacing w:line="276" w:lineRule="auto"/>
        <w:contextualSpacing/>
        <w:rPr>
          <w:rFonts w:cs="Segoe UI"/>
        </w:rPr>
      </w:pPr>
      <w:r w:rsidRPr="002D74BE">
        <w:rPr>
          <w:rFonts w:cs="Segoe UI"/>
        </w:rPr>
        <w:t>V případě znečištění pocházejícího z domácností, průmyslu, dopravy, zemědělství a ostatních zdrojů doporučujeme vycházet z materiálu s názvem Podpůrná opatření k programům zlepšování kvality ovzduší</w:t>
      </w:r>
      <w:r w:rsidRPr="002D74BE">
        <w:rPr>
          <w:rStyle w:val="Znakapoznpodarou"/>
          <w:rFonts w:cs="Segoe UI"/>
        </w:rPr>
        <w:footnoteReference w:id="78"/>
      </w:r>
      <w:r w:rsidRPr="002D74BE">
        <w:rPr>
          <w:rFonts w:cs="Segoe UI"/>
        </w:rPr>
        <w:t>. Pro každou oblast (resp. zdroj znečišťování) je zde stanovena sada opatření, která je vhodné realizovat nad rámec legislativou daných povinností s cílem dále zlepšovat kvalitu ovzduší. Tento materiál je možné využít v rámci případného bodového hodnocení projektů, kdy budou zvýhodněny projekty, které jsou v souladu s opatřeními stanovenými v citovaném materiálu. S ohledem na novou evropskou legislativu kvality vnějšího ovzduší je třeba dále zohlednit předpokládaný dopad projektu na úroveň znečištění ovzduší při zohlednění nových limitních hodnot</w:t>
      </w:r>
      <w:r w:rsidRPr="002D74BE">
        <w:rPr>
          <w:rStyle w:val="Znakapoznpodarou"/>
          <w:rFonts w:cs="Segoe UI"/>
        </w:rPr>
        <w:footnoteReference w:id="79"/>
      </w:r>
      <w:r w:rsidRPr="002D74BE">
        <w:rPr>
          <w:rFonts w:cs="Segoe UI"/>
        </w:rPr>
        <w:t>.</w:t>
      </w:r>
    </w:p>
    <w:p w14:paraId="6428741F" w14:textId="239BD3BE" w:rsidR="00294D20" w:rsidRPr="00655D68" w:rsidRDefault="00294D20" w:rsidP="00655D68">
      <w:pPr>
        <w:pStyle w:val="Odstavecseseznamem"/>
        <w:numPr>
          <w:ilvl w:val="0"/>
          <w:numId w:val="75"/>
        </w:numPr>
        <w:spacing w:line="276" w:lineRule="auto"/>
        <w:contextualSpacing/>
        <w:rPr>
          <w:rFonts w:cs="Segoe UI"/>
        </w:rPr>
      </w:pPr>
      <w:r w:rsidRPr="002D74BE">
        <w:rPr>
          <w:rFonts w:cs="Segoe UI"/>
        </w:rPr>
        <w:t xml:space="preserve">Stávající platné </w:t>
      </w:r>
      <w:hyperlink r:id="rId111" w:history="1">
        <w:r w:rsidRPr="008E3CB5">
          <w:rPr>
            <w:rStyle w:val="Hypertextovodkaz"/>
            <w:rFonts w:cs="Segoe UI"/>
          </w:rPr>
          <w:t>Programy zlepšování kvality ovzduší</w:t>
        </w:r>
      </w:hyperlink>
      <w:r w:rsidRPr="002D74BE">
        <w:rPr>
          <w:rFonts w:cs="Segoe UI"/>
        </w:rPr>
        <w:t xml:space="preserve"> </w:t>
      </w:r>
      <w:r w:rsidR="008E3CB5">
        <w:rPr>
          <w:rFonts w:cs="Segoe UI"/>
        </w:rPr>
        <w:t>(</w:t>
      </w:r>
      <w:r w:rsidRPr="002D74BE">
        <w:rPr>
          <w:rFonts w:cs="Segoe UI"/>
        </w:rPr>
        <w:t xml:space="preserve">viz </w:t>
      </w:r>
      <w:r w:rsidR="008E3CB5">
        <w:rPr>
          <w:rFonts w:cs="Segoe UI"/>
        </w:rPr>
        <w:t xml:space="preserve">také </w:t>
      </w:r>
      <w:hyperlink r:id="rId112" w:history="1">
        <w:r w:rsidR="008E3CB5" w:rsidRPr="008E3CB5">
          <w:rPr>
            <w:rStyle w:val="Hypertextovodkaz"/>
            <w:rFonts w:cs="Segoe UI"/>
          </w:rPr>
          <w:t>https://www.mzp.cz/C1257458002F0DC7/cz/vestnik_mzp_2024/$FILE/OK-Vestnik_kveten_20240531.pdf</w:t>
        </w:r>
      </w:hyperlink>
      <w:r w:rsidRPr="002D74BE">
        <w:rPr>
          <w:rFonts w:cs="Segoe UI"/>
        </w:rPr>
        <w:t>) ani</w:t>
      </w:r>
      <w:r w:rsidR="008E3CB5">
        <w:rPr>
          <w:rFonts w:cs="Segoe UI"/>
        </w:rPr>
        <w:t xml:space="preserve"> </w:t>
      </w:r>
      <w:r w:rsidR="008E3CB5" w:rsidRPr="00DB1A0B">
        <w:t>Národní program snižování emisí</w:t>
      </w:r>
      <w:r w:rsidRPr="002D74BE">
        <w:rPr>
          <w:rFonts w:cs="Segoe UI"/>
        </w:rPr>
        <w:t xml:space="preserve"> neobsahují konkrétní požadavky (např. v podobě emisních limitů, maximálních imisních příspěvků, apod.) na nové stacionární zdroje. </w:t>
      </w:r>
      <w:r w:rsidRPr="00655D68">
        <w:rPr>
          <w:rFonts w:cs="Segoe UI"/>
        </w:rPr>
        <w:t>V</w:t>
      </w:r>
      <w:r w:rsidR="008E3CB5" w:rsidRPr="00655D68">
        <w:rPr>
          <w:rFonts w:cs="Segoe UI"/>
        </w:rPr>
        <w:t xml:space="preserve"> dokumentu </w:t>
      </w:r>
      <w:hyperlink r:id="rId113" w:history="1">
        <w:r w:rsidR="00196248" w:rsidRPr="00655D68">
          <w:rPr>
            <w:rFonts w:eastAsia="Times New Roman"/>
            <w:color w:val="000000"/>
            <w:szCs w:val="20"/>
          </w:rPr>
          <w:t>Podpůrná opatření k programům zlepšování kvality ovzduší</w:t>
        </w:r>
        <w:r w:rsidRPr="00655D68">
          <w:rPr>
            <w:rStyle w:val="Hypertextovodkaz"/>
            <w:rFonts w:cs="Segoe UI"/>
          </w:rPr>
          <w:t xml:space="preserve"> </w:t>
        </w:r>
      </w:hyperlink>
      <w:r w:rsidRPr="00655D68">
        <w:rPr>
          <w:rFonts w:cs="Segoe UI"/>
        </w:rPr>
        <w:t xml:space="preserve"> (str. 6) jsou nicméně uvedeny mantinely pro umisťování nových zdrojů znečišťování ovzduší pro zajištění co nejmenšího dopadu těchto zdrojů na stávající kvalitu ovzduší. Programy zlepšování kvality ovzduší budou v horizontu 2027-2028 aktualizovány, aby zajistily splnění nových, podstatně přísnějších limitních hodnot dle </w:t>
      </w:r>
      <w:hyperlink r:id="rId114" w:history="1">
        <w:r w:rsidRPr="00655D68">
          <w:rPr>
            <w:rStyle w:val="Hypertextovodkaz"/>
            <w:rFonts w:cs="Segoe UI"/>
          </w:rPr>
          <w:t>přílohy I</w:t>
        </w:r>
      </w:hyperlink>
      <w:r w:rsidR="00196248">
        <w:t xml:space="preserve"> </w:t>
      </w:r>
      <w:r w:rsidR="00196248" w:rsidRPr="00655D68">
        <w:rPr>
          <w:rFonts w:eastAsia="Times New Roman"/>
          <w:color w:val="000000"/>
          <w:szCs w:val="20"/>
        </w:rPr>
        <w:t>směrnice EP a Rady 2024/2881, o kvalitě vnějšího ovzduší a čistším ovzduší pro Evropu</w:t>
      </w:r>
      <w:r w:rsidRPr="00655D68">
        <w:rPr>
          <w:rFonts w:cs="Segoe UI"/>
        </w:rPr>
        <w:t xml:space="preserve">. Doporučuje se proto vyžadovat prohlášení žadatele, jakým </w:t>
      </w:r>
      <w:r w:rsidRPr="00655D68">
        <w:rPr>
          <w:rFonts w:cs="Segoe UI"/>
        </w:rPr>
        <w:lastRenderedPageBreak/>
        <w:t>způsobem jeho záměr ovlivní budoucí kvalitu ovzduší při zohlednění nových limitních hodnot.</w:t>
      </w:r>
    </w:p>
    <w:p w14:paraId="6FEFD584" w14:textId="6A188963" w:rsidR="00253280" w:rsidRPr="002002BE" w:rsidRDefault="00294D20" w:rsidP="00D77C59">
      <w:pPr>
        <w:pStyle w:val="Odstavecseseznamem"/>
        <w:numPr>
          <w:ilvl w:val="0"/>
          <w:numId w:val="75"/>
        </w:numPr>
        <w:spacing w:line="276" w:lineRule="auto"/>
        <w:contextualSpacing/>
        <w:rPr>
          <w:rFonts w:cs="Segoe UI"/>
        </w:rPr>
      </w:pPr>
      <w:r w:rsidRPr="002D74BE">
        <w:rPr>
          <w:rFonts w:cs="Segoe UI"/>
        </w:rPr>
        <w:t>Podpůrná opatření k programům zlepšování kvality ovzduší</w:t>
      </w:r>
      <w:r w:rsidRPr="002D74BE" w:rsidDel="00C8790E">
        <w:rPr>
          <w:rFonts w:cs="Segoe UI"/>
        </w:rPr>
        <w:t xml:space="preserve"> </w:t>
      </w:r>
      <w:r w:rsidRPr="002D74BE">
        <w:rPr>
          <w:rFonts w:cs="Segoe UI"/>
        </w:rPr>
        <w:t>jsou relevantní i pro zařízení s integrovaným povolením. U těchto zařízení je nutno posoudit v případě průmyslové činnosti spadající pod činnosti uvedené v příloze č. 1 směrnice Evropského parlamentu a</w:t>
      </w:r>
      <w:r w:rsidR="00FB2A0F">
        <w:rPr>
          <w:rFonts w:cs="Segoe UI"/>
        </w:rPr>
        <w:t xml:space="preserve"> </w:t>
      </w:r>
      <w:r w:rsidRPr="002D74BE">
        <w:rPr>
          <w:rFonts w:cs="Segoe UI"/>
        </w:rPr>
        <w:t>Rady 2010/75/EU ze dne 24. listopadu 2010 o</w:t>
      </w:r>
      <w:r w:rsidR="00FB2A0F">
        <w:rPr>
          <w:rFonts w:cs="Segoe UI"/>
        </w:rPr>
        <w:t xml:space="preserve"> </w:t>
      </w:r>
      <w:r w:rsidRPr="002D74BE">
        <w:rPr>
          <w:rFonts w:cs="Segoe UI"/>
        </w:rPr>
        <w:t>průmyslových emisích (integrované prevenci a</w:t>
      </w:r>
      <w:r w:rsidR="00FB2A0F">
        <w:rPr>
          <w:rFonts w:cs="Segoe UI"/>
        </w:rPr>
        <w:t xml:space="preserve"> </w:t>
      </w:r>
      <w:r w:rsidRPr="002D74BE">
        <w:rPr>
          <w:rFonts w:cs="Segoe UI"/>
        </w:rPr>
        <w:t>omezování znečištění)</w:t>
      </w:r>
      <w:r w:rsidR="00FB2A0F">
        <w:rPr>
          <w:rFonts w:cs="Segoe UI"/>
        </w:rPr>
        <w:t xml:space="preserve"> </w:t>
      </w:r>
      <w:r w:rsidRPr="002D74BE">
        <w:rPr>
          <w:rFonts w:cs="Segoe UI"/>
        </w:rPr>
        <w:t>za účelem prevence, snižování a pokud možno úplného vyloučení znečištění vyplývajícího z průmyslových činností v souladu se zásadou „znečišťovatel platí“ a zásadou prevence znečištění, zda se jedná o opatření</w:t>
      </w:r>
      <w:r w:rsidR="00FB2A0F">
        <w:rPr>
          <w:rFonts w:cs="Segoe UI"/>
        </w:rPr>
        <w:t xml:space="preserve"> </w:t>
      </w:r>
      <w:r w:rsidRPr="002D74BE">
        <w:rPr>
          <w:rFonts w:cs="Segoe UI"/>
        </w:rPr>
        <w:t>nad rámec požadavků vyplývajících</w:t>
      </w:r>
      <w:r w:rsidR="00FB2A0F">
        <w:rPr>
          <w:rFonts w:cs="Segoe UI"/>
        </w:rPr>
        <w:t xml:space="preserve"> </w:t>
      </w:r>
      <w:r w:rsidRPr="002D74BE">
        <w:rPr>
          <w:rFonts w:cs="Segoe UI"/>
        </w:rPr>
        <w:t>z uplatnění nejlepších dostupných technik (aplikace BAT) a</w:t>
      </w:r>
      <w:r w:rsidR="00FB2A0F">
        <w:rPr>
          <w:rFonts w:cs="Segoe UI"/>
        </w:rPr>
        <w:t xml:space="preserve"> </w:t>
      </w:r>
      <w:r w:rsidRPr="002D74BE">
        <w:rPr>
          <w:rFonts w:cs="Segoe UI"/>
        </w:rPr>
        <w:t>zda se jedná o soulad s</w:t>
      </w:r>
      <w:r w:rsidR="00FB2A0F">
        <w:rPr>
          <w:rFonts w:cs="Segoe UI"/>
        </w:rPr>
        <w:t xml:space="preserve"> </w:t>
      </w:r>
      <w:r w:rsidRPr="002D74BE">
        <w:rPr>
          <w:rFonts w:cs="Segoe UI"/>
        </w:rPr>
        <w:t>referenčními dokumenty</w:t>
      </w:r>
      <w:r w:rsidR="00FB2A0F">
        <w:rPr>
          <w:rFonts w:cs="Segoe UI"/>
        </w:rPr>
        <w:t xml:space="preserve"> </w:t>
      </w:r>
      <w:r w:rsidRPr="002D74BE">
        <w:rPr>
          <w:rFonts w:cs="Segoe UI"/>
        </w:rPr>
        <w:t>o nejlepších dostupných technikách (BREF) v daném odvětví.</w:t>
      </w:r>
      <w:r w:rsidR="00FB2A0F">
        <w:rPr>
          <w:rFonts w:cs="Segoe UI"/>
        </w:rPr>
        <w:t xml:space="preserve"> </w:t>
      </w:r>
      <w:r w:rsidR="0090493B" w:rsidRPr="002002BE">
        <w:rPr>
          <w:rFonts w:cs="Segoe UI"/>
        </w:rPr>
        <w:br w:type="page"/>
      </w:r>
    </w:p>
    <w:p w14:paraId="50218453" w14:textId="4D5F6167" w:rsidR="00602DCA" w:rsidRDefault="00C5530C">
      <w:pPr>
        <w:pStyle w:val="Nadpis2"/>
      </w:pPr>
      <w:bookmarkStart w:id="131" w:name="_Hlk189822130"/>
      <w:bookmarkStart w:id="132" w:name="_Toc210046037"/>
      <w:r>
        <w:lastRenderedPageBreak/>
        <w:t>Ochrana a obnova biologické rozmanitosti a ekosystémů</w:t>
      </w:r>
      <w:bookmarkEnd w:id="132"/>
    </w:p>
    <w:bookmarkEnd w:id="131"/>
    <w:p w14:paraId="7B6D6799" w14:textId="77777777" w:rsidR="00A32A7E" w:rsidRPr="00BA38D6" w:rsidRDefault="00A32A7E" w:rsidP="00A32A7E">
      <w:pPr>
        <w:rPr>
          <w:rFonts w:cs="Segoe UI"/>
        </w:rPr>
      </w:pPr>
      <w:r w:rsidRPr="00BA38D6">
        <w:rPr>
          <w:rFonts w:cs="Segoe UI"/>
        </w:rPr>
        <w:t>Smyslem DNSH je, aby činnost významně nepoškodila ochranu a obnovu biologické rozmanitosti a ekosystémů, zejm. pokud by ve významné míře poškodila dobrý stav a odolnost ekosystémů nebo stav stanovišť a druhů z hlediska jejich ochrany.</w:t>
      </w:r>
    </w:p>
    <w:p w14:paraId="4CE96FE9" w14:textId="77777777" w:rsidR="00054338" w:rsidRDefault="00054338" w:rsidP="00B27DBA">
      <w:pPr>
        <w:pStyle w:val="Nadpis3"/>
        <w:sectPr w:rsidR="00054338">
          <w:pgSz w:w="11906" w:h="16838"/>
          <w:pgMar w:top="1417" w:right="1417" w:bottom="709" w:left="1417" w:header="708" w:footer="708" w:gutter="0"/>
          <w:cols w:space="708"/>
        </w:sectPr>
      </w:pPr>
    </w:p>
    <w:p w14:paraId="2F2C3FAF" w14:textId="6D06CBB4" w:rsidR="00A32A7E" w:rsidRPr="009455B1" w:rsidRDefault="00A32A7E" w:rsidP="00B27DBA">
      <w:pPr>
        <w:pStyle w:val="Nadpis3"/>
      </w:pPr>
      <w:r w:rsidRPr="009455B1">
        <w:lastRenderedPageBreak/>
        <w:t>Posouzení souladu podpory se zásadou DNSH</w:t>
      </w:r>
      <w:r w:rsidR="003732CC">
        <w:rPr>
          <w:rStyle w:val="Znakapoznpodarou"/>
        </w:rPr>
        <w:footnoteReference w:id="80"/>
      </w:r>
    </w:p>
    <w:p w14:paraId="267B2956" w14:textId="4A5B78F7" w:rsidR="00E066A8" w:rsidRPr="00BA38D6" w:rsidRDefault="003C34E3" w:rsidP="00A32A7E">
      <w:pPr>
        <w:rPr>
          <w:rFonts w:cs="Segoe UI"/>
        </w:rPr>
      </w:pPr>
      <w:r w:rsidRPr="003C34E3">
        <w:rPr>
          <w:noProof/>
        </w:rPr>
        <w:t xml:space="preserve"> </w:t>
      </w:r>
      <w:r>
        <w:rPr>
          <w:noProof/>
        </w:rPr>
        <w:drawing>
          <wp:inline distT="0" distB="0" distL="0" distR="0" wp14:anchorId="24E95901" wp14:editId="77B89474">
            <wp:extent cx="8048625" cy="4448175"/>
            <wp:effectExtent l="0" t="0" r="9525" b="9525"/>
            <wp:docPr id="270960265" name="Obrázek 1" descr="Obsah obrázku text, diagram, snímek obrazovky, Písm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960265" name="Obrázek 1" descr="Obsah obrázku text, diagram, snímek obrazovky, Písmo&#10;&#10;Obsah generovaný pomocí AI může být nesprávný."/>
                    <pic:cNvPicPr/>
                  </pic:nvPicPr>
                  <pic:blipFill>
                    <a:blip r:embed="rId115"/>
                    <a:stretch>
                      <a:fillRect/>
                    </a:stretch>
                  </pic:blipFill>
                  <pic:spPr>
                    <a:xfrm>
                      <a:off x="0" y="0"/>
                      <a:ext cx="8048625" cy="4448175"/>
                    </a:xfrm>
                    <a:prstGeom prst="rect">
                      <a:avLst/>
                    </a:prstGeom>
                  </pic:spPr>
                </pic:pic>
              </a:graphicData>
            </a:graphic>
          </wp:inline>
        </w:drawing>
      </w:r>
    </w:p>
    <w:p w14:paraId="32772E7D" w14:textId="77777777" w:rsidR="00054338" w:rsidRDefault="00054338" w:rsidP="00B27DBA">
      <w:pPr>
        <w:pStyle w:val="Nadpis3"/>
        <w:sectPr w:rsidR="00054338" w:rsidSect="006A45B6">
          <w:pgSz w:w="16838" w:h="11906" w:orient="landscape"/>
          <w:pgMar w:top="1418" w:right="1418" w:bottom="1418" w:left="709" w:header="709" w:footer="709" w:gutter="0"/>
          <w:cols w:space="708"/>
        </w:sectPr>
      </w:pPr>
    </w:p>
    <w:p w14:paraId="7A051651" w14:textId="77777777" w:rsidR="00A32A7E" w:rsidRPr="00BA38D6" w:rsidRDefault="00A32A7E" w:rsidP="00B27DBA">
      <w:pPr>
        <w:pStyle w:val="Nadpis3"/>
      </w:pPr>
      <w:r w:rsidRPr="00BA38D6">
        <w:lastRenderedPageBreak/>
        <w:t>Vyloučené podpory</w:t>
      </w:r>
    </w:p>
    <w:p w14:paraId="30360B9A" w14:textId="763A54CB" w:rsidR="00A32A7E" w:rsidRPr="00BA38D6" w:rsidRDefault="00A32A7E" w:rsidP="00A32A7E">
      <w:pPr>
        <w:rPr>
          <w:rFonts w:cs="Segoe UI"/>
        </w:rPr>
      </w:pPr>
      <w:r w:rsidRPr="00BA38D6">
        <w:rPr>
          <w:rFonts w:cs="Segoe UI"/>
        </w:rPr>
        <w:t xml:space="preserve">V první řadě je při přípravě a schvalování OP / NPO / dotačních schémat </w:t>
      </w:r>
      <w:proofErr w:type="spellStart"/>
      <w:r w:rsidRPr="00BA38D6">
        <w:rPr>
          <w:rFonts w:cs="Segoe UI"/>
        </w:rPr>
        <w:t>ModF</w:t>
      </w:r>
      <w:proofErr w:type="spellEnd"/>
      <w:r w:rsidRPr="00BA38D6">
        <w:rPr>
          <w:rFonts w:cs="Segoe UI"/>
        </w:rPr>
        <w:t xml:space="preserve">/SKP nutné posoudit, zda zamýšlená podpora není vyloučena, ať již na základě oblasti působnosti nástroje nebo v souvislosti s DNSH. V některých případech je potřeba zásadu DNSH implementovat prostřednictvím věcného zaměření podpory a omezení určitých opatření. Vyloučené podpory jsou blíže popsány v části </w:t>
      </w:r>
      <w:hyperlink w:anchor="_Podmínky_DNSH_založené" w:history="1">
        <w:r w:rsidR="00356447" w:rsidRPr="00356447">
          <w:rPr>
            <w:rStyle w:val="Hypertextovodkaz"/>
            <w:rFonts w:cs="Segoe UI"/>
          </w:rPr>
          <w:t>3.5 tohoto materiálu</w:t>
        </w:r>
      </w:hyperlink>
      <w:r w:rsidRPr="00BA38D6">
        <w:rPr>
          <w:rFonts w:cs="Segoe UI"/>
        </w:rPr>
        <w:t xml:space="preserve">. </w:t>
      </w:r>
    </w:p>
    <w:p w14:paraId="2467D542" w14:textId="77777777" w:rsidR="00A32A7E" w:rsidRPr="00BA38D6" w:rsidRDefault="00A32A7E" w:rsidP="00B27DBA">
      <w:pPr>
        <w:pStyle w:val="Nadpis3"/>
      </w:pPr>
      <w:r w:rsidRPr="00BA38D6">
        <w:t>Sledování příspěvku opatření k ochraně klimatu a k environmentálním cílům</w:t>
      </w:r>
    </w:p>
    <w:p w14:paraId="3E6D154D" w14:textId="57F0CC03" w:rsidR="00A32A7E" w:rsidRPr="00BA38D6" w:rsidRDefault="00A32A7E" w:rsidP="00A32A7E">
      <w:pPr>
        <w:rPr>
          <w:rFonts w:cs="Segoe UI"/>
        </w:rPr>
      </w:pPr>
      <w:r w:rsidRPr="00BA38D6">
        <w:rPr>
          <w:rFonts w:cs="Segoe UI"/>
        </w:rPr>
        <w:t xml:space="preserve">Po ověření souladu s právními předpisy jednotlivých fondů a vyloučenými aktivity v souvislosti s DNSH nebo ad-hoc podmínkami (výjimkami) je možné postoupit k ověření enviromentálního tagu v oblasti ochrana a obnova biologické rozmanitosti a ekosystémů. Klimatické a environmentální tagy a obecně sledování příspěvku fondů k ochraně klimatu a k environmentálním cílům, stejně jako zdroje koeficientů pro jednotlivé fondy, jsou blíže popsány v části </w:t>
      </w:r>
      <w:hyperlink w:anchor="_Sledování_příspěvku_fondů" w:history="1">
        <w:r w:rsidR="00356447" w:rsidRPr="0077290F">
          <w:rPr>
            <w:rStyle w:val="Hypertextovodkaz"/>
            <w:rFonts w:cs="Segoe UI"/>
          </w:rPr>
          <w:t>2.4 tohoto materiálu</w:t>
        </w:r>
      </w:hyperlink>
      <w:r w:rsidRPr="00BA38D6">
        <w:rPr>
          <w:rFonts w:cs="Segoe UI"/>
        </w:rPr>
        <w:t>. V případě, že je k činnosti zamýšlené podpory přiřazen koeficient 100 % v oblasti ochrana a obnova biologické rozmanitosti a ekosystémů, očekává se, že činnost významně přispěje k plnění tohoto environmentálního cíle</w:t>
      </w:r>
      <w:r>
        <w:rPr>
          <w:rFonts w:cs="Segoe UI"/>
        </w:rPr>
        <w:t xml:space="preserve"> </w:t>
      </w:r>
      <w:r w:rsidRPr="004863DB">
        <w:rPr>
          <w:rFonts w:cs="Segoe UI"/>
        </w:rPr>
        <w:t>a není nutné stanovovat dodatečné podmínky kromě těch, které jsou nutné pro plnění 100 % klimatického tagu, (které je nutné přesně stanovit do úrovně projektu)</w:t>
      </w:r>
      <w:r w:rsidRPr="00BA38D6">
        <w:rPr>
          <w:rFonts w:cs="Segoe UI"/>
        </w:rPr>
        <w:t>. V případě, že je při</w:t>
      </w:r>
      <w:r w:rsidR="00641F53">
        <w:rPr>
          <w:rFonts w:cs="Segoe UI"/>
        </w:rPr>
        <w:t>ř</w:t>
      </w:r>
      <w:r w:rsidRPr="00BA38D6">
        <w:rPr>
          <w:rFonts w:cs="Segoe UI"/>
        </w:rPr>
        <w:t>a</w:t>
      </w:r>
      <w:r w:rsidR="00400566">
        <w:rPr>
          <w:rFonts w:cs="Segoe UI"/>
        </w:rPr>
        <w:t>z</w:t>
      </w:r>
      <w:r w:rsidRPr="00BA38D6">
        <w:rPr>
          <w:rFonts w:cs="Segoe UI"/>
        </w:rPr>
        <w:t>ený koeficient 40 % nebo 0 % je nutné postoupit s detailním posouzením DNSH</w:t>
      </w:r>
      <w:r w:rsidRPr="004863DB">
        <w:rPr>
          <w:rFonts w:cs="Segoe UI"/>
        </w:rPr>
        <w:t xml:space="preserve"> a případně nastavit doplňující podmínky nebo systém hodnocení projektů / míry podpory. Toto posouzení DNSH a nastavení podmínek by mělo být prioritně provedeno již na úrovni přípravy výzvy a pravidel pro žadatele / přípravy komponenty.</w:t>
      </w:r>
    </w:p>
    <w:p w14:paraId="79D6FA05" w14:textId="77777777" w:rsidR="00A32A7E" w:rsidRPr="00DF1404" w:rsidRDefault="00A32A7E" w:rsidP="00B27DBA">
      <w:pPr>
        <w:pStyle w:val="Nadpis3"/>
      </w:pPr>
      <w:r w:rsidRPr="00DF1404">
        <w:t>Stanovení podmínek DNSH</w:t>
      </w:r>
    </w:p>
    <w:p w14:paraId="474283DB" w14:textId="6D1E04C4" w:rsidR="00A32A7E" w:rsidRPr="00BA38D6" w:rsidRDefault="00A32A7E" w:rsidP="00A32A7E">
      <w:pPr>
        <w:rPr>
          <w:rFonts w:cs="Segoe UI"/>
        </w:rPr>
      </w:pPr>
      <w:r w:rsidRPr="00BA38D6">
        <w:rPr>
          <w:rFonts w:cs="Segoe UI"/>
        </w:rPr>
        <w:t xml:space="preserve">V případě, že na základě posouzení příspěvku opatření k ochraně a obnově biologické rozmanitosti a ekosystémů bylo vyhodnoceno, že dané opatření nepředstavuje významný přínos k tomuto cíli, </w:t>
      </w:r>
      <w:r w:rsidR="009811C3">
        <w:rPr>
          <w:rFonts w:cs="Segoe UI"/>
        </w:rPr>
        <w:t>j</w:t>
      </w:r>
      <w:r w:rsidRPr="00BA38D6">
        <w:rPr>
          <w:rFonts w:cs="Segoe UI"/>
        </w:rPr>
        <w:t xml:space="preserve">e nutné přistoupit k detailnímu posouzení DNSH. </w:t>
      </w:r>
    </w:p>
    <w:p w14:paraId="5DC95414" w14:textId="77777777" w:rsidR="00A32A7E" w:rsidRPr="00BA38D6" w:rsidRDefault="00A32A7E" w:rsidP="00A32A7E">
      <w:pPr>
        <w:rPr>
          <w:rFonts w:cs="Segoe UI"/>
        </w:rPr>
      </w:pPr>
      <w:r w:rsidRPr="00BA38D6">
        <w:rPr>
          <w:rFonts w:cs="Segoe UI"/>
        </w:rPr>
        <w:t>Detailní posouzení je možné uchopit následujícími způsoby:</w:t>
      </w:r>
    </w:p>
    <w:p w14:paraId="2209BF11" w14:textId="4BCF81CE" w:rsidR="00A32A7E" w:rsidRPr="00D00814" w:rsidRDefault="00A32A7E" w:rsidP="00141780">
      <w:pPr>
        <w:pStyle w:val="Nadpis4"/>
      </w:pPr>
      <w:r w:rsidRPr="00D00814">
        <w:t xml:space="preserve">Plnění zásady DNSH na základě </w:t>
      </w:r>
      <w:r w:rsidR="00263794">
        <w:t>individuálního posouzení</w:t>
      </w:r>
    </w:p>
    <w:p w14:paraId="6AF3A80B" w14:textId="77777777" w:rsidR="00A32A7E" w:rsidRPr="00534D13" w:rsidRDefault="00A32A7E" w:rsidP="00A32A7E">
      <w:pPr>
        <w:rPr>
          <w:rFonts w:cs="Segoe UI"/>
        </w:rPr>
      </w:pPr>
      <w:r w:rsidRPr="00534D13">
        <w:rPr>
          <w:rFonts w:cs="Segoe UI"/>
        </w:rPr>
        <w:t>V případě vlastního vyhodnocení rizik a posouzení souladu se zásadou DNSH, je nutné dodržet následující podmínky:</w:t>
      </w:r>
    </w:p>
    <w:p w14:paraId="2082A908" w14:textId="547794DC" w:rsidR="00A32A7E" w:rsidRPr="00BA38D6" w:rsidRDefault="000542E1" w:rsidP="00141780">
      <w:pPr>
        <w:pStyle w:val="Nadpis5"/>
        <w:rPr>
          <w:bCs/>
        </w:rPr>
      </w:pPr>
      <w:bookmarkStart w:id="133" w:name="_Horizontální_podmínky_ochrany"/>
      <w:bookmarkStart w:id="134" w:name="_Hlk196377584"/>
      <w:bookmarkEnd w:id="133"/>
      <w:r>
        <w:t>Horizontální p</w:t>
      </w:r>
      <w:r w:rsidR="00EB6D74">
        <w:t xml:space="preserve">odmínky ochrany a obnovy biologické rozmanitosti </w:t>
      </w:r>
    </w:p>
    <w:bookmarkEnd w:id="134"/>
    <w:p w14:paraId="17E9CF77" w14:textId="2823EFE1" w:rsidR="00EB6D74" w:rsidRDefault="00CD6A79" w:rsidP="00D77C59">
      <w:pPr>
        <w:keepNext/>
        <w:spacing w:after="0"/>
        <w:rPr>
          <w:rFonts w:cs="Segoe UI"/>
          <w:b/>
          <w:bCs/>
        </w:rPr>
      </w:pPr>
      <w:r>
        <w:rPr>
          <w:rFonts w:cs="Segoe UI"/>
          <w:b/>
          <w:bCs/>
        </w:rPr>
        <w:t>Výčet podmínek</w:t>
      </w:r>
      <w:r w:rsidR="00EB6D74" w:rsidRPr="00D77C59">
        <w:rPr>
          <w:rFonts w:cs="Segoe UI"/>
          <w:b/>
          <w:bCs/>
        </w:rPr>
        <w:t>:</w:t>
      </w:r>
    </w:p>
    <w:p w14:paraId="15B5EF8C" w14:textId="77777777" w:rsidR="00C47580" w:rsidRPr="00BA38D6" w:rsidRDefault="00C47580" w:rsidP="006C1B48">
      <w:pPr>
        <w:pStyle w:val="Odstavecseseznamem"/>
        <w:numPr>
          <w:ilvl w:val="0"/>
          <w:numId w:val="211"/>
        </w:numPr>
        <w:spacing w:after="0" w:line="276" w:lineRule="auto"/>
        <w:contextualSpacing/>
        <w:rPr>
          <w:rFonts w:cs="Segoe UI"/>
        </w:rPr>
      </w:pPr>
      <w:r w:rsidRPr="00EF64D9">
        <w:rPr>
          <w:rFonts w:cs="Segoe UI"/>
          <w:b/>
          <w:bCs/>
        </w:rPr>
        <w:t>Výstavba není realizována na zemědělské půdě zařazené do I. nebo II. třídy ochrany dle BPEJ</w:t>
      </w:r>
      <w:r>
        <w:rPr>
          <w:rFonts w:cs="Segoe UI"/>
        </w:rPr>
        <w:t xml:space="preserve">, a </w:t>
      </w:r>
      <w:r w:rsidRPr="00EF64D9">
        <w:rPr>
          <w:rFonts w:cs="Segoe UI"/>
          <w:b/>
          <w:bCs/>
        </w:rPr>
        <w:t>současně pro III. – V. třídu před rozhodnutím o přidělení dotace již bylo posouzeno odnětí zemědělské půdy ze zemědělského půdního fondu, a to s kladným výsledkem</w:t>
      </w:r>
      <w:r>
        <w:rPr>
          <w:rFonts w:cs="Segoe UI"/>
        </w:rPr>
        <w:t>;</w:t>
      </w:r>
    </w:p>
    <w:p w14:paraId="78725EC0" w14:textId="77777777" w:rsidR="00C47580" w:rsidRDefault="00C47580" w:rsidP="00C47580">
      <w:pPr>
        <w:pStyle w:val="Odstavecseseznamem"/>
        <w:numPr>
          <w:ilvl w:val="0"/>
          <w:numId w:val="211"/>
        </w:numPr>
        <w:spacing w:after="0" w:line="276" w:lineRule="auto"/>
        <w:contextualSpacing/>
        <w:rPr>
          <w:rFonts w:cs="Segoe UI"/>
        </w:rPr>
      </w:pPr>
      <w:r w:rsidRPr="00EF64D9">
        <w:rPr>
          <w:rFonts w:cs="Segoe UI"/>
          <w:b/>
          <w:bCs/>
        </w:rPr>
        <w:t>Výstavba není realizována na ploše s vysokou hodnotou biologické rozmanitosti</w:t>
      </w:r>
      <w:r w:rsidRPr="00F538AE">
        <w:rPr>
          <w:rFonts w:cs="Segoe UI"/>
        </w:rPr>
        <w:t xml:space="preserve"> (pozn. interpretováno jako vymezená přírodní stanoviště přílohy č. I směrnice </w:t>
      </w:r>
      <w:r w:rsidRPr="00F538AE">
        <w:rPr>
          <w:rFonts w:cs="Segoe UI"/>
        </w:rPr>
        <w:lastRenderedPageBreak/>
        <w:t>92/43/EHS o stanovištích</w:t>
      </w:r>
      <w:r w:rsidRPr="00D77C59">
        <w:rPr>
          <w:rStyle w:val="Znakapoznpodarou"/>
          <w:rFonts w:cs="Segoe UI"/>
        </w:rPr>
        <w:footnoteReference w:id="81"/>
      </w:r>
      <w:r w:rsidRPr="00F538AE">
        <w:rPr>
          <w:rFonts w:cs="Segoe UI"/>
        </w:rPr>
        <w:t xml:space="preserve">) a půdě, která slouží jako stanoviště ohrožených druhů (flóry a fauny) uvedených </w:t>
      </w:r>
      <w:r w:rsidRPr="00EF64D9">
        <w:rPr>
          <w:rFonts w:cs="Segoe UI"/>
          <w:b/>
          <w:bCs/>
        </w:rPr>
        <w:t>na červeném seznamu</w:t>
      </w:r>
      <w:r w:rsidRPr="00F538AE">
        <w:rPr>
          <w:rFonts w:cs="Segoe UI"/>
        </w:rPr>
        <w:t xml:space="preserve">. </w:t>
      </w:r>
    </w:p>
    <w:p w14:paraId="445A3C97" w14:textId="47D3D7BE" w:rsidR="00C47580" w:rsidRPr="00C47580" w:rsidRDefault="00C47580" w:rsidP="006C1B48">
      <w:pPr>
        <w:pStyle w:val="Odstavecseseznamem"/>
        <w:numPr>
          <w:ilvl w:val="0"/>
          <w:numId w:val="211"/>
        </w:numPr>
        <w:rPr>
          <w:rFonts w:cs="Segoe UI"/>
        </w:rPr>
      </w:pPr>
      <w:r w:rsidRPr="00C47580">
        <w:rPr>
          <w:rFonts w:cs="Segoe UI"/>
          <w:b/>
          <w:bCs/>
        </w:rPr>
        <w:t>Výstavba není realizována na půdě, která odpovídá definici lesa</w:t>
      </w:r>
      <w:r w:rsidRPr="00C47580">
        <w:rPr>
          <w:rFonts w:cs="Segoe UI"/>
        </w:rPr>
        <w:t xml:space="preserve"> stanovené ve vnitrostátních právních předpisech nebo používané v národní inventuře skleníkových plynů, nebo pokud taková definice neexistuje, půdě, která je v souladu s definicí lesa podle FAO</w:t>
      </w:r>
      <w:r w:rsidRPr="00C47580">
        <w:rPr>
          <w:rStyle w:val="Znakapoznpodarou"/>
          <w:rFonts w:cs="Segoe UI"/>
        </w:rPr>
        <w:footnoteReference w:id="82"/>
      </w:r>
      <w:r w:rsidRPr="00C47580">
        <w:rPr>
          <w:rFonts w:cs="Segoe UI"/>
        </w:rPr>
        <w:t>;</w:t>
      </w:r>
    </w:p>
    <w:p w14:paraId="2E1685DE" w14:textId="68166BBB" w:rsidR="00ED70E1" w:rsidRPr="00C47580" w:rsidRDefault="00C47580" w:rsidP="006C1B48">
      <w:pPr>
        <w:pStyle w:val="Odstavecseseznamem"/>
        <w:numPr>
          <w:ilvl w:val="0"/>
          <w:numId w:val="211"/>
        </w:numPr>
      </w:pPr>
      <w:r w:rsidRPr="006C1B48">
        <w:rPr>
          <w:rFonts w:cs="Segoe UI"/>
        </w:rPr>
        <w:t xml:space="preserve">Realizace projektu ani nad rámec vlastního záboru </w:t>
      </w:r>
      <w:r w:rsidRPr="006C1B48">
        <w:rPr>
          <w:rFonts w:cs="Segoe UI"/>
          <w:b/>
          <w:bCs/>
        </w:rPr>
        <w:t>nevede k šíření invazních druhů a ke snížení biologické hodnoty území</w:t>
      </w:r>
      <w:r w:rsidRPr="006C1B48">
        <w:rPr>
          <w:rFonts w:cs="Segoe UI"/>
        </w:rPr>
        <w:t xml:space="preserve"> (a při provádění prací nedochází ke zničení či zhoršování stavu vymezených přírodních stanovišť přílohy č. I směrnice o stanovištích ani nad rámec vlastního záboru) v souladu s požadavky vyplývajících z Nařízení EU o obnově přírody,</w:t>
      </w:r>
      <w:r w:rsidRPr="006C1B48">
        <w:rPr>
          <w:rStyle w:val="Znakapoznpodarou"/>
          <w:rFonts w:cs="Segoe UI"/>
        </w:rPr>
        <w:footnoteReference w:id="83"/>
      </w:r>
      <w:r w:rsidRPr="006C1B48">
        <w:rPr>
          <w:rFonts w:cs="Segoe UI"/>
        </w:rPr>
        <w:t xml:space="preserve"> a Nařízení EU o prevenci a regulaci zavlékání či vysazování a šíření invazních nepůvodních druhů</w:t>
      </w:r>
      <w:r w:rsidRPr="006C1B48">
        <w:rPr>
          <w:rStyle w:val="Znakapoznpodarou"/>
          <w:rFonts w:cs="Segoe UI"/>
        </w:rPr>
        <w:footnoteReference w:id="84"/>
      </w:r>
      <w:r w:rsidRPr="006C1B48">
        <w:rPr>
          <w:rFonts w:cs="Segoe UI"/>
        </w:rPr>
        <w:t>.</w:t>
      </w:r>
    </w:p>
    <w:p w14:paraId="115E69AD" w14:textId="3F2FDCE5" w:rsidR="00EB6D74" w:rsidRPr="00B66CED" w:rsidRDefault="00EB6D74" w:rsidP="00D77C59"/>
    <w:p w14:paraId="6E08DE7F" w14:textId="77777777" w:rsidR="00EB6D74" w:rsidRDefault="00EB6D74" w:rsidP="00D77C59">
      <w:pPr>
        <w:keepNext/>
        <w:spacing w:after="0"/>
        <w:rPr>
          <w:rFonts w:cs="Segoe UI"/>
          <w:b/>
          <w:bCs/>
        </w:rPr>
      </w:pPr>
      <w:r w:rsidRPr="00BA38D6">
        <w:rPr>
          <w:rFonts w:cs="Segoe UI"/>
          <w:b/>
          <w:bCs/>
        </w:rPr>
        <w:t>Je proto nutné nastavit podmínky podpory následujícím způsobem:</w:t>
      </w:r>
    </w:p>
    <w:p w14:paraId="2BD493AB" w14:textId="77777777" w:rsidR="00ED70E1" w:rsidRPr="00BA38D6" w:rsidRDefault="00ED70E1" w:rsidP="00ED70E1">
      <w:pPr>
        <w:spacing w:after="0"/>
        <w:rPr>
          <w:rFonts w:cs="Segoe UI"/>
        </w:rPr>
      </w:pPr>
      <w:r w:rsidRPr="00BA38D6">
        <w:rPr>
          <w:rFonts w:cs="Segoe UI"/>
        </w:rPr>
        <w:t xml:space="preserve">Ad a) </w:t>
      </w:r>
      <w:r w:rsidRPr="00AE5704">
        <w:rPr>
          <w:rFonts w:cs="Segoe UI"/>
        </w:rPr>
        <w:t>Nastavení podmínek podpory tak, aby se podpora nevztahovala na záměry umístěné na </w:t>
      </w:r>
      <w:r>
        <w:rPr>
          <w:rFonts w:cs="Segoe UI"/>
        </w:rPr>
        <w:t>pozemcích</w:t>
      </w:r>
      <w:r w:rsidRPr="00AE5704">
        <w:rPr>
          <w:rFonts w:cs="Segoe UI"/>
        </w:rPr>
        <w:t>, která j</w:t>
      </w:r>
      <w:r>
        <w:rPr>
          <w:rFonts w:cs="Segoe UI"/>
        </w:rPr>
        <w:t>sou</w:t>
      </w:r>
      <w:r w:rsidRPr="00AE5704">
        <w:rPr>
          <w:rFonts w:cs="Segoe UI"/>
        </w:rPr>
        <w:t xml:space="preserve"> anebo před odnětím pro realizaci záměru byl</w:t>
      </w:r>
      <w:r>
        <w:rPr>
          <w:rFonts w:cs="Segoe UI"/>
        </w:rPr>
        <w:t>y</w:t>
      </w:r>
      <w:r w:rsidRPr="00AE5704">
        <w:rPr>
          <w:rFonts w:cs="Segoe UI"/>
        </w:rPr>
        <w:t xml:space="preserve"> zemědělskou půdou zařazenou do I. </w:t>
      </w:r>
      <w:r>
        <w:rPr>
          <w:rFonts w:cs="Segoe UI"/>
        </w:rPr>
        <w:t>nebo</w:t>
      </w:r>
      <w:r w:rsidRPr="00AE5704">
        <w:rPr>
          <w:rFonts w:cs="Segoe UI"/>
        </w:rPr>
        <w:t xml:space="preserve"> II. třídy ochrany dle BPEJ.</w:t>
      </w:r>
      <w:r w:rsidRPr="0052699C">
        <w:t xml:space="preserve"> </w:t>
      </w:r>
      <w:r w:rsidRPr="0052699C">
        <w:rPr>
          <w:rFonts w:cs="Segoe UI"/>
        </w:rPr>
        <w:t xml:space="preserve">V případě III. až V. </w:t>
      </w:r>
      <w:r>
        <w:rPr>
          <w:rFonts w:cs="Segoe UI"/>
        </w:rPr>
        <w:t xml:space="preserve">třídy </w:t>
      </w:r>
      <w:r w:rsidRPr="0052699C">
        <w:rPr>
          <w:rFonts w:cs="Segoe UI"/>
        </w:rPr>
        <w:t xml:space="preserve">ochrany </w:t>
      </w:r>
      <w:r>
        <w:rPr>
          <w:rFonts w:cs="Segoe UI"/>
        </w:rPr>
        <w:t xml:space="preserve">je nutné </w:t>
      </w:r>
      <w:r w:rsidRPr="0052699C">
        <w:rPr>
          <w:rFonts w:cs="Segoe UI"/>
        </w:rPr>
        <w:t>požadov</w:t>
      </w:r>
      <w:r>
        <w:rPr>
          <w:rFonts w:cs="Segoe UI"/>
        </w:rPr>
        <w:t>at</w:t>
      </w:r>
      <w:r w:rsidRPr="0052699C">
        <w:rPr>
          <w:rFonts w:cs="Segoe UI"/>
        </w:rPr>
        <w:t xml:space="preserve">, aby </w:t>
      </w:r>
      <w:r>
        <w:rPr>
          <w:rFonts w:cs="Segoe UI"/>
        </w:rPr>
        <w:t>před rozhodnutím o přidělení dotace již bylo posouzeno odnětí zemědělské půdy ze zemědělského půdního fondu s kladným výsledkem, tj. aby byl pro záměr již vydán souhlas s odnětím zemědělské půdy ze zemědělského půdního fondu dle z. č.</w:t>
      </w:r>
      <w:r w:rsidRPr="002A2019">
        <w:t xml:space="preserve"> </w:t>
      </w:r>
      <w:r w:rsidRPr="002A2019">
        <w:rPr>
          <w:rFonts w:cs="Segoe UI"/>
        </w:rPr>
        <w:t>334/1992 Sb., o ochraně zemědělského půdního fondu</w:t>
      </w:r>
      <w:r>
        <w:rPr>
          <w:rFonts w:cs="Segoe UI"/>
        </w:rPr>
        <w:t>, resp. kladné JES, pokud se pro záměr má vydat.</w:t>
      </w:r>
    </w:p>
    <w:p w14:paraId="1531D054" w14:textId="77777777" w:rsidR="00ED70E1" w:rsidRPr="00BA38D6" w:rsidRDefault="00ED70E1" w:rsidP="00ED70E1">
      <w:pPr>
        <w:spacing w:after="0"/>
        <w:rPr>
          <w:rFonts w:cs="Segoe UI"/>
        </w:rPr>
      </w:pPr>
    </w:p>
    <w:p w14:paraId="3311EBC0" w14:textId="1075CC62" w:rsidR="00ED70E1" w:rsidRDefault="00ED70E1" w:rsidP="00ED70E1">
      <w:pPr>
        <w:spacing w:after="0"/>
        <w:rPr>
          <w:rFonts w:cs="Segoe UI"/>
          <w:bCs/>
        </w:rPr>
      </w:pPr>
      <w:r w:rsidRPr="00BA38D6">
        <w:rPr>
          <w:rFonts w:cs="Segoe UI"/>
        </w:rPr>
        <w:t>Ad b) Nastavení podmínek podpory tak, aby se podpora nevztahovala na záměry umístěné na ploše přírodních stanovišť či biotopů druhů červeného seznamu.</w:t>
      </w:r>
      <w:r w:rsidR="00FB2A0F">
        <w:rPr>
          <w:rFonts w:cs="Segoe UI"/>
        </w:rPr>
        <w:t xml:space="preserve"> </w:t>
      </w:r>
      <w:r w:rsidRPr="00BA38D6">
        <w:rPr>
          <w:rFonts w:cs="Segoe UI"/>
          <w:bCs/>
        </w:rPr>
        <w:t xml:space="preserve">Dotčení přírodních stanovišť či druhů červeného seznamu se provádí prostorovým překryvem parcely určené k výstavbě s vrstvou mapování biotopů a Nálezovou databází ochrany přírody, a to prostřednictvím aplikace </w:t>
      </w:r>
      <w:hyperlink r:id="rId116" w:history="1">
        <w:proofErr w:type="spellStart"/>
        <w:r w:rsidRPr="00BA38D6">
          <w:rPr>
            <w:rStyle w:val="Hypertextovodkaz"/>
            <w:rFonts w:cs="Segoe UI"/>
            <w:bCs/>
          </w:rPr>
          <w:t>GeoReport</w:t>
        </w:r>
        <w:proofErr w:type="spellEnd"/>
      </w:hyperlink>
      <w:r w:rsidRPr="00BA38D6">
        <w:rPr>
          <w:rFonts w:cs="Segoe UI"/>
          <w:bCs/>
        </w:rPr>
        <w:t xml:space="preserve">. Pro tyto účely je k dispozici návod: </w:t>
      </w:r>
      <w:hyperlink r:id="rId117" w:history="1">
        <w:r w:rsidRPr="002316CE">
          <w:rPr>
            <w:rStyle w:val="Hypertextovodkaz"/>
            <w:rFonts w:cs="Segoe UI"/>
            <w:bCs/>
          </w:rPr>
          <w:t>Postup pro žadatele pro účely doložení, že nová budova není postavena na „zelené louce s uznávanou vysokou hodnotou biologické rozmanitosti (pozn. interpretováno jako vymezená přírodní stanoviště přílohy č. I směrnice 92/43/EHS o stanovištích) a půdě, která slouží jako stanoviště ohrožených druhů (flóry a fauny) červeného seznamu</w:t>
        </w:r>
      </w:hyperlink>
      <w:r w:rsidRPr="00BA38D6">
        <w:rPr>
          <w:rFonts w:cs="Segoe UI"/>
          <w:bCs/>
        </w:rPr>
        <w:t>.</w:t>
      </w:r>
    </w:p>
    <w:p w14:paraId="32D69A35" w14:textId="77777777" w:rsidR="00362191" w:rsidRPr="009C7B63" w:rsidRDefault="00362191" w:rsidP="00362191">
      <w:pPr>
        <w:spacing w:after="0"/>
        <w:contextualSpacing/>
        <w:rPr>
          <w:rFonts w:cs="Segoe UI"/>
          <w:b/>
          <w:bCs/>
        </w:rPr>
      </w:pPr>
      <w:r w:rsidRPr="009C7B63">
        <w:rPr>
          <w:rFonts w:cs="Segoe UI"/>
          <w:b/>
          <w:bCs/>
          <w:i/>
          <w:iCs/>
        </w:rPr>
        <w:lastRenderedPageBreak/>
        <w:t>Požadování dokládání uvedené podmínky ze strany administrátorů EU fondů se nevztahuje na jednoduché stavby dle přílohy 2 stavebního zákona č. 283/2021 Sb.</w:t>
      </w:r>
    </w:p>
    <w:p w14:paraId="4E7B4364" w14:textId="77777777" w:rsidR="00ED70E1" w:rsidRPr="00BA38D6" w:rsidRDefault="00ED70E1" w:rsidP="00ED70E1">
      <w:pPr>
        <w:spacing w:after="0"/>
        <w:rPr>
          <w:rFonts w:cs="Segoe UI"/>
        </w:rPr>
      </w:pPr>
    </w:p>
    <w:p w14:paraId="69D52D9D" w14:textId="77777777" w:rsidR="00ED70E1" w:rsidRPr="00BA38D6" w:rsidRDefault="00ED70E1" w:rsidP="00ED70E1">
      <w:pPr>
        <w:spacing w:after="0"/>
        <w:rPr>
          <w:rFonts w:cs="Segoe UI"/>
        </w:rPr>
      </w:pPr>
      <w:r w:rsidRPr="00BA38D6">
        <w:rPr>
          <w:rFonts w:cs="Segoe UI"/>
        </w:rPr>
        <w:t xml:space="preserve">Ad c) </w:t>
      </w:r>
      <w:r>
        <w:rPr>
          <w:rFonts w:cs="Segoe UI"/>
        </w:rPr>
        <w:t>podmínka je naplněna skrze legislativu ČR a související řízení</w:t>
      </w:r>
      <w:r w:rsidRPr="00BA38D6">
        <w:rPr>
          <w:rFonts w:cs="Segoe UI"/>
        </w:rPr>
        <w:t xml:space="preserve"> (není nutné implementovat do podmínek výzvy).</w:t>
      </w:r>
    </w:p>
    <w:p w14:paraId="3243DB85" w14:textId="77777777" w:rsidR="00ED70E1" w:rsidRPr="00BA38D6" w:rsidRDefault="00ED70E1" w:rsidP="00ED70E1">
      <w:pPr>
        <w:spacing w:after="0"/>
        <w:rPr>
          <w:rFonts w:cs="Segoe UI"/>
          <w:b/>
          <w:bCs/>
        </w:rPr>
      </w:pPr>
    </w:p>
    <w:p w14:paraId="1A6ADFF2" w14:textId="77777777" w:rsidR="000708A5" w:rsidRDefault="000708A5" w:rsidP="000708A5">
      <w:pPr>
        <w:spacing w:after="0"/>
        <w:rPr>
          <w:rFonts w:cs="Segoe UI"/>
        </w:rPr>
      </w:pPr>
      <w:r w:rsidRPr="006C1B48">
        <w:rPr>
          <w:rFonts w:cs="Segoe UI"/>
        </w:rPr>
        <w:t xml:space="preserve">Ad d) V podmínkách podpory požadovat, </w:t>
      </w:r>
      <w:r w:rsidRPr="006C1B48">
        <w:rPr>
          <w:rFonts w:cs="Segoe UI"/>
          <w:b/>
          <w:bCs/>
        </w:rPr>
        <w:t>aby projektant do souhrnné technické zprávy projektu doložil čestné prohlášení o zpracování posouzení a v případě relevance</w:t>
      </w:r>
      <w:r w:rsidRPr="006C1B48">
        <w:rPr>
          <w:rStyle w:val="Znakapoznpodarou"/>
          <w:rFonts w:cs="Segoe UI"/>
        </w:rPr>
        <w:footnoteReference w:id="85"/>
      </w:r>
      <w:r w:rsidRPr="006C1B48">
        <w:rPr>
          <w:rFonts w:cs="Segoe UI"/>
        </w:rPr>
        <w:t xml:space="preserve"> </w:t>
      </w:r>
    </w:p>
    <w:p w14:paraId="5B471AAB" w14:textId="0DD20AB4" w:rsidR="00D24F6F" w:rsidRPr="000708A5" w:rsidRDefault="00362191" w:rsidP="006C1B48">
      <w:pPr>
        <w:pStyle w:val="Odstavecseseznamem"/>
        <w:numPr>
          <w:ilvl w:val="0"/>
          <w:numId w:val="210"/>
        </w:numPr>
        <w:spacing w:after="0"/>
        <w:rPr>
          <w:rFonts w:cs="Segoe UI"/>
        </w:rPr>
      </w:pPr>
      <w:r w:rsidRPr="000708A5">
        <w:rPr>
          <w:rFonts w:cs="Segoe UI"/>
        </w:rPr>
        <w:t xml:space="preserve">zahrnul odpovídající opatření, která zajistí, že nedojde k šíření invazních druhů a </w:t>
      </w:r>
    </w:p>
    <w:p w14:paraId="44DB96A8" w14:textId="161FCDB8" w:rsidR="00ED70E1" w:rsidRPr="00D24F6F" w:rsidRDefault="00362191" w:rsidP="006C1B48">
      <w:pPr>
        <w:pStyle w:val="Odstavecseseznamem"/>
        <w:numPr>
          <w:ilvl w:val="0"/>
          <w:numId w:val="210"/>
        </w:numPr>
        <w:spacing w:after="0"/>
        <w:rPr>
          <w:rFonts w:cs="Segoe UI"/>
        </w:rPr>
      </w:pPr>
      <w:r w:rsidRPr="00D24F6F">
        <w:rPr>
          <w:rFonts w:cs="Segoe UI"/>
        </w:rPr>
        <w:t>uvedl zhodnocení dopadu záměru na biologickou hodnotu území (a byla stanovena případná opatření, která zajistí, že při provádění prací nebude docházet ke zničení či zhoršování stavu vymezených přírodních stanovišť ani nad rámec vlastního záboru</w:t>
      </w:r>
      <w:r w:rsidRPr="006C1B48">
        <w:rPr>
          <w:rFonts w:cs="Segoe UI"/>
          <w:b/>
          <w:bCs/>
        </w:rPr>
        <w:t>). Popis vlivů na životní prostředí je bez ohledu na související povolovací procesy u stavebních projektů povinnou součástí souhrnné technické zprávy</w:t>
      </w:r>
      <w:r w:rsidRPr="00D24F6F">
        <w:rPr>
          <w:rFonts w:cs="Segoe UI"/>
        </w:rPr>
        <w:t xml:space="preserve">, přičemž k zhodnocení jak zamezení šíření invazních druhů, tak dopadu záměru na biologickou hodnotu území lze využít informace získané v rámci souvisejících procesů (např. procesu EIA) probíhajících v návaznosti na plnění legislativních podmínek (viz část </w:t>
      </w:r>
      <w:hyperlink w:anchor="_Splnění_legislativní_ochrany" w:history="1">
        <w:r w:rsidRPr="00D24F6F">
          <w:rPr>
            <w:rStyle w:val="Hypertextovodkaz"/>
            <w:rFonts w:cs="Segoe UI"/>
          </w:rPr>
          <w:t>4.6.4.2.1</w:t>
        </w:r>
      </w:hyperlink>
      <w:r w:rsidRPr="00D24F6F">
        <w:rPr>
          <w:rFonts w:cs="Segoe UI"/>
        </w:rPr>
        <w:t xml:space="preserve">. a </w:t>
      </w:r>
      <w:hyperlink w:anchor="_Splnění_legislativní_ochrany_2" w:history="1">
        <w:r w:rsidRPr="00D24F6F">
          <w:rPr>
            <w:rStyle w:val="Hypertextovodkaz"/>
            <w:rFonts w:cs="Segoe UI"/>
          </w:rPr>
          <w:t>4.6.4.2.</w:t>
        </w:r>
        <w:r w:rsidR="00D24F6F">
          <w:rPr>
            <w:rStyle w:val="Hypertextovodkaz"/>
            <w:rFonts w:cs="Segoe UI"/>
          </w:rPr>
          <w:t>2</w:t>
        </w:r>
      </w:hyperlink>
      <w:r w:rsidRPr="00D24F6F">
        <w:rPr>
          <w:rFonts w:cs="Segoe UI"/>
        </w:rPr>
        <w:t xml:space="preserve">.). Projektant by měl zároveň zajistit, že pokud informace z uvedených zdrojů nejsou dostatečné, či je potřebné sofistikovanější posouzení (na základě vlastní úvahy nebo tento požadavek vyplyne z uvedených správních procesů), budou využity služby externích expertů (např. </w:t>
      </w:r>
      <w:hyperlink r:id="rId118" w:history="1">
        <w:r w:rsidRPr="00D24F6F">
          <w:rPr>
            <w:rStyle w:val="Hypertextovodkaz"/>
            <w:rFonts w:cs="Segoe UI"/>
          </w:rPr>
          <w:t>příslušných autorizovaných osob, dle zákona č. 114/1992 Sb., o ochraně přírody a krajiny</w:t>
        </w:r>
      </w:hyperlink>
      <w:r>
        <w:rPr>
          <w:rStyle w:val="Znakapoznpodarou"/>
          <w:rFonts w:cs="Segoe UI"/>
        </w:rPr>
        <w:footnoteReference w:id="86"/>
      </w:r>
      <w:r w:rsidR="00F60026" w:rsidRPr="00D24F6F">
        <w:rPr>
          <w:rFonts w:cs="Segoe UI"/>
        </w:rPr>
        <w:t>, nebo osoba s odpovídajícím biologickým vzděláním)</w:t>
      </w:r>
      <w:r w:rsidRPr="00D24F6F">
        <w:rPr>
          <w:rFonts w:cs="Segoe UI"/>
        </w:rPr>
        <w:t>.Z hlediska uplatňovaných postupů lze využít odborné metodiky AOPK ČR a MŽP (např. „</w:t>
      </w:r>
      <w:hyperlink r:id="rId119" w:history="1">
        <w:r w:rsidRPr="00D24F6F">
          <w:rPr>
            <w:rStyle w:val="Hypertextovodkaz"/>
            <w:rFonts w:cs="Segoe UI"/>
          </w:rPr>
          <w:t>Standardy péče o přírodu a krajinu</w:t>
        </w:r>
      </w:hyperlink>
      <w:r w:rsidRPr="00D24F6F">
        <w:rPr>
          <w:rFonts w:cs="Segoe UI"/>
        </w:rPr>
        <w:t>“, ,,</w:t>
      </w:r>
      <w:hyperlink r:id="rId120" w:history="1">
        <w:r w:rsidRPr="00D24F6F">
          <w:rPr>
            <w:rStyle w:val="Hypertextovodkaz"/>
            <w:rFonts w:cs="Segoe UI"/>
          </w:rPr>
          <w:t>Zásady regulace pro invazní nepůvodní druhy zařazené na unijní seznam</w:t>
        </w:r>
      </w:hyperlink>
      <w:r w:rsidRPr="001C478D">
        <w:rPr>
          <w:rFonts w:cs="Segoe UI"/>
        </w:rPr>
        <w:t>)</w:t>
      </w:r>
      <w:r w:rsidR="00796FFE" w:rsidRPr="001C478D">
        <w:rPr>
          <w:rFonts w:cs="Segoe UI"/>
        </w:rPr>
        <w:t>“</w:t>
      </w:r>
      <w:r w:rsidRPr="001C478D">
        <w:rPr>
          <w:rFonts w:cs="Segoe UI"/>
        </w:rPr>
        <w:t>.</w:t>
      </w:r>
      <w:r>
        <w:rPr>
          <w:rStyle w:val="Znakapoznpodarou"/>
          <w:rFonts w:cs="Segoe UI"/>
        </w:rPr>
        <w:footnoteReference w:id="87"/>
      </w:r>
      <w:r w:rsidRPr="00D24F6F">
        <w:rPr>
          <w:rFonts w:cs="Segoe UI"/>
        </w:rPr>
        <w:t xml:space="preserve"> </w:t>
      </w:r>
    </w:p>
    <w:p w14:paraId="706E312C" w14:textId="40E1C4EB" w:rsidR="00EB6D74" w:rsidRDefault="00362191" w:rsidP="00DB1A0B">
      <w:pPr>
        <w:spacing w:after="0"/>
        <w:rPr>
          <w:rFonts w:cs="Segoe UI"/>
        </w:rPr>
      </w:pPr>
      <w:r w:rsidRPr="00F1329B">
        <w:rPr>
          <w:rFonts w:cs="Segoe UI"/>
          <w:b/>
          <w:bCs/>
          <w:i/>
          <w:iCs/>
        </w:rPr>
        <w:t>Požadování dokládání uvedené podmínky ze strany administrátorů EU fondů se nevztahuje na jednoduché stavby dle přílohy 2 stavebního zákona č. 283/2021 Sb</w:t>
      </w:r>
      <w:r>
        <w:rPr>
          <w:rFonts w:cs="Segoe UI"/>
          <w:b/>
          <w:bCs/>
          <w:i/>
          <w:iCs/>
        </w:rPr>
        <w:t>.</w:t>
      </w:r>
      <w:r w:rsidR="00FB2A0F" w:rsidRPr="006C1B48">
        <w:rPr>
          <w:i/>
        </w:rPr>
        <w:t xml:space="preserve"> </w:t>
      </w:r>
    </w:p>
    <w:p w14:paraId="2749DDEC" w14:textId="77777777" w:rsidR="00F538AE" w:rsidRDefault="00F538AE" w:rsidP="00DB1A0B">
      <w:pPr>
        <w:spacing w:after="0"/>
        <w:rPr>
          <w:rFonts w:cs="Segoe UI"/>
        </w:rPr>
      </w:pPr>
    </w:p>
    <w:p w14:paraId="0AA6B259" w14:textId="6C379F7A" w:rsidR="00454F5F" w:rsidRPr="00D77C59" w:rsidRDefault="00454F5F" w:rsidP="00D77C59">
      <w:pPr>
        <w:keepNext/>
        <w:spacing w:after="0"/>
        <w:rPr>
          <w:rFonts w:cs="Segoe UI"/>
          <w:u w:val="single"/>
        </w:rPr>
      </w:pPr>
      <w:r w:rsidRPr="00D77C59">
        <w:rPr>
          <w:rFonts w:cs="Segoe UI"/>
          <w:u w:val="single"/>
        </w:rPr>
        <w:t>Opatření, která je možné přijmout</w:t>
      </w:r>
      <w:r w:rsidR="001C478D">
        <w:rPr>
          <w:rFonts w:cs="Segoe UI"/>
          <w:u w:val="single"/>
        </w:rPr>
        <w:t xml:space="preserve"> ve vazbě na nešíření invazních druhů</w:t>
      </w:r>
      <w:r w:rsidRPr="00D77C59">
        <w:rPr>
          <w:rFonts w:cs="Segoe UI"/>
          <w:u w:val="single"/>
        </w:rPr>
        <w:t>:</w:t>
      </w:r>
    </w:p>
    <w:p w14:paraId="0B4D2A71" w14:textId="3E82BBF3" w:rsidR="00454F5F" w:rsidRPr="00D77C59" w:rsidRDefault="00454F5F" w:rsidP="00D77C59">
      <w:pPr>
        <w:pStyle w:val="Odstavecseseznamem"/>
        <w:keepNext/>
        <w:numPr>
          <w:ilvl w:val="0"/>
          <w:numId w:val="182"/>
        </w:numPr>
        <w:ind w:left="714" w:hanging="357"/>
        <w:rPr>
          <w:i/>
          <w:iCs/>
        </w:rPr>
      </w:pPr>
      <w:r w:rsidRPr="00D77C59">
        <w:rPr>
          <w:i/>
          <w:iCs/>
        </w:rPr>
        <w:t>Identifikace výskytu invazních nepůvodních druhů</w:t>
      </w:r>
    </w:p>
    <w:p w14:paraId="2B7A7DC3" w14:textId="346C2E81" w:rsidR="00E571D7" w:rsidRPr="00E571D7" w:rsidRDefault="00E571D7" w:rsidP="00D77C59">
      <w:pPr>
        <w:pStyle w:val="Odstavecseseznamem"/>
        <w:numPr>
          <w:ilvl w:val="1"/>
          <w:numId w:val="182"/>
        </w:numPr>
        <w:spacing w:line="240" w:lineRule="auto"/>
        <w:ind w:left="1434" w:hanging="357"/>
      </w:pPr>
      <w:r w:rsidRPr="00E571D7">
        <w:t xml:space="preserve">Zajištění aktuálních údajů o výskytu invazních nepůvodních druhů v dotčeném území (např. na základě údajů NDOP, databází krajských úřadů, popř. terénního </w:t>
      </w:r>
      <w:r w:rsidRPr="00E571D7">
        <w:lastRenderedPageBreak/>
        <w:t xml:space="preserve">průzkumu). Výsledkem by měl být </w:t>
      </w:r>
      <w:r w:rsidR="00362191">
        <w:t>přehled o výskytu</w:t>
      </w:r>
      <w:r w:rsidRPr="00E571D7">
        <w:t xml:space="preserve"> invazních nepůvodních druhů</w:t>
      </w:r>
      <w:r w:rsidR="00FB2A0F">
        <w:t xml:space="preserve"> </w:t>
      </w:r>
      <w:r w:rsidR="00362191">
        <w:t>z hlediska</w:t>
      </w:r>
      <w:r w:rsidRPr="00E571D7">
        <w:t xml:space="preserve"> rozsahu a charakteru výskytu (např. dominantní porosty, jednotliví jedinci) a zhodnocení rizik šíření v souvislosti s realizací záměru (vč. rizik spojených s výskytem invazních nepůvodních druhů v okolí, v místech získávání či skladování materiálů atp.)</w:t>
      </w:r>
      <w:r w:rsidR="00796FFE">
        <w:t>.</w:t>
      </w:r>
    </w:p>
    <w:p w14:paraId="346F58DE" w14:textId="0D9E0A12" w:rsidR="00E571D7" w:rsidRPr="00D77C59" w:rsidRDefault="00454F5F" w:rsidP="00E571D7">
      <w:pPr>
        <w:pStyle w:val="Odstavecseseznamem"/>
        <w:numPr>
          <w:ilvl w:val="0"/>
          <w:numId w:val="182"/>
        </w:numPr>
        <w:rPr>
          <w:i/>
          <w:iCs/>
        </w:rPr>
      </w:pPr>
      <w:r w:rsidRPr="00D77C59">
        <w:rPr>
          <w:i/>
          <w:iCs/>
        </w:rPr>
        <w:t>Preventivní opatření během realizace záměru</w:t>
      </w:r>
    </w:p>
    <w:p w14:paraId="5B493B36" w14:textId="166195C1" w:rsidR="00454F5F" w:rsidRPr="00E571D7" w:rsidRDefault="00E571D7" w:rsidP="00D77C59">
      <w:pPr>
        <w:pStyle w:val="Odstavecseseznamem"/>
        <w:numPr>
          <w:ilvl w:val="1"/>
          <w:numId w:val="182"/>
        </w:numPr>
        <w:spacing w:line="240" w:lineRule="auto"/>
        <w:ind w:hanging="357"/>
      </w:pPr>
      <w:r>
        <w:t>V</w:t>
      </w:r>
      <w:r w:rsidR="00454F5F" w:rsidRPr="00E571D7">
        <w:t> návaznosti na identifikovaný výskyt invazních nepůvodních druhů a zhodnocení rizik jsou v rámci záměru navržena adekvátní opatření, jako např.</w:t>
      </w:r>
      <w:r>
        <w:t>:</w:t>
      </w:r>
      <w:r w:rsidR="00FB2A0F">
        <w:t xml:space="preserve"> </w:t>
      </w:r>
    </w:p>
    <w:p w14:paraId="3B93D3D4" w14:textId="77777777" w:rsidR="00362191" w:rsidRPr="008D669D" w:rsidRDefault="00362191" w:rsidP="00362191">
      <w:pPr>
        <w:pStyle w:val="Odstavecseseznamem"/>
        <w:numPr>
          <w:ilvl w:val="2"/>
          <w:numId w:val="182"/>
        </w:numPr>
        <w:spacing w:line="240" w:lineRule="auto"/>
        <w:ind w:hanging="357"/>
      </w:pPr>
      <w:r w:rsidRPr="008D669D">
        <w:t>minimaliz</w:t>
      </w:r>
      <w:r>
        <w:t>ace</w:t>
      </w:r>
      <w:r w:rsidRPr="008D669D">
        <w:t xml:space="preserve"> manipulac</w:t>
      </w:r>
      <w:r>
        <w:t>e</w:t>
      </w:r>
      <w:r w:rsidRPr="008D669D">
        <w:t xml:space="preserve"> s</w:t>
      </w:r>
      <w:r>
        <w:t>e zeminou</w:t>
      </w:r>
      <w:r w:rsidRPr="008D669D">
        <w:t>, rostlinným materiálem a jinými substráty, které mohou obsahovat semena nebo části invazních druhů</w:t>
      </w:r>
      <w:r>
        <w:t xml:space="preserve">, </w:t>
      </w:r>
      <w:r w:rsidRPr="008D669D">
        <w:t xml:space="preserve">kontrola šíření invazních nepůvodních druhů v rámci </w:t>
      </w:r>
      <w:r>
        <w:t xml:space="preserve">přemisťování a </w:t>
      </w:r>
      <w:r w:rsidRPr="008D669D">
        <w:t>dopravy</w:t>
      </w:r>
      <w:r>
        <w:t xml:space="preserve"> zeminy a dalších</w:t>
      </w:r>
      <w:r w:rsidRPr="008D669D">
        <w:t xml:space="preserve"> materiálů </w:t>
      </w:r>
      <w:r>
        <w:t>nebo</w:t>
      </w:r>
      <w:r w:rsidRPr="008D669D">
        <w:t xml:space="preserve"> stavebních hmot</w:t>
      </w:r>
      <w:r>
        <w:t xml:space="preserve">, </w:t>
      </w:r>
    </w:p>
    <w:p w14:paraId="5373AD4C" w14:textId="7BDDB6CF" w:rsidR="00454F5F" w:rsidRPr="00D77C59" w:rsidRDefault="00454F5F" w:rsidP="00D77C59">
      <w:pPr>
        <w:pStyle w:val="Odstavecseseznamem"/>
        <w:numPr>
          <w:ilvl w:val="2"/>
          <w:numId w:val="182"/>
        </w:numPr>
        <w:spacing w:line="240" w:lineRule="auto"/>
        <w:ind w:hanging="357"/>
      </w:pPr>
      <w:r w:rsidRPr="00D77C59">
        <w:t>používání nezávadného výsadbového materiálu (osiva bez přítomnosti invazních nepůvodních druhů)</w:t>
      </w:r>
      <w:r w:rsidR="00C1646D">
        <w:t>,</w:t>
      </w:r>
    </w:p>
    <w:p w14:paraId="17CC31CD" w14:textId="77777777" w:rsidR="00454F5F" w:rsidRPr="00D77C59" w:rsidRDefault="00454F5F" w:rsidP="00D77C59">
      <w:pPr>
        <w:pStyle w:val="Odstavecseseznamem"/>
        <w:numPr>
          <w:ilvl w:val="2"/>
          <w:numId w:val="182"/>
        </w:numPr>
        <w:spacing w:line="240" w:lineRule="auto"/>
        <w:ind w:hanging="357"/>
      </w:pPr>
      <w:r w:rsidRPr="00D77C59">
        <w:t>omezení přesunu strojů a zařízení mezi lokalitami s různým stupněm zamoření invazními druhy bez odpovídajícího vyčištění.</w:t>
      </w:r>
    </w:p>
    <w:p w14:paraId="6AD70E42" w14:textId="7445BFF3" w:rsidR="00454F5F" w:rsidRPr="00D77C59" w:rsidRDefault="00454F5F" w:rsidP="00D77C59">
      <w:pPr>
        <w:pStyle w:val="Odstavecseseznamem"/>
        <w:numPr>
          <w:ilvl w:val="0"/>
          <w:numId w:val="182"/>
        </w:numPr>
        <w:rPr>
          <w:i/>
          <w:iCs/>
        </w:rPr>
      </w:pPr>
      <w:r w:rsidRPr="00D77C59">
        <w:rPr>
          <w:i/>
          <w:iCs/>
        </w:rPr>
        <w:t>Zajištění opatření k odstranění invazních nepůvodních druhů</w:t>
      </w:r>
    </w:p>
    <w:p w14:paraId="6E2DF957" w14:textId="68CF1F61" w:rsidR="00454F5F" w:rsidRPr="00D77C59" w:rsidRDefault="00454F5F" w:rsidP="00D77C59">
      <w:pPr>
        <w:pStyle w:val="Odstavecseseznamem"/>
        <w:numPr>
          <w:ilvl w:val="1"/>
          <w:numId w:val="182"/>
        </w:numPr>
        <w:spacing w:line="240" w:lineRule="auto"/>
        <w:ind w:left="1434" w:hanging="357"/>
      </w:pPr>
      <w:r w:rsidRPr="00D77C59">
        <w:t>v případě výskytu invazních nepůvodních druhů na území záměru je navržen plán na jejich odstranění (mechanicky, chemicky, biologicky – dle charakteru lokality a druhu), tak aby nedošlo k jejich dalšímu šíření</w:t>
      </w:r>
      <w:r w:rsidR="00362191">
        <w:t xml:space="preserve"> ((jak v místě záměru, tak na místech ukládání materiálu, deponiích atp.)</w:t>
      </w:r>
      <w:r w:rsidR="00E571D7">
        <w:t xml:space="preserve">, </w:t>
      </w:r>
      <w:r w:rsidRPr="00D77C59">
        <w:t>v plánu budou uvedeny konkrétní termíny a postup provádění.</w:t>
      </w:r>
    </w:p>
    <w:p w14:paraId="099A0BBF" w14:textId="32E1CDDB" w:rsidR="00454F5F" w:rsidRPr="00D77C59" w:rsidRDefault="00454F5F" w:rsidP="00D77C59">
      <w:pPr>
        <w:pStyle w:val="Odstavecseseznamem"/>
        <w:numPr>
          <w:ilvl w:val="0"/>
          <w:numId w:val="182"/>
        </w:numPr>
        <w:rPr>
          <w:i/>
          <w:iCs/>
        </w:rPr>
      </w:pPr>
      <w:r w:rsidRPr="00D77C59">
        <w:rPr>
          <w:i/>
          <w:iCs/>
        </w:rPr>
        <w:t>Následná péče a monitoring</w:t>
      </w:r>
    </w:p>
    <w:p w14:paraId="16684633" w14:textId="46981021" w:rsidR="00454F5F" w:rsidRPr="00D77C59" w:rsidRDefault="00454F5F" w:rsidP="00D77C59">
      <w:pPr>
        <w:pStyle w:val="Odstavecseseznamem"/>
        <w:numPr>
          <w:ilvl w:val="1"/>
          <w:numId w:val="182"/>
        </w:numPr>
        <w:spacing w:line="240" w:lineRule="auto"/>
        <w:ind w:left="1434" w:hanging="357"/>
      </w:pPr>
      <w:r w:rsidRPr="00D77C59">
        <w:t>Žadatel zajistí kontrolu výskytu invazních druhů i po realizaci projektu – např. opakovaný monitoring 1–3 roky po ukončení.</w:t>
      </w:r>
      <w:r w:rsidR="00E571D7">
        <w:t xml:space="preserve"> </w:t>
      </w:r>
      <w:r w:rsidRPr="00D77C59">
        <w:t>V případě nového výskytu navrhne mechanismus včasného zásahu.</w:t>
      </w:r>
    </w:p>
    <w:p w14:paraId="1BA2C469" w14:textId="77777777" w:rsidR="00454F5F" w:rsidRDefault="00454F5F" w:rsidP="00DB1A0B">
      <w:pPr>
        <w:spacing w:after="0"/>
        <w:rPr>
          <w:rFonts w:cs="Segoe UI"/>
        </w:rPr>
      </w:pPr>
    </w:p>
    <w:p w14:paraId="3D0CE440" w14:textId="77777777" w:rsidR="00454F5F" w:rsidRPr="00BA38D6" w:rsidRDefault="00454F5F" w:rsidP="00454F5F">
      <w:pPr>
        <w:spacing w:after="0"/>
        <w:rPr>
          <w:rFonts w:cs="Segoe UI"/>
          <w:b/>
          <w:bCs/>
        </w:rPr>
      </w:pPr>
      <w:r w:rsidRPr="00BA38D6">
        <w:rPr>
          <w:rFonts w:cs="Segoe UI"/>
          <w:b/>
          <w:bCs/>
        </w:rPr>
        <w:t xml:space="preserve">Monitoring plnění je možné </w:t>
      </w:r>
      <w:r>
        <w:rPr>
          <w:rFonts w:cs="Segoe UI"/>
          <w:b/>
          <w:bCs/>
        </w:rPr>
        <w:t>provádět</w:t>
      </w:r>
      <w:r w:rsidRPr="00BA38D6">
        <w:rPr>
          <w:rFonts w:cs="Segoe UI"/>
          <w:b/>
          <w:bCs/>
        </w:rPr>
        <w:t xml:space="preserve"> a reportovat následujícími způsoby:</w:t>
      </w:r>
    </w:p>
    <w:p w14:paraId="329D2CE3" w14:textId="77777777" w:rsidR="00454F5F" w:rsidRPr="00BA38D6" w:rsidRDefault="00454F5F" w:rsidP="00454F5F">
      <w:pPr>
        <w:spacing w:after="0"/>
        <w:rPr>
          <w:rFonts w:cs="Segoe UI"/>
        </w:rPr>
      </w:pPr>
    </w:p>
    <w:p w14:paraId="4075BB46" w14:textId="77777777" w:rsidR="00C47580" w:rsidRDefault="00C47580" w:rsidP="00C47580">
      <w:pPr>
        <w:spacing w:after="0"/>
        <w:rPr>
          <w:rFonts w:cs="Segoe UI"/>
        </w:rPr>
      </w:pPr>
      <w:r>
        <w:rPr>
          <w:rFonts w:cs="Segoe UI"/>
        </w:rPr>
        <w:t xml:space="preserve">Ad a) </w:t>
      </w:r>
      <w:r w:rsidRPr="00B91F20">
        <w:rPr>
          <w:rFonts w:cs="Segoe UI"/>
        </w:rPr>
        <w:t>Podkladem pro prokázání splnění podmín</w:t>
      </w:r>
      <w:r>
        <w:rPr>
          <w:rFonts w:cs="Segoe UI"/>
        </w:rPr>
        <w:t>ky</w:t>
      </w:r>
      <w:r w:rsidRPr="00B91F20">
        <w:rPr>
          <w:rFonts w:cs="Segoe UI"/>
        </w:rPr>
        <w:t xml:space="preserve"> </w:t>
      </w:r>
      <w:r>
        <w:rPr>
          <w:rFonts w:cs="Segoe UI"/>
        </w:rPr>
        <w:t xml:space="preserve">je </w:t>
      </w:r>
      <w:r w:rsidRPr="00B7735B">
        <w:rPr>
          <w:rFonts w:cs="Segoe UI"/>
          <w:b/>
          <w:bCs/>
        </w:rPr>
        <w:t>souhlas s odnětím zemědělské půdy ze zemědělského půdního fondu, resp. souhlasné stanovisko JES</w:t>
      </w:r>
      <w:r w:rsidRPr="00B91F20">
        <w:rPr>
          <w:rFonts w:cs="Segoe UI"/>
        </w:rPr>
        <w:t xml:space="preserve">, které uvádí, zda záměr </w:t>
      </w:r>
      <w:r>
        <w:rPr>
          <w:rFonts w:cs="Segoe UI"/>
        </w:rPr>
        <w:t>byl dotčen ochranou dle z. č.</w:t>
      </w:r>
      <w:r w:rsidRPr="002A2019">
        <w:t xml:space="preserve"> </w:t>
      </w:r>
      <w:r w:rsidRPr="002A2019">
        <w:rPr>
          <w:rFonts w:cs="Segoe UI"/>
        </w:rPr>
        <w:t>334/1992 Sb., o ochraně zemědělského půdního fondu</w:t>
      </w:r>
      <w:r>
        <w:rPr>
          <w:rFonts w:cs="Segoe UI"/>
        </w:rPr>
        <w:t xml:space="preserve"> </w:t>
      </w:r>
      <w:r w:rsidRPr="00B91F20">
        <w:rPr>
          <w:rFonts w:cs="Segoe UI"/>
        </w:rPr>
        <w:t xml:space="preserve">a v jaké třídě ochrany (tzn. pro kontrolu vyloučení I. a II. třídy). </w:t>
      </w:r>
      <w:r w:rsidRPr="00B7735B">
        <w:rPr>
          <w:rFonts w:cs="Segoe UI"/>
          <w:b/>
          <w:bCs/>
        </w:rPr>
        <w:t>V případě záměrů, pro které se nevydává souhlas s odnětím zemědělské půdy ze zemědělského půdního fondu, resp. JES, lze provést kontrolu skrze katastr nemovitostí pro ujištění, zda a v jaké třídě ochrany zemědělské půdy se záměr nachází</w:t>
      </w:r>
      <w:r>
        <w:rPr>
          <w:rFonts w:cs="Segoe UI"/>
        </w:rPr>
        <w:t xml:space="preserve">. </w:t>
      </w:r>
    </w:p>
    <w:p w14:paraId="7F9E431D" w14:textId="77777777" w:rsidR="00C47580" w:rsidRDefault="00C47580" w:rsidP="00C47580">
      <w:pPr>
        <w:spacing w:after="0"/>
        <w:rPr>
          <w:rFonts w:cs="Segoe UI"/>
        </w:rPr>
      </w:pPr>
      <w:r>
        <w:rPr>
          <w:rFonts w:cs="Segoe UI"/>
        </w:rPr>
        <w:t xml:space="preserve"> </w:t>
      </w:r>
    </w:p>
    <w:p w14:paraId="7581A58B" w14:textId="77777777" w:rsidR="00C47580" w:rsidRDefault="00C47580" w:rsidP="00C47580">
      <w:pPr>
        <w:spacing w:after="0"/>
        <w:rPr>
          <w:rFonts w:cs="Segoe UI"/>
        </w:rPr>
      </w:pPr>
      <w:r w:rsidRPr="00BA38D6">
        <w:rPr>
          <w:rFonts w:cs="Segoe UI"/>
        </w:rPr>
        <w:t xml:space="preserve">Ad b) V rámci žádosti o podporu vyžadovat po žadateli </w:t>
      </w:r>
      <w:r w:rsidRPr="00B7735B">
        <w:rPr>
          <w:rFonts w:cs="Segoe UI"/>
          <w:b/>
          <w:bCs/>
        </w:rPr>
        <w:t xml:space="preserve">doložit výpis z </w:t>
      </w:r>
      <w:proofErr w:type="spellStart"/>
      <w:r w:rsidRPr="00B7735B">
        <w:rPr>
          <w:rFonts w:cs="Segoe UI"/>
          <w:b/>
          <w:bCs/>
        </w:rPr>
        <w:t>georeportu</w:t>
      </w:r>
      <w:proofErr w:type="spellEnd"/>
      <w:r w:rsidRPr="00B7735B">
        <w:rPr>
          <w:rFonts w:cs="Segoe UI"/>
          <w:b/>
          <w:bCs/>
        </w:rPr>
        <w:t xml:space="preserve"> potvrzující, že na dotčeném území záměrem nejsou chráněná přírodní stanoviště </w:t>
      </w:r>
      <w:r w:rsidRPr="00B7735B">
        <w:rPr>
          <w:rFonts w:eastAsia="Calibri" w:cs="Segoe UI"/>
          <w:b/>
          <w:bCs/>
        </w:rPr>
        <w:t xml:space="preserve">a stanoviště ohrožených druhů červeného seznamu </w:t>
      </w:r>
      <w:r w:rsidRPr="00A91367">
        <w:rPr>
          <w:rFonts w:eastAsia="Calibri" w:cs="Segoe UI"/>
        </w:rPr>
        <w:t xml:space="preserve">(případně v případě výskytu druhů </w:t>
      </w:r>
      <w:r w:rsidRPr="00A91367">
        <w:rPr>
          <w:rFonts w:eastAsia="Calibri" w:cs="Segoe UI"/>
        </w:rPr>
        <w:lastRenderedPageBreak/>
        <w:t>červeného seznamu doložit stanovisko orgánu ochrany přírody, že se nejedná o závažný zásah</w:t>
      </w:r>
      <w:r>
        <w:rPr>
          <w:rFonts w:eastAsia="Calibri" w:cs="Segoe UI"/>
        </w:rPr>
        <w:t>, pokud je vydáno v rámci řízení k záměru</w:t>
      </w:r>
      <w:r w:rsidRPr="00A91367">
        <w:rPr>
          <w:rFonts w:eastAsia="Calibri" w:cs="Segoe UI"/>
        </w:rPr>
        <w:t>).</w:t>
      </w:r>
      <w:r w:rsidRPr="00BA38D6">
        <w:rPr>
          <w:rFonts w:cs="Segoe UI"/>
        </w:rPr>
        <w:t xml:space="preserve"> </w:t>
      </w:r>
    </w:p>
    <w:p w14:paraId="09B8C900" w14:textId="77777777" w:rsidR="00C47580" w:rsidRDefault="00C47580" w:rsidP="00C47580">
      <w:pPr>
        <w:spacing w:after="0"/>
        <w:rPr>
          <w:rFonts w:cs="Segoe UI"/>
        </w:rPr>
      </w:pPr>
    </w:p>
    <w:p w14:paraId="1103B016" w14:textId="77777777" w:rsidR="00C47580" w:rsidRPr="00BA38D6" w:rsidRDefault="00C47580" w:rsidP="00C47580">
      <w:pPr>
        <w:spacing w:after="0"/>
        <w:rPr>
          <w:rFonts w:cs="Segoe UI"/>
        </w:rPr>
      </w:pPr>
      <w:r>
        <w:rPr>
          <w:rFonts w:cs="Segoe UI"/>
        </w:rPr>
        <w:t>Ad c) není relevantní.</w:t>
      </w:r>
    </w:p>
    <w:p w14:paraId="72F9B2B1" w14:textId="77777777" w:rsidR="000B79A6" w:rsidRPr="00C47580" w:rsidRDefault="000B79A6" w:rsidP="000B79A6">
      <w:pPr>
        <w:spacing w:after="0"/>
        <w:rPr>
          <w:rFonts w:cs="Segoe UI"/>
        </w:rPr>
      </w:pPr>
    </w:p>
    <w:p w14:paraId="5633784C" w14:textId="77777777" w:rsidR="00C47580" w:rsidRDefault="00C47580" w:rsidP="00C47580">
      <w:pPr>
        <w:spacing w:after="0"/>
        <w:rPr>
          <w:rFonts w:cs="Segoe UI"/>
        </w:rPr>
      </w:pPr>
      <w:r w:rsidRPr="006C1B48">
        <w:rPr>
          <w:rFonts w:cs="Segoe UI"/>
        </w:rPr>
        <w:t xml:space="preserve">Ad d) V rámci žádosti o podporu vyžadovat </w:t>
      </w:r>
      <w:r w:rsidRPr="006C1B48">
        <w:rPr>
          <w:rFonts w:cs="Segoe UI"/>
          <w:b/>
          <w:bCs/>
        </w:rPr>
        <w:t>čestné prohlášení o zpracování posouzení a o provedení opatření, případně kontrola, zda jsou uvedené aspekty posouzení rozvedeny v technické zprávě projektu</w:t>
      </w:r>
      <w:r w:rsidRPr="006C1B48">
        <w:rPr>
          <w:rFonts w:cs="Segoe UI"/>
        </w:rPr>
        <w:t>.</w:t>
      </w:r>
    </w:p>
    <w:p w14:paraId="4B29CE8F" w14:textId="77777777" w:rsidR="00A32A7E" w:rsidRPr="00BA38D6" w:rsidRDefault="00A32A7E" w:rsidP="00A32A7E">
      <w:pPr>
        <w:spacing w:after="0"/>
        <w:rPr>
          <w:rFonts w:cs="Segoe UI"/>
        </w:rPr>
      </w:pPr>
    </w:p>
    <w:p w14:paraId="38EAF81B" w14:textId="6668E77C" w:rsidR="00A32A7E" w:rsidRPr="00BA38D6" w:rsidRDefault="00A32A7E" w:rsidP="00141780">
      <w:pPr>
        <w:pStyle w:val="Nadpis5"/>
        <w:rPr>
          <w:bCs/>
        </w:rPr>
      </w:pPr>
      <w:bookmarkStart w:id="135" w:name="_Postupy_typizovaných_projektů"/>
      <w:bookmarkStart w:id="136" w:name="_Hlk193801200"/>
      <w:bookmarkEnd w:id="135"/>
      <w:r w:rsidRPr="00BA38D6">
        <w:t>Postupy typizovaných projektů</w:t>
      </w:r>
      <w:r w:rsidR="00127B96">
        <w:t xml:space="preserve"> (dle příloh)</w:t>
      </w:r>
    </w:p>
    <w:p w14:paraId="293CFFAC" w14:textId="77777777" w:rsidR="00A32A7E" w:rsidRPr="00BA38D6" w:rsidRDefault="00A32A7E" w:rsidP="00D77C59">
      <w:pPr>
        <w:keepNext/>
        <w:spacing w:after="0"/>
        <w:rPr>
          <w:rFonts w:cs="Segoe UI"/>
        </w:rPr>
      </w:pPr>
      <w:bookmarkStart w:id="137" w:name="_Hlk193802288"/>
      <w:bookmarkEnd w:id="136"/>
      <w:r w:rsidRPr="00BA38D6">
        <w:rPr>
          <w:rFonts w:cs="Segoe UI"/>
        </w:rPr>
        <w:t>Dále je nutné dodržovat konkrétní postupy pro určité druhy tzv. typizovaných projektů:</w:t>
      </w:r>
    </w:p>
    <w:p w14:paraId="2429377D" w14:textId="3B7C3463" w:rsidR="00A32A7E" w:rsidRDefault="00A32A7E" w:rsidP="00A32A7E">
      <w:pPr>
        <w:pStyle w:val="Odstavecseseznamem"/>
        <w:numPr>
          <w:ilvl w:val="0"/>
          <w:numId w:val="71"/>
        </w:numPr>
        <w:spacing w:after="0" w:line="276" w:lineRule="auto"/>
        <w:contextualSpacing/>
        <w:rPr>
          <w:rFonts w:cs="Segoe UI"/>
        </w:rPr>
      </w:pPr>
      <w:r w:rsidRPr="00BA38D6">
        <w:rPr>
          <w:rFonts w:cs="Segoe UI"/>
        </w:rPr>
        <w:t>V případě, že je součástí předmětu podpor</w:t>
      </w:r>
      <w:r>
        <w:rPr>
          <w:rFonts w:cs="Segoe UI"/>
        </w:rPr>
        <w:t>y</w:t>
      </w:r>
      <w:r w:rsidRPr="00BA38D6">
        <w:rPr>
          <w:rFonts w:cs="Segoe UI"/>
        </w:rPr>
        <w:t xml:space="preserve"> výstavba nových budov, či renovace budov, je </w:t>
      </w:r>
      <w:r w:rsidR="0090493B">
        <w:rPr>
          <w:rFonts w:cs="Segoe UI"/>
        </w:rPr>
        <w:t xml:space="preserve">možné podmínky ochrany a obnovy biologické rozmanitosti a ekosystémů promítnout způsobem popsaným </w:t>
      </w:r>
      <w:r w:rsidRPr="00BA38D6">
        <w:rPr>
          <w:rFonts w:cs="Segoe UI"/>
        </w:rPr>
        <w:t>v kapitol</w:t>
      </w:r>
      <w:r w:rsidR="00742BE5">
        <w:rPr>
          <w:rFonts w:cs="Segoe UI"/>
        </w:rPr>
        <w:t>e</w:t>
      </w:r>
      <w:r w:rsidRPr="00BA38D6">
        <w:rPr>
          <w:rFonts w:cs="Segoe UI"/>
        </w:rPr>
        <w:t xml:space="preserve"> </w:t>
      </w:r>
      <w:hyperlink w:anchor="_Výstavba_nových_budov" w:history="1">
        <w:r w:rsidR="009830DC" w:rsidRPr="00695EB7">
          <w:rPr>
            <w:rStyle w:val="Hypertextovodkaz"/>
            <w:rFonts w:cs="Segoe UI"/>
          </w:rPr>
          <w:t>5.</w:t>
        </w:r>
        <w:r w:rsidR="009830DC">
          <w:rPr>
            <w:rStyle w:val="Hypertextovodkaz"/>
            <w:rFonts w:cs="Segoe UI"/>
          </w:rPr>
          <w:t>2</w:t>
        </w:r>
      </w:hyperlink>
      <w:r w:rsidR="009830DC" w:rsidRPr="00BA38D6">
        <w:rPr>
          <w:rFonts w:cs="Segoe UI"/>
        </w:rPr>
        <w:t xml:space="preserve"> </w:t>
      </w:r>
      <w:r w:rsidRPr="00BA38D6">
        <w:rPr>
          <w:rFonts w:cs="Segoe UI"/>
        </w:rPr>
        <w:t>tohoto materiálu</w:t>
      </w:r>
      <w:r w:rsidR="0090493B">
        <w:rPr>
          <w:rFonts w:cs="Segoe UI"/>
        </w:rPr>
        <w:t xml:space="preserve"> – příloha shrnuje postupy popsané v této kapitole.</w:t>
      </w:r>
    </w:p>
    <w:p w14:paraId="6724F8A4" w14:textId="77777777" w:rsidR="00D2347B" w:rsidRDefault="00D2347B" w:rsidP="000B79A6">
      <w:pPr>
        <w:spacing w:after="0"/>
        <w:contextualSpacing/>
        <w:rPr>
          <w:rFonts w:cs="Segoe UI"/>
          <w:highlight w:val="yellow"/>
        </w:rPr>
      </w:pPr>
    </w:p>
    <w:p w14:paraId="4F474A9B" w14:textId="6076BC4C" w:rsidR="000B79A6" w:rsidRPr="00D77C59" w:rsidRDefault="00D2347B" w:rsidP="000B79A6">
      <w:pPr>
        <w:spacing w:after="0"/>
        <w:contextualSpacing/>
        <w:rPr>
          <w:rFonts w:cs="Segoe UI"/>
          <w:b/>
          <w:bCs/>
        </w:rPr>
      </w:pPr>
      <w:r w:rsidRPr="00D77C59">
        <w:rPr>
          <w:rFonts w:cs="Segoe UI"/>
          <w:b/>
          <w:bCs/>
        </w:rPr>
        <w:t>Splnění DNSH vůči ochraně a obnově biologické rozmanitosti a ekosystémů v případě projektů obnovitelných zdrojů v akceleračních zónách</w:t>
      </w:r>
    </w:p>
    <w:p w14:paraId="2604EE17" w14:textId="77777777" w:rsidR="000B79A6" w:rsidRPr="00D2347B" w:rsidRDefault="000B79A6" w:rsidP="000B79A6">
      <w:pPr>
        <w:spacing w:after="0"/>
        <w:rPr>
          <w:rFonts w:cs="Segoe UI"/>
          <w:bCs/>
        </w:rPr>
      </w:pPr>
      <w:r w:rsidRPr="00D2347B">
        <w:rPr>
          <w:rFonts w:cs="Segoe UI"/>
        </w:rPr>
        <w:t xml:space="preserve">V případě záměrů </w:t>
      </w:r>
      <w:r w:rsidRPr="00D2347B">
        <w:rPr>
          <w:rFonts w:cs="Segoe UI"/>
          <w:b/>
        </w:rPr>
        <w:t>OZE v akceleračních zónách</w:t>
      </w:r>
      <w:r w:rsidRPr="00D2347B">
        <w:rPr>
          <w:rStyle w:val="Znakapoznpodarou"/>
          <w:rFonts w:cs="Segoe UI"/>
          <w:bCs/>
        </w:rPr>
        <w:footnoteReference w:id="88"/>
      </w:r>
      <w:r w:rsidRPr="00D2347B">
        <w:rPr>
          <w:rFonts w:cs="Segoe UI"/>
          <w:bCs/>
        </w:rPr>
        <w:t xml:space="preserve"> bude DNSH zajištěno v rámci povolovacího postupu, kdy krajský úřad (orgán příslušný pro vydání jednotného environmentálního stanoviska pro záměry OZE v akceleračních zónách) v první řadě posoudí soulad záměru OZE s podmínkami a zmírňujícími opatřeními stanovenými v územním opatření. Územní opatření je pro záměry OZE povolované v akcelerační oblasti závazné. Pokud by tedy byl záměr v rozporu s podmínkami nebo zmírňujícími opatřeními stanovenými v územním opatření, nebylo by možné vydat souhlasné JES. </w:t>
      </w:r>
    </w:p>
    <w:p w14:paraId="262EBD7A" w14:textId="77777777" w:rsidR="000B79A6" w:rsidRPr="00D2347B" w:rsidRDefault="000B79A6" w:rsidP="000B79A6">
      <w:pPr>
        <w:spacing w:after="0"/>
        <w:rPr>
          <w:rFonts w:cs="Segoe UI"/>
          <w:bCs/>
        </w:rPr>
      </w:pPr>
      <w:r w:rsidRPr="00D2347B">
        <w:rPr>
          <w:rFonts w:cs="Segoe UI"/>
          <w:bCs/>
        </w:rPr>
        <w:t>Dále rozliší záměry, které by za normálních okolností podléhaly EIA, k čemuž může poskytnout součinnost příslušný úřad EIA působící v rámci téhož krajského úřadu. Pokud se nejedná o záměr, který za normálních okolností podléhá EIA, pak lze pokračovat v postupu vedoucím k vydání JES. Pokud by však záměr za normálních okolností podléhal EIA, pak je nutné posoudit následující podmínky pro uplatnění výjimky z EIA vyplývající ze směrnice RED III: (1) zda jsou do záměru zapracována pravidla a zmírňující opatření stanovená při vymezení akcelerační oblasti (viz již krok 1), (2) zda projekt nepodléhá mezistátní EIA a (3) zda není vysoce pravděpodobné, že záměr vyvolá významné nepředvídané nepříznivé vlivy na životní prostředí. Také při hodnocení těchto otázek může poskytnout součinnost příslušný úřad EIA působící v rámci téhož krajského úřadu, popř. orgán ochrany veřejného zdraví a orgán ochrany přírody. Pokud by záměr nesplňoval druhou nebo třetí z podmínek vyplývajících ze směrnice RED III, pak by musel krajský úřad vydat rozhodnutí o tom, že záměr bude podléhat EIA, a to do 45 dní (popř. do 30 dní).</w:t>
      </w:r>
    </w:p>
    <w:p w14:paraId="6A27B1FB" w14:textId="1D1F08A2" w:rsidR="000B79A6" w:rsidRDefault="000B79A6" w:rsidP="000B79A6">
      <w:pPr>
        <w:spacing w:after="0"/>
        <w:rPr>
          <w:rFonts w:cs="Segoe UI"/>
          <w:bCs/>
        </w:rPr>
      </w:pPr>
      <w:r w:rsidRPr="00D2347B">
        <w:rPr>
          <w:rFonts w:cs="Segoe UI"/>
          <w:bCs/>
        </w:rPr>
        <w:lastRenderedPageBreak/>
        <w:t>Poté krajský úřad posoudí záměr a, považuje-li záměr na základě tohoto posouzení za přípustný, pak vydá souhlasné JES a případně závazně stanoví další podmínky pro jeho povolení. Krajský úřad zejména stanoví nové podmínky ve vztahu k aspektům, které nebyly při vymezování akcelerační oblasti řešeny (a nebyly pro ně tedy při vymezení oblasti stanoveny podmínky). Proces vydání JES ve vztahu k ostatním správním úkonům, namísto nichž se vydává a které nebyly při vymezování oblastí řešeny, proběhne v plném rozsahu podle zákona č.</w:t>
      </w:r>
      <w:r w:rsidR="00796FFE">
        <w:rPr>
          <w:rFonts w:cs="Segoe UI"/>
          <w:bCs/>
        </w:rPr>
        <w:t> </w:t>
      </w:r>
      <w:r w:rsidRPr="00D2347B">
        <w:rPr>
          <w:rFonts w:cs="Segoe UI"/>
          <w:bCs/>
        </w:rPr>
        <w:t>148/2023 Sb., o jednotném environmentálním stanovisku.</w:t>
      </w:r>
    </w:p>
    <w:p w14:paraId="3C480A7B" w14:textId="77777777" w:rsidR="00D2347B" w:rsidRPr="00447130" w:rsidRDefault="00D2347B" w:rsidP="000B79A6">
      <w:pPr>
        <w:spacing w:after="0"/>
        <w:rPr>
          <w:rFonts w:cs="Segoe UI"/>
        </w:rPr>
      </w:pPr>
    </w:p>
    <w:p w14:paraId="4DFFF129" w14:textId="77777777" w:rsidR="00D27E31" w:rsidRPr="00D27E31" w:rsidRDefault="00D27E31" w:rsidP="00D27E31">
      <w:pPr>
        <w:pStyle w:val="Nadpis5"/>
        <w:numPr>
          <w:ilvl w:val="4"/>
          <w:numId w:val="190"/>
        </w:numPr>
        <w:rPr>
          <w:bCs/>
        </w:rPr>
      </w:pPr>
      <w:bookmarkStart w:id="138" w:name="_Splnění_legislativní_ochrany"/>
      <w:bookmarkEnd w:id="137"/>
      <w:bookmarkEnd w:id="138"/>
      <w:r w:rsidRPr="00AC1D12">
        <w:t>Provedení opatření vzešlých z posuzování vlivů na životní prostředí (EIA), z jednotného environmentálního stanoviska nebo společného rozhodnutí dle ustanovení § 83 ZOPK</w:t>
      </w:r>
    </w:p>
    <w:p w14:paraId="6ED39F4A" w14:textId="77777777" w:rsidR="00D27E31" w:rsidRDefault="00D27E31" w:rsidP="00D27E31">
      <w:pPr>
        <w:rPr>
          <w:rFonts w:cs="Segoe UI"/>
        </w:rPr>
      </w:pPr>
      <w:r w:rsidRPr="00751A92">
        <w:rPr>
          <w:rFonts w:cs="Segoe UI"/>
        </w:rPr>
        <w:t>V případě, že bylo provedeno posuzování vlivů na životní prostředí (EIA), screening</w:t>
      </w:r>
      <w:r w:rsidRPr="00751A92">
        <w:rPr>
          <w:rFonts w:cs="Segoe UI"/>
          <w:vertAlign w:val="superscript"/>
        </w:rPr>
        <w:footnoteReference w:id="89"/>
      </w:r>
      <w:r w:rsidRPr="00751A92">
        <w:rPr>
          <w:rFonts w:cs="Segoe UI"/>
        </w:rPr>
        <w:t xml:space="preserve"> v souladu se směrnicí 2011/92/EU</w:t>
      </w:r>
      <w:r w:rsidRPr="00751A92">
        <w:rPr>
          <w:rFonts w:cs="Segoe UI"/>
          <w:vertAlign w:val="superscript"/>
        </w:rPr>
        <w:footnoteReference w:id="90"/>
      </w:r>
      <w:r w:rsidRPr="00751A92">
        <w:rPr>
          <w:rFonts w:cs="Segoe UI"/>
        </w:rPr>
        <w:t>, nebo spadá záměr opatření pod složkovou environmentální legislativu integrovanou do jednotného environmentálního stanoviska</w:t>
      </w:r>
      <w:r>
        <w:rPr>
          <w:rFonts w:cs="Segoe UI"/>
        </w:rPr>
        <w:t xml:space="preserve"> nebo do tzv. společného rozhodnutí dle § 83 ZOPK</w:t>
      </w:r>
      <w:r>
        <w:rPr>
          <w:rStyle w:val="Znakapoznpodarou"/>
          <w:rFonts w:cs="Segoe UI"/>
        </w:rPr>
        <w:footnoteReference w:id="91"/>
      </w:r>
      <w:r w:rsidRPr="00751A92">
        <w:rPr>
          <w:rFonts w:cs="Segoe UI"/>
        </w:rPr>
        <w:t>, je nutné zajistit, že byla provedena požadovaná zmírňující a kompenzační opatření na ochranu životního prostředí.</w:t>
      </w:r>
      <w:r w:rsidRPr="00EE237B">
        <w:rPr>
          <w:rFonts w:cs="Segoe UI"/>
        </w:rPr>
        <w:t xml:space="preserve"> </w:t>
      </w:r>
      <w:r>
        <w:rPr>
          <w:rFonts w:cs="Segoe UI"/>
        </w:rPr>
        <w:t>EIA a JES mohou zahrnovat doporučení ke všem environmentálním cílům a jsou tedy vždy relevantní z pohledu DNSH. Společné rozhodnutí dle § 83 ZOPK má přímou vazbu k cíli ochrany biodiverzity a ekosystémů.</w:t>
      </w:r>
    </w:p>
    <w:p w14:paraId="4792BB37" w14:textId="77777777" w:rsidR="00D27E31" w:rsidRDefault="00D27E31" w:rsidP="00D27E31">
      <w:pPr>
        <w:rPr>
          <w:rFonts w:cs="Segoe UI"/>
        </w:rPr>
      </w:pPr>
      <w:r w:rsidRPr="00751A92">
        <w:rPr>
          <w:rFonts w:cs="Segoe UI"/>
        </w:rPr>
        <w:t>Zmírňující a kompenzační opatření na ochranu životního prostředí (na základě závazného stanoviska provedeného posouzení vlivů na životní prostředí</w:t>
      </w:r>
      <w:r>
        <w:rPr>
          <w:rFonts w:cs="Segoe UI"/>
        </w:rPr>
        <w:t xml:space="preserve"> a JES / společného rozhodnutí dle § 83 ZOPK</w:t>
      </w:r>
      <w:r w:rsidRPr="00751A92">
        <w:rPr>
          <w:rFonts w:cs="Segoe UI"/>
        </w:rPr>
        <w:t xml:space="preserve">) by měla být součástí </w:t>
      </w:r>
      <w:r w:rsidRPr="00CA77F8">
        <w:rPr>
          <w:rFonts w:cs="Segoe UI"/>
        </w:rPr>
        <w:t>souhrnné technické zprávy projektu</w:t>
      </w:r>
      <w:r w:rsidRPr="00CA77F8">
        <w:rPr>
          <w:rFonts w:cs="Segoe UI"/>
          <w:vertAlign w:val="superscript"/>
        </w:rPr>
        <w:footnoteReference w:id="92"/>
      </w:r>
      <w:r w:rsidRPr="00751A92">
        <w:rPr>
          <w:rFonts w:cs="Segoe UI"/>
        </w:rPr>
        <w:t xml:space="preserve">. Tyto </w:t>
      </w:r>
      <w:r>
        <w:rPr>
          <w:rFonts w:cs="Segoe UI"/>
        </w:rPr>
        <w:t xml:space="preserve">aspekty </w:t>
      </w:r>
      <w:r w:rsidRPr="00751A92">
        <w:rPr>
          <w:rFonts w:cs="Segoe UI"/>
        </w:rPr>
        <w:t xml:space="preserve">jsou poté kontrolovány v rámci stavebního řízení, finálně však ve smyslu, že byla provedena zmírňující a kompenzační opatření až při kolaudaci. </w:t>
      </w:r>
      <w:r>
        <w:rPr>
          <w:rFonts w:cs="Segoe UI"/>
        </w:rPr>
        <w:t>Uzavření stavebního řízení se však</w:t>
      </w:r>
      <w:r w:rsidRPr="00751A92">
        <w:rPr>
          <w:rFonts w:cs="Segoe UI"/>
        </w:rPr>
        <w:t xml:space="preserve"> nemusí setkat v čase s rozhodnutím o poskytnutí dotace, proto je potřeba požadovat čestné prohlášení ohledně provedení zmírňujících a kompenzačních opatření na ochranu životního prostředí</w:t>
      </w:r>
      <w:r>
        <w:rPr>
          <w:rFonts w:cs="Segoe UI"/>
        </w:rPr>
        <w:t xml:space="preserve"> vyplývajících z uvedených řízení</w:t>
      </w:r>
      <w:r w:rsidRPr="00751A92">
        <w:rPr>
          <w:rFonts w:cs="Segoe UI"/>
        </w:rPr>
        <w:t>.</w:t>
      </w:r>
    </w:p>
    <w:p w14:paraId="5E040461" w14:textId="77777777" w:rsidR="00D27E31" w:rsidRPr="00BA38D6" w:rsidRDefault="00D27E31" w:rsidP="00D27E31">
      <w:pPr>
        <w:spacing w:after="0"/>
        <w:rPr>
          <w:rFonts w:cs="Segoe UI"/>
        </w:rPr>
      </w:pPr>
    </w:p>
    <w:p w14:paraId="1FE3E430" w14:textId="77777777" w:rsidR="00A32A7E" w:rsidRPr="00BA38D6" w:rsidRDefault="00A32A7E" w:rsidP="00141780">
      <w:pPr>
        <w:pStyle w:val="Nadpis5"/>
        <w:rPr>
          <w:bCs/>
        </w:rPr>
      </w:pPr>
      <w:bookmarkStart w:id="139" w:name="_Splnění_legislativní_ochrany_2"/>
      <w:bookmarkEnd w:id="139"/>
      <w:r w:rsidRPr="00BA38D6">
        <w:lastRenderedPageBreak/>
        <w:t>Splnění legislativní ochrany a souvisejících povolení</w:t>
      </w:r>
    </w:p>
    <w:p w14:paraId="05C34F7A" w14:textId="1ACB9D9D" w:rsidR="00362191" w:rsidRPr="00AF460E" w:rsidRDefault="00362191" w:rsidP="00362191">
      <w:pPr>
        <w:rPr>
          <w:b/>
        </w:rPr>
      </w:pPr>
      <w:r w:rsidRPr="00AF460E">
        <w:rPr>
          <w:b/>
        </w:rPr>
        <w:t xml:space="preserve">Dodržování platných právních předpisů EU a vnitrostátních environmentálních právních předpisů je samostatnou povinností při administraci EU fondů, dokladování souladu s legislativou na úrovni projektu je na rozhodnutí a dosavadní praxi příslušného </w:t>
      </w:r>
      <w:r w:rsidR="00C25169">
        <w:rPr>
          <w:b/>
        </w:rPr>
        <w:t>administrátora zdrojů EU</w:t>
      </w:r>
      <w:r w:rsidRPr="00AF460E">
        <w:rPr>
          <w:b/>
        </w:rPr>
        <w:t>, pokud není rozvedena potřeba v rámci administrace EU fondů specifická kontrola požadavků vyplývajících z legislativy s vazbou na DNSH (např. ad provedení opatření ve vazbě na EIA a JES).</w:t>
      </w:r>
    </w:p>
    <w:p w14:paraId="30CCA415" w14:textId="77777777" w:rsidR="00362191" w:rsidRPr="00A84314" w:rsidRDefault="00362191" w:rsidP="00362191">
      <w:r w:rsidRPr="00AF460E">
        <w:rPr>
          <w:b/>
        </w:rPr>
        <w:t>Fakultativně se doporučuje zvážit dokládání žadatele jako subjektu, zda neporušuje environmentální legislativu</w:t>
      </w:r>
      <w:r w:rsidRPr="00AF460E">
        <w:t xml:space="preserve"> – např. v podobě čestného prohlášení žadatele, že proti němu nejsou vedena řízení za porušení povinností spojených s ochranou životního prostředí (např. ze strany ČIŽP a jiných kontrolních orgánů) a klimatu (ve smyslu, že nemá nedoplatky za povolenky na emise skleníkových plynů).</w:t>
      </w:r>
    </w:p>
    <w:p w14:paraId="662899AB" w14:textId="77054F6D" w:rsidR="000B79A6" w:rsidRPr="00D77C59" w:rsidRDefault="00642543" w:rsidP="00A32A7E">
      <w:pPr>
        <w:rPr>
          <w:rFonts w:cs="Segoe UI"/>
          <w:b/>
          <w:bCs/>
        </w:rPr>
      </w:pPr>
      <w:r w:rsidRPr="00D77C59">
        <w:rPr>
          <w:rFonts w:cs="Segoe UI"/>
          <w:b/>
          <w:bCs/>
        </w:rPr>
        <w:t>Přehled legislativy</w:t>
      </w:r>
    </w:p>
    <w:p w14:paraId="69F81951" w14:textId="7AB008F3" w:rsidR="00362191" w:rsidRPr="004A3C92" w:rsidRDefault="00580DA7" w:rsidP="00362191">
      <w:pPr>
        <w:pStyle w:val="Odstavecseseznamem"/>
        <w:numPr>
          <w:ilvl w:val="0"/>
          <w:numId w:val="23"/>
        </w:numPr>
        <w:spacing w:line="276" w:lineRule="auto"/>
        <w:rPr>
          <w:rFonts w:cs="Segoe UI"/>
        </w:rPr>
      </w:pPr>
      <w:r>
        <w:rPr>
          <w:rFonts w:cs="Segoe UI"/>
        </w:rPr>
        <w:t>N</w:t>
      </w:r>
      <w:r w:rsidR="00362191" w:rsidRPr="004A3C92">
        <w:rPr>
          <w:rFonts w:cs="Segoe UI"/>
        </w:rPr>
        <w:t>ařízení EP a Rady (EU) 2024/1991 o obnově přírody</w:t>
      </w:r>
    </w:p>
    <w:p w14:paraId="6DF017CF" w14:textId="13858F17" w:rsidR="00362191" w:rsidRPr="004A3C92" w:rsidRDefault="00580DA7" w:rsidP="00362191">
      <w:pPr>
        <w:pStyle w:val="Odstavecseseznamem"/>
        <w:numPr>
          <w:ilvl w:val="0"/>
          <w:numId w:val="23"/>
        </w:numPr>
        <w:spacing w:line="276" w:lineRule="auto"/>
        <w:rPr>
          <w:rFonts w:cs="Segoe UI"/>
        </w:rPr>
      </w:pPr>
      <w:r>
        <w:rPr>
          <w:rFonts w:cs="Segoe UI"/>
        </w:rPr>
        <w:t>N</w:t>
      </w:r>
      <w:r w:rsidR="00362191" w:rsidRPr="004A3C92">
        <w:rPr>
          <w:rFonts w:cs="Segoe UI"/>
        </w:rPr>
        <w:t>ařízení EP a Rady (EU) č. 1143/2014, o prevenci a regulaci zavlékání či vysazování a šíření invazních nepůvodních druhů</w:t>
      </w:r>
    </w:p>
    <w:p w14:paraId="2ECE42CE" w14:textId="752F1297" w:rsidR="00362191" w:rsidRPr="009C7B63" w:rsidRDefault="00580DA7" w:rsidP="00362191">
      <w:pPr>
        <w:pStyle w:val="Odstavecseseznamem"/>
        <w:numPr>
          <w:ilvl w:val="0"/>
          <w:numId w:val="23"/>
        </w:numPr>
        <w:spacing w:line="276" w:lineRule="auto"/>
        <w:rPr>
          <w:rFonts w:cs="Segoe UI"/>
        </w:rPr>
      </w:pPr>
      <w:r>
        <w:rPr>
          <w:rFonts w:cs="Segoe UI"/>
        </w:rPr>
        <w:t>Z</w:t>
      </w:r>
      <w:r w:rsidR="00362191" w:rsidRPr="00BA38D6">
        <w:rPr>
          <w:rFonts w:cs="Segoe UI"/>
        </w:rPr>
        <w:t>ákon č. 114/1992 Sb., o ochraně přírody a krajiny (dále jen „ZOPK“), který mj. transponuje požadavky směrnice Evropského parlamentu a Rady 2009/147/ES, o ochraně volně žijících ptáků a směrnice Rady č. 92/43/EHS, o ochraně přírodních stanovišť, volně žijících živočichů a planě rostoucích rostlin.</w:t>
      </w:r>
    </w:p>
    <w:p w14:paraId="77F0BB78" w14:textId="3C01A9E4" w:rsidR="00362191" w:rsidRPr="00BA38D6" w:rsidRDefault="00362191" w:rsidP="00D77C59">
      <w:pPr>
        <w:keepNext/>
        <w:rPr>
          <w:rFonts w:cs="Segoe UI"/>
        </w:rPr>
      </w:pPr>
      <w:r w:rsidRPr="00D77C59">
        <w:rPr>
          <w:rFonts w:cs="Segoe UI"/>
        </w:rPr>
        <w:t>V rámci ZOPK jsou konkrétně stanoveny tyto limity a požadavky (které se vztahují přímo na provádění činností a regulují jejich dopady na přírodu a biodiverzitu, což vytváří předpoklad pro soulad se zásadou DNSH):</w:t>
      </w:r>
    </w:p>
    <w:p w14:paraId="7592FE4D" w14:textId="77777777" w:rsidR="00A32A7E" w:rsidRPr="00BA38D6" w:rsidRDefault="00A32A7E" w:rsidP="00D77C59">
      <w:pPr>
        <w:pStyle w:val="Odstavecseseznamem"/>
        <w:keepNext/>
        <w:numPr>
          <w:ilvl w:val="0"/>
          <w:numId w:val="36"/>
        </w:numPr>
        <w:spacing w:line="276" w:lineRule="auto"/>
        <w:rPr>
          <w:rFonts w:cs="Segoe UI"/>
        </w:rPr>
      </w:pPr>
      <w:r w:rsidRPr="00BA38D6">
        <w:rPr>
          <w:rFonts w:cs="Segoe UI"/>
        </w:rPr>
        <w:t>Obecná ochrana přírody a krajiny</w:t>
      </w:r>
    </w:p>
    <w:p w14:paraId="2332CEE7" w14:textId="77777777" w:rsidR="00A32A7E" w:rsidRPr="00BA38D6" w:rsidRDefault="00A32A7E" w:rsidP="00A32A7E">
      <w:pPr>
        <w:rPr>
          <w:rFonts w:cs="Segoe UI"/>
        </w:rPr>
      </w:pPr>
      <w:r w:rsidRPr="00BA38D6">
        <w:rPr>
          <w:rFonts w:cs="Segoe UI"/>
        </w:rPr>
        <w:t>Obecná ochrana krajiny je zajišťována prostřednictvím ochrany územního systému ekologické stability (dle § 4 odst. 1 ZOPK), významných krajinných prvků (dle § 4 odst. 2 ZOPK), krajinného rázu a přírodních parků (dle § 12 ZOPK).</w:t>
      </w:r>
    </w:p>
    <w:p w14:paraId="6F38425E" w14:textId="7085DB20" w:rsidR="00A32A7E" w:rsidRPr="00BA38D6" w:rsidRDefault="00A32A7E" w:rsidP="00A32A7E">
      <w:pPr>
        <w:rPr>
          <w:rFonts w:cs="Segoe UI"/>
        </w:rPr>
      </w:pPr>
      <w:r w:rsidRPr="00BA38D6">
        <w:rPr>
          <w:rFonts w:cs="Segoe UI"/>
        </w:rPr>
        <w:t xml:space="preserve">Obecná ochrana druhů rostlin a živočichů je zajišťována ochranou populací (dle § 5 odst. 1 a 3 ZOPK), ochranou ptáků (dle § 5a </w:t>
      </w:r>
      <w:r w:rsidR="00362191">
        <w:rPr>
          <w:rFonts w:cs="Segoe UI"/>
        </w:rPr>
        <w:t xml:space="preserve">a </w:t>
      </w:r>
      <w:r w:rsidR="00362191" w:rsidRPr="00BA38D6">
        <w:rPr>
          <w:rFonts w:cs="Segoe UI"/>
        </w:rPr>
        <w:t>§</w:t>
      </w:r>
      <w:r w:rsidR="00362191">
        <w:rPr>
          <w:rFonts w:cs="Segoe UI"/>
        </w:rPr>
        <w:t xml:space="preserve"> 5b </w:t>
      </w:r>
      <w:r w:rsidRPr="00BA38D6">
        <w:rPr>
          <w:rFonts w:cs="Segoe UI"/>
        </w:rPr>
        <w:t xml:space="preserve">ZOPK), ochranou dřevin rostoucích mimo les dřeviny (dle § </w:t>
      </w:r>
      <w:r w:rsidR="00362191">
        <w:rPr>
          <w:rFonts w:cs="Segoe UI"/>
        </w:rPr>
        <w:t xml:space="preserve">7 a </w:t>
      </w:r>
      <w:r w:rsidR="00362191" w:rsidRPr="00BA38D6">
        <w:rPr>
          <w:rFonts w:cs="Segoe UI"/>
        </w:rPr>
        <w:t>§</w:t>
      </w:r>
      <w:r w:rsidR="00362191">
        <w:rPr>
          <w:rFonts w:cs="Segoe UI"/>
        </w:rPr>
        <w:t xml:space="preserve"> </w:t>
      </w:r>
      <w:r w:rsidRPr="00BA38D6">
        <w:rPr>
          <w:rFonts w:cs="Segoe UI"/>
        </w:rPr>
        <w:t>8 ZOPK). Důležitým aspektem ochrany biologické rozmanitosti je též nastavení principů regulace v oblasti nepůvodních druhů (§ 5 odst. 4–9 ZOPK) a invazních nepůvodních druhů § 13a a násl. ZOPK (v kontextu nařízení EP a Rady (EU) č. 1143/2014).</w:t>
      </w:r>
    </w:p>
    <w:p w14:paraId="5C56F0CE" w14:textId="77777777" w:rsidR="00A32A7E" w:rsidRPr="00BA38D6" w:rsidRDefault="00A32A7E" w:rsidP="00A32A7E">
      <w:pPr>
        <w:rPr>
          <w:rFonts w:cs="Segoe UI"/>
        </w:rPr>
      </w:pPr>
      <w:r w:rsidRPr="00BA38D6">
        <w:rPr>
          <w:rFonts w:cs="Segoe UI"/>
        </w:rPr>
        <w:t>Ochrana neživé části přírody a krajiny je zajišťována ochranou jeskyní a přírodních jevů na povrchu, které s jeskyněmi souvisejí (§ 10 ZOPK), a ochranou paleontologických nálezů a minerálů (§ 11 ZOPK).</w:t>
      </w:r>
    </w:p>
    <w:p w14:paraId="0E60F4F7" w14:textId="77777777" w:rsidR="00A32A7E" w:rsidRPr="00BA38D6" w:rsidRDefault="00A32A7E" w:rsidP="00A32A7E">
      <w:pPr>
        <w:pStyle w:val="Odstavecseseznamem"/>
        <w:numPr>
          <w:ilvl w:val="0"/>
          <w:numId w:val="36"/>
        </w:numPr>
        <w:spacing w:line="276" w:lineRule="auto"/>
        <w:rPr>
          <w:rFonts w:cs="Segoe UI"/>
        </w:rPr>
      </w:pPr>
      <w:r w:rsidRPr="00BA38D6">
        <w:rPr>
          <w:rFonts w:cs="Segoe UI"/>
        </w:rPr>
        <w:t>Zvláštní ochrana přírody a krajiny</w:t>
      </w:r>
    </w:p>
    <w:p w14:paraId="38A27150" w14:textId="08F2392A" w:rsidR="00A32A7E" w:rsidRPr="00BA38D6" w:rsidRDefault="00A32A7E" w:rsidP="00A32A7E">
      <w:pPr>
        <w:rPr>
          <w:rFonts w:cs="Segoe UI"/>
        </w:rPr>
      </w:pPr>
      <w:r w:rsidRPr="00BA38D6">
        <w:rPr>
          <w:rFonts w:cs="Segoe UI"/>
        </w:rPr>
        <w:t xml:space="preserve">Ochrana zvláště chráněných území (národní parky, chráněné krajinné oblasti, národní přírodní rezervace, přírodní rezervace, národní přírodní památky a přírodní památky) je zajišťována </w:t>
      </w:r>
      <w:r w:rsidRPr="00BA38D6">
        <w:rPr>
          <w:rFonts w:cs="Segoe UI"/>
        </w:rPr>
        <w:lastRenderedPageBreak/>
        <w:t>zejména základními a bližšími ochrannými podmínkami</w:t>
      </w:r>
      <w:r w:rsidR="00362191">
        <w:rPr>
          <w:rFonts w:cs="Segoe UI"/>
        </w:rPr>
        <w:t xml:space="preserve"> stanovenými ZOPK a prováděcími předpisy, kterými jsou jednotlivá území zřízena</w:t>
      </w:r>
      <w:r w:rsidR="00362191" w:rsidRPr="00BA38D6">
        <w:rPr>
          <w:rFonts w:cs="Segoe UI"/>
        </w:rPr>
        <w:t>.</w:t>
      </w:r>
      <w:r w:rsidRPr="00BA38D6">
        <w:rPr>
          <w:rFonts w:cs="Segoe UI"/>
        </w:rPr>
        <w:t xml:space="preserve"> Kromě základních a bližších ochranných podmínek zvláště chráněných území existuj</w:t>
      </w:r>
      <w:r w:rsidR="00362191">
        <w:rPr>
          <w:rFonts w:cs="Segoe UI"/>
        </w:rPr>
        <w:t>í</w:t>
      </w:r>
      <w:r w:rsidRPr="00BA38D6">
        <w:rPr>
          <w:rFonts w:cs="Segoe UI"/>
        </w:rPr>
        <w:t xml:space="preserve"> další </w:t>
      </w:r>
      <w:r w:rsidR="00362191" w:rsidRPr="00BA38D6">
        <w:rPr>
          <w:rFonts w:cs="Segoe UI"/>
        </w:rPr>
        <w:t>legislativní nástroj</w:t>
      </w:r>
      <w:r w:rsidR="00362191">
        <w:rPr>
          <w:rFonts w:cs="Segoe UI"/>
        </w:rPr>
        <w:t>e</w:t>
      </w:r>
      <w:r w:rsidR="00362191" w:rsidRPr="00BA38D6">
        <w:rPr>
          <w:rFonts w:cs="Segoe UI"/>
        </w:rPr>
        <w:t xml:space="preserve"> regul</w:t>
      </w:r>
      <w:r w:rsidR="00362191">
        <w:rPr>
          <w:rFonts w:cs="Segoe UI"/>
        </w:rPr>
        <w:t>ující</w:t>
      </w:r>
      <w:r w:rsidR="00362191" w:rsidRPr="00BA38D6">
        <w:rPr>
          <w:rFonts w:cs="Segoe UI"/>
        </w:rPr>
        <w:t xml:space="preserve"> environmentálně škodliv</w:t>
      </w:r>
      <w:r w:rsidR="00362191">
        <w:rPr>
          <w:rFonts w:cs="Segoe UI"/>
        </w:rPr>
        <w:t>é</w:t>
      </w:r>
      <w:r w:rsidR="00362191" w:rsidRPr="00BA38D6">
        <w:rPr>
          <w:rFonts w:cs="Segoe UI"/>
        </w:rPr>
        <w:t xml:space="preserve"> aktivit</w:t>
      </w:r>
      <w:r w:rsidR="00362191">
        <w:rPr>
          <w:rFonts w:cs="Segoe UI"/>
        </w:rPr>
        <w:t>y</w:t>
      </w:r>
      <w:r w:rsidR="00362191" w:rsidRPr="00BA38D6">
        <w:rPr>
          <w:rFonts w:cs="Segoe UI"/>
        </w:rPr>
        <w:t xml:space="preserve"> v ZCHÚ (např. § 44, 12 ZOPK).</w:t>
      </w:r>
      <w:r w:rsidR="00362191">
        <w:rPr>
          <w:rFonts w:cs="Segoe UI"/>
        </w:rPr>
        <w:t xml:space="preserve"> </w:t>
      </w:r>
    </w:p>
    <w:p w14:paraId="4AE1CBC6" w14:textId="5A4A8C21" w:rsidR="00A32A7E" w:rsidRPr="00BA38D6" w:rsidRDefault="00A32A7E" w:rsidP="00A32A7E">
      <w:pPr>
        <w:rPr>
          <w:rFonts w:cs="Segoe UI"/>
        </w:rPr>
      </w:pPr>
      <w:r w:rsidRPr="00BA38D6">
        <w:rPr>
          <w:rFonts w:cs="Segoe UI"/>
        </w:rPr>
        <w:t>Ochrana zvláště chráněných druhů</w:t>
      </w:r>
      <w:r w:rsidR="00773EAE">
        <w:rPr>
          <w:rFonts w:cs="Segoe UI"/>
        </w:rPr>
        <w:t xml:space="preserve"> rostlin a živočichů</w:t>
      </w:r>
      <w:r w:rsidRPr="00BA38D6">
        <w:rPr>
          <w:rFonts w:cs="Segoe UI"/>
        </w:rPr>
        <w:t xml:space="preserve"> je zajišťována základními podmínkami jejich ochrany (§ 49 a § 50 ZOPK), včetně zajišťováním migrační prostupnosti krajiny ve vazbě na územně analytické podklady.</w:t>
      </w:r>
      <w:r w:rsidR="00FB2A0F">
        <w:rPr>
          <w:rFonts w:cs="Segoe UI"/>
        </w:rPr>
        <w:t xml:space="preserve"> </w:t>
      </w:r>
    </w:p>
    <w:p w14:paraId="5353503B" w14:textId="77777777" w:rsidR="00A32A7E" w:rsidRPr="00BA38D6" w:rsidRDefault="00A32A7E" w:rsidP="00AF460E">
      <w:pPr>
        <w:pStyle w:val="Odstavecseseznamem"/>
        <w:keepNext/>
        <w:numPr>
          <w:ilvl w:val="0"/>
          <w:numId w:val="36"/>
        </w:numPr>
        <w:spacing w:line="276" w:lineRule="auto"/>
        <w:ind w:left="714" w:hanging="357"/>
        <w:rPr>
          <w:rFonts w:cs="Segoe UI"/>
        </w:rPr>
      </w:pPr>
      <w:r w:rsidRPr="00BA38D6">
        <w:rPr>
          <w:rFonts w:cs="Segoe UI"/>
        </w:rPr>
        <w:t>Natura 2000</w:t>
      </w:r>
    </w:p>
    <w:p w14:paraId="3E39D774" w14:textId="24706E6E" w:rsidR="00A32A7E" w:rsidRDefault="00A32A7E" w:rsidP="00A32A7E">
      <w:pPr>
        <w:rPr>
          <w:rFonts w:cs="Segoe UI"/>
        </w:rPr>
      </w:pPr>
      <w:r w:rsidRPr="00BA38D6">
        <w:rPr>
          <w:rFonts w:cs="Segoe UI"/>
        </w:rPr>
        <w:t>Ochrana lokalit soustavy Natura 2000 je zajišťována uplatňováním postupu dle § 45h a § 45i ZOPK v případě realizace záměrů, které mohou významně ovlivnit předmět ochrany či celistvost evropsky významných lokalit či ptačích oblastí; tzv. základní ochrany evropsky významných lokalit dle § 45c odst. 2 ZOPK (v případě, že nejsou evropsky významné lokality chráněny prostřednictvím zvláště chráněných území); činností vázaných na souhlas stanovených dle § 45e odst. 2 ZOPK v</w:t>
      </w:r>
      <w:r w:rsidR="002C0BD5">
        <w:rPr>
          <w:rFonts w:cs="Segoe UI"/>
        </w:rPr>
        <w:t xml:space="preserve"> </w:t>
      </w:r>
      <w:r w:rsidRPr="00BA38D6">
        <w:rPr>
          <w:rFonts w:cs="Segoe UI"/>
        </w:rPr>
        <w:t xml:space="preserve">nařízení vlády, kterými se vymezují ptačí oblasti. V případě smluvně chráněných území se uplatňuje ochrana dle § 39 ZOPK. </w:t>
      </w:r>
    </w:p>
    <w:p w14:paraId="5F2E939E" w14:textId="3B43A768" w:rsidR="00773EAE" w:rsidRPr="00721A6E" w:rsidRDefault="00773EAE" w:rsidP="00773EAE">
      <w:pPr>
        <w:rPr>
          <w:rFonts w:cs="Segoe UI"/>
        </w:rPr>
      </w:pPr>
      <w:r>
        <w:rPr>
          <w:rFonts w:cs="Segoe UI"/>
        </w:rPr>
        <w:t xml:space="preserve">Zajištění souladu s těmito limity, popř. nezbytná povolení podle uvedených ustanovení jsou předmětem JES nebo (jde-li o zvláště chráněná území a území lokalit soustavy Natura 2000) společným rozhodnutím dle § 83 </w:t>
      </w:r>
      <w:r w:rsidRPr="00773EAE">
        <w:rPr>
          <w:rFonts w:cs="Segoe UI"/>
        </w:rPr>
        <w:t xml:space="preserve">ZOPK – </w:t>
      </w:r>
      <w:r w:rsidRPr="00D77C59">
        <w:rPr>
          <w:rFonts w:cs="Segoe UI"/>
        </w:rPr>
        <w:t>viz kap. 4.6.4.</w:t>
      </w:r>
      <w:r w:rsidR="00771FD6">
        <w:rPr>
          <w:rFonts w:cs="Segoe UI"/>
        </w:rPr>
        <w:t>1</w:t>
      </w:r>
      <w:r w:rsidRPr="00D77C59">
        <w:rPr>
          <w:rFonts w:cs="Segoe UI"/>
        </w:rPr>
        <w:t xml:space="preserve">.1 </w:t>
      </w:r>
      <w:r w:rsidRPr="00773EAE">
        <w:rPr>
          <w:rFonts w:cs="Segoe UI"/>
        </w:rPr>
        <w:t>Odborným</w:t>
      </w:r>
      <w:r>
        <w:rPr>
          <w:rFonts w:cs="Segoe UI"/>
        </w:rPr>
        <w:t xml:space="preserve"> podkladem pro tyto postupy může být hodnocení zpracované dle § 45i nebo § 67 ZOPK</w:t>
      </w:r>
      <w:r w:rsidRPr="00BA38D6">
        <w:rPr>
          <w:rFonts w:cs="Segoe UI"/>
        </w:rPr>
        <w:t xml:space="preserve"> </w:t>
      </w:r>
      <w:r w:rsidRPr="00721A6E">
        <w:rPr>
          <w:rFonts w:cs="Segoe UI"/>
        </w:rPr>
        <w:t>(údaje obsažené v těchto posouzeních mohou být</w:t>
      </w:r>
      <w:r w:rsidRPr="00721A6E" w:rsidDel="007B13E7">
        <w:rPr>
          <w:rFonts w:cs="Segoe UI"/>
        </w:rPr>
        <w:t xml:space="preserve"> </w:t>
      </w:r>
      <w:r w:rsidRPr="00721A6E">
        <w:rPr>
          <w:rFonts w:cs="Segoe UI"/>
        </w:rPr>
        <w:t xml:space="preserve">využity </w:t>
      </w:r>
      <w:r w:rsidRPr="009C7B63">
        <w:rPr>
          <w:rFonts w:cs="Segoe UI"/>
        </w:rPr>
        <w:t>u řady záměrů pro implementaci zásady DNSH vůči cíli ochrany biodiverzity</w:t>
      </w:r>
      <w:r w:rsidRPr="00721A6E">
        <w:rPr>
          <w:rFonts w:cs="Segoe UI"/>
        </w:rPr>
        <w:t xml:space="preserve">, jsou-li </w:t>
      </w:r>
      <w:r>
        <w:rPr>
          <w:rFonts w:cs="Segoe UI"/>
        </w:rPr>
        <w:t>součástí řízení k záměru)</w:t>
      </w:r>
      <w:r w:rsidRPr="009C7B63">
        <w:rPr>
          <w:rFonts w:cs="Segoe UI"/>
        </w:rPr>
        <w:t>.</w:t>
      </w:r>
    </w:p>
    <w:p w14:paraId="18E20757" w14:textId="225319E1" w:rsidR="00773EAE" w:rsidRPr="00BA38D6" w:rsidRDefault="00773EAE" w:rsidP="00773EAE">
      <w:pPr>
        <w:rPr>
          <w:rFonts w:cs="Segoe UI"/>
        </w:rPr>
      </w:pPr>
      <w:r w:rsidRPr="009C7B63">
        <w:rPr>
          <w:rFonts w:cs="Segoe UI"/>
        </w:rPr>
        <w:t>V rámci výše zmíněných</w:t>
      </w:r>
      <w:r w:rsidR="00FB2A0F">
        <w:rPr>
          <w:rFonts w:cs="Segoe UI"/>
        </w:rPr>
        <w:t xml:space="preserve"> </w:t>
      </w:r>
      <w:r w:rsidRPr="00721A6E">
        <w:rPr>
          <w:rFonts w:cs="Segoe UI"/>
        </w:rPr>
        <w:t>přímo použitelných předpisů EU, tedy nařízení EP a Rady (EU) č. 1143/2014, o prevenci a regulaci zavlékání či vysazování a šíření invazních nepůvodních druhů a nařízení EP a Rady (EU) 2024/1991 o obnově přírody</w:t>
      </w:r>
      <w:r w:rsidRPr="009C7B63">
        <w:rPr>
          <w:rFonts w:cs="Segoe UI"/>
        </w:rPr>
        <w:t xml:space="preserve"> je mj. stanovena povinnost členských států přijmout opatření k zamezení ničení a poškozování přírodních stanovišť, resp. zamezit šíření invazních nepůvodních druhů – tyto povinnosti nejsou adresovány přímo fyzických a právnickým osobám, nicméně pro uplatňování podmínek DNSH, jako opatření na straně státu (</w:t>
      </w:r>
      <w:r w:rsidR="002C0BD5">
        <w:rPr>
          <w:rFonts w:cs="Segoe UI"/>
        </w:rPr>
        <w:t>administrátorů zdrojů EU</w:t>
      </w:r>
      <w:r w:rsidRPr="009C7B63">
        <w:rPr>
          <w:rFonts w:cs="Segoe UI"/>
        </w:rPr>
        <w:t xml:space="preserve">), jsou relevantní a jsou proto zohledněny v rámci horizontálních podmínek v kap. </w:t>
      </w:r>
      <w:hyperlink w:anchor="_Horizontální_podmínky_ochrany" w:history="1">
        <w:r w:rsidRPr="002C0BD5">
          <w:rPr>
            <w:rStyle w:val="Hypertextovodkaz"/>
            <w:rFonts w:cs="Segoe UI"/>
          </w:rPr>
          <w:t>4.6.4.</w:t>
        </w:r>
        <w:r w:rsidR="002C0BD5" w:rsidRPr="002C0BD5">
          <w:rPr>
            <w:rStyle w:val="Hypertextovodkaz"/>
            <w:rFonts w:cs="Segoe UI"/>
          </w:rPr>
          <w:t>1.1</w:t>
        </w:r>
        <w:r w:rsidRPr="002C0BD5">
          <w:rPr>
            <w:rStyle w:val="Hypertextovodkaz"/>
            <w:rFonts w:cs="Segoe UI"/>
          </w:rPr>
          <w:t>.</w:t>
        </w:r>
      </w:hyperlink>
    </w:p>
    <w:p w14:paraId="367D20B6" w14:textId="77777777" w:rsidR="00773EAE" w:rsidRPr="00BA38D6" w:rsidRDefault="00773EAE" w:rsidP="00A32A7E">
      <w:pPr>
        <w:rPr>
          <w:rFonts w:cs="Segoe UI"/>
        </w:rPr>
      </w:pPr>
    </w:p>
    <w:p w14:paraId="29B9B094" w14:textId="59E8CD4E" w:rsidR="00A32A7E" w:rsidRPr="009455B1" w:rsidRDefault="00241D59" w:rsidP="00D27E31">
      <w:pPr>
        <w:pStyle w:val="Nadpis4"/>
        <w:rPr>
          <w:bCs/>
        </w:rPr>
      </w:pPr>
      <w:r>
        <w:t>Další podmínky k možnému zapracování</w:t>
      </w:r>
    </w:p>
    <w:p w14:paraId="48A29465" w14:textId="04696066" w:rsidR="00241D59" w:rsidRPr="00241D59" w:rsidRDefault="00241D59" w:rsidP="00241D59">
      <w:pPr>
        <w:rPr>
          <w:rFonts w:cs="Segoe UI"/>
        </w:rPr>
      </w:pPr>
      <w:r w:rsidRPr="002D74BE">
        <w:rPr>
          <w:rFonts w:cs="Segoe UI"/>
        </w:rPr>
        <w:t xml:space="preserve">V případě, že dojde ke shledání, že zamýšlený druh podpory </w:t>
      </w:r>
      <w:r w:rsidRPr="00EB459F">
        <w:rPr>
          <w:rFonts w:cs="Segoe UI"/>
        </w:rPr>
        <w:t xml:space="preserve">i přes </w:t>
      </w:r>
      <w:r>
        <w:rPr>
          <w:rFonts w:cs="Segoe UI"/>
        </w:rPr>
        <w:t xml:space="preserve">implementaci </w:t>
      </w:r>
      <w:r w:rsidRPr="00BA38D6">
        <w:rPr>
          <w:rFonts w:cs="Segoe UI"/>
        </w:rPr>
        <w:t>ochranných opatření a splnění souladu s legislativními předpisy a souvisejícími povoleními může představovat riziko</w:t>
      </w:r>
      <w:r>
        <w:rPr>
          <w:rFonts w:cs="Segoe UI"/>
        </w:rPr>
        <w:t xml:space="preserve"> poškozování životního prostředí</w:t>
      </w:r>
      <w:r w:rsidRPr="002D74BE">
        <w:rPr>
          <w:rFonts w:cs="Segoe UI"/>
        </w:rPr>
        <w:t xml:space="preserve"> v oblasti </w:t>
      </w:r>
      <w:r>
        <w:rPr>
          <w:rFonts w:cs="Segoe UI"/>
        </w:rPr>
        <w:t>ochrana a obnova biologické rozmanitosti a ekosystémů</w:t>
      </w:r>
      <w:r w:rsidRPr="002D74BE">
        <w:rPr>
          <w:rFonts w:cs="Segoe UI"/>
        </w:rPr>
        <w:t>, je možné zvýšit úroveň ochrany implementací vhodných podmínek a opatření:</w:t>
      </w:r>
    </w:p>
    <w:p w14:paraId="53B7EC5D" w14:textId="065010D6" w:rsidR="00A32A7E" w:rsidRPr="00771E82" w:rsidRDefault="00A32A7E" w:rsidP="00A32A7E">
      <w:pPr>
        <w:spacing w:after="0"/>
        <w:rPr>
          <w:rFonts w:cs="Segoe UI"/>
          <w:b/>
          <w:bCs/>
        </w:rPr>
      </w:pPr>
      <w:r w:rsidRPr="00771E82">
        <w:rPr>
          <w:rFonts w:cs="Segoe UI"/>
          <w:b/>
          <w:bCs/>
        </w:rPr>
        <w:t>Podmínky vyplývající z taxonomie</w:t>
      </w:r>
    </w:p>
    <w:p w14:paraId="6BEB83AC" w14:textId="3A5003AD" w:rsidR="00241D59" w:rsidRPr="002D74BE" w:rsidRDefault="00241D59" w:rsidP="00241D59">
      <w:pPr>
        <w:rPr>
          <w:rFonts w:cs="Segoe UI"/>
        </w:rPr>
      </w:pPr>
      <w:r>
        <w:rPr>
          <w:rFonts w:cs="Segoe UI"/>
        </w:rPr>
        <w:t>Dodatečnou ochranu</w:t>
      </w:r>
      <w:r w:rsidRPr="00EB459F">
        <w:rPr>
          <w:rFonts w:cs="Segoe UI"/>
        </w:rPr>
        <w:t xml:space="preserve"> životního prostředí v oblasti </w:t>
      </w:r>
      <w:r>
        <w:rPr>
          <w:rFonts w:cs="Segoe UI"/>
        </w:rPr>
        <w:t xml:space="preserve">ochrana a obnova biologické rozmanitosti a ekosystémů je možné zajistit </w:t>
      </w:r>
      <w:r w:rsidRPr="00EB459F">
        <w:rPr>
          <w:rFonts w:cs="Segoe UI"/>
        </w:rPr>
        <w:t xml:space="preserve">využitím delegovaných aktů taxonomie, </w:t>
      </w:r>
      <w:r>
        <w:rPr>
          <w:rFonts w:cs="Segoe UI"/>
        </w:rPr>
        <w:t xml:space="preserve">implementací podmínek </w:t>
      </w:r>
      <w:r w:rsidRPr="00EB459F">
        <w:rPr>
          <w:rFonts w:cs="Segoe UI"/>
        </w:rPr>
        <w:lastRenderedPageBreak/>
        <w:t>nejen z technických kritérií významného přínosu, ale rovněž podmínek pro plnění zásady významně nepoškozovat</w:t>
      </w:r>
      <w:r>
        <w:rPr>
          <w:rFonts w:cs="Segoe UI"/>
        </w:rPr>
        <w:t xml:space="preserve">. </w:t>
      </w:r>
      <w:r w:rsidRPr="002D74BE">
        <w:rPr>
          <w:rFonts w:cs="Segoe UI"/>
        </w:rPr>
        <w:t>Jelikož je zásada DNSH ukotvena v článku 17 Nařízení o taxonomii a je obdobně interpretována i v jednotlivých právních předpisech relevantních fondů, je možné stanovit konkrétní podmínky pro čerpání podpory analogicky dle technických kritérií</w:t>
      </w:r>
      <w:r>
        <w:rPr>
          <w:rFonts w:cs="Segoe UI"/>
        </w:rPr>
        <w:t>.</w:t>
      </w:r>
    </w:p>
    <w:p w14:paraId="190B5550" w14:textId="5D24818C" w:rsidR="00241D59" w:rsidRPr="00BA38D6" w:rsidRDefault="00241D59" w:rsidP="00241D59">
      <w:pPr>
        <w:rPr>
          <w:rFonts w:cs="Segoe UI"/>
        </w:rPr>
      </w:pPr>
      <w:r>
        <w:rPr>
          <w:rFonts w:cs="Segoe UI"/>
        </w:rPr>
        <w:t>V případě postupu dle významného přínosu je d</w:t>
      </w:r>
      <w:r w:rsidRPr="00BA38D6">
        <w:rPr>
          <w:rFonts w:cs="Segoe UI"/>
        </w:rPr>
        <w:t>oporučeným postupem dohledat předmět podpory v </w:t>
      </w:r>
      <w:hyperlink r:id="rId121" w:history="1">
        <w:r w:rsidRPr="00BA38D6">
          <w:rPr>
            <w:rStyle w:val="Hypertextovodkaz"/>
            <w:rFonts w:cs="Segoe UI"/>
          </w:rPr>
          <w:t xml:space="preserve">EU Taxonomy </w:t>
        </w:r>
        <w:proofErr w:type="spellStart"/>
        <w:r w:rsidRPr="00BA38D6">
          <w:rPr>
            <w:rStyle w:val="Hypertextovodkaz"/>
            <w:rFonts w:cs="Segoe UI"/>
          </w:rPr>
          <w:t>compass</w:t>
        </w:r>
        <w:proofErr w:type="spellEnd"/>
      </w:hyperlink>
      <w:r w:rsidRPr="00BA38D6">
        <w:rPr>
          <w:rFonts w:cs="Segoe UI"/>
        </w:rPr>
        <w:t xml:space="preserve"> nebo </w:t>
      </w:r>
      <w:hyperlink w:anchor="_Kontext_taxonomie_EU" w:history="1">
        <w:r w:rsidRPr="0077290F">
          <w:rPr>
            <w:rStyle w:val="Hypertextovodkaz"/>
            <w:rFonts w:cs="Segoe UI"/>
          </w:rPr>
          <w:t>relevantním delegovaném aktu taxonomie</w:t>
        </w:r>
      </w:hyperlink>
      <w:r w:rsidRPr="00BA38D6">
        <w:rPr>
          <w:rFonts w:cs="Segoe UI"/>
        </w:rPr>
        <w:t>.</w:t>
      </w:r>
      <w:r w:rsidRPr="0058633B">
        <w:rPr>
          <w:rFonts w:cs="Segoe UI"/>
        </w:rPr>
        <w:t xml:space="preserve"> </w:t>
      </w:r>
      <w:r w:rsidRPr="009126CE">
        <w:rPr>
          <w:rFonts w:cs="Segoe UI"/>
        </w:rPr>
        <w:t xml:space="preserve">Český překlad je zveřejněn na webových stránkách </w:t>
      </w:r>
      <w:hyperlink r:id="rId122" w:history="1">
        <w:r w:rsidRPr="0058633B">
          <w:rPr>
            <w:rStyle w:val="Hypertextovodkaz"/>
            <w:rFonts w:cs="Segoe UI"/>
          </w:rPr>
          <w:t>Ministerstva financí</w:t>
        </w:r>
      </w:hyperlink>
      <w:r w:rsidRPr="009126CE">
        <w:rPr>
          <w:rFonts w:cs="Segoe UI"/>
        </w:rPr>
        <w:t>, kde jsou k dispozici překlady jednotlivých činností a také screeningových kritérií.</w:t>
      </w:r>
    </w:p>
    <w:p w14:paraId="62D4AF5C" w14:textId="77777777" w:rsidR="00241D59" w:rsidRPr="00BA38D6" w:rsidRDefault="00241D59" w:rsidP="00241D59">
      <w:pPr>
        <w:rPr>
          <w:rFonts w:cs="Segoe UI"/>
        </w:rPr>
      </w:pPr>
      <w:r w:rsidRPr="00BA38D6">
        <w:rPr>
          <w:rFonts w:cs="Segoe UI"/>
          <w:noProof/>
        </w:rPr>
        <mc:AlternateContent>
          <mc:Choice Requires="wps">
            <w:drawing>
              <wp:anchor distT="0" distB="0" distL="114300" distR="114300" simplePos="0" relativeHeight="251700224" behindDoc="0" locked="0" layoutInCell="1" allowOverlap="1" wp14:anchorId="636A93FF" wp14:editId="0ABC7B3A">
                <wp:simplePos x="0" y="0"/>
                <wp:positionH relativeFrom="margin">
                  <wp:align>right</wp:align>
                </wp:positionH>
                <wp:positionV relativeFrom="paragraph">
                  <wp:posOffset>33392</wp:posOffset>
                </wp:positionV>
                <wp:extent cx="662796" cy="914400"/>
                <wp:effectExtent l="19050" t="19050" r="23495" b="19050"/>
                <wp:wrapNone/>
                <wp:docPr id="938396106" name="Obdélník 1"/>
                <wp:cNvGraphicFramePr/>
                <a:graphic xmlns:a="http://schemas.openxmlformats.org/drawingml/2006/main">
                  <a:graphicData uri="http://schemas.microsoft.com/office/word/2010/wordprocessingShape">
                    <wps:wsp>
                      <wps:cNvSpPr/>
                      <wps:spPr>
                        <a:xfrm>
                          <a:off x="0" y="0"/>
                          <a:ext cx="662796" cy="914400"/>
                        </a:xfrm>
                        <a:prstGeom prst="rect">
                          <a:avLst/>
                        </a:prstGeom>
                        <a:noFill/>
                        <a:ln w="2857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9F1194D" id="Obdélník 1" o:spid="_x0000_s1026" style="position:absolute;margin-left:1pt;margin-top:2.65pt;width:52.2pt;height:1in;z-index:25170022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" filled="f" strokecolor="red" strokeweight="2.25pt">
                <w10:wrap anchorx="margin"/>
              </v:rect>
            </w:pict>
          </mc:Fallback>
        </mc:AlternateContent>
      </w:r>
      <w:r w:rsidRPr="00BA38D6">
        <w:rPr>
          <w:rFonts w:cs="Segoe UI"/>
          <w:noProof/>
        </w:rPr>
        <w:drawing>
          <wp:inline distT="0" distB="0" distL="0" distR="0" wp14:anchorId="7BD00E86" wp14:editId="77CA1C31">
            <wp:extent cx="5760720" cy="404495"/>
            <wp:effectExtent l="0" t="0" r="0" b="0"/>
            <wp:docPr id="130207291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789274" name=""/>
                    <pic:cNvPicPr/>
                  </pic:nvPicPr>
                  <pic:blipFill>
                    <a:blip r:embed="rId63"/>
                    <a:stretch>
                      <a:fillRect/>
                    </a:stretch>
                  </pic:blipFill>
                  <pic:spPr>
                    <a:xfrm>
                      <a:off x="0" y="0"/>
                      <a:ext cx="5760720" cy="404495"/>
                    </a:xfrm>
                    <a:prstGeom prst="rect">
                      <a:avLst/>
                    </a:prstGeom>
                  </pic:spPr>
                </pic:pic>
              </a:graphicData>
            </a:graphic>
          </wp:inline>
        </w:drawing>
      </w:r>
    </w:p>
    <w:p w14:paraId="14583956" w14:textId="77777777" w:rsidR="00241D59" w:rsidRPr="00BA38D6" w:rsidRDefault="00241D59" w:rsidP="00241D59">
      <w:pPr>
        <w:rPr>
          <w:rFonts w:cs="Segoe UI"/>
        </w:rPr>
      </w:pPr>
      <w:r w:rsidRPr="00BA38D6">
        <w:rPr>
          <w:rFonts w:cs="Segoe UI"/>
          <w:noProof/>
        </w:rPr>
        <w:drawing>
          <wp:inline distT="0" distB="0" distL="0" distR="0" wp14:anchorId="1FA88B33" wp14:editId="1FF0DFB2">
            <wp:extent cx="5760720" cy="431800"/>
            <wp:effectExtent l="0" t="0" r="0" b="6350"/>
            <wp:docPr id="104280590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309751" name=""/>
                    <pic:cNvPicPr/>
                  </pic:nvPicPr>
                  <pic:blipFill>
                    <a:blip r:embed="rId123"/>
                    <a:stretch>
                      <a:fillRect/>
                    </a:stretch>
                  </pic:blipFill>
                  <pic:spPr>
                    <a:xfrm>
                      <a:off x="0" y="0"/>
                      <a:ext cx="5760720" cy="431800"/>
                    </a:xfrm>
                    <a:prstGeom prst="rect">
                      <a:avLst/>
                    </a:prstGeom>
                  </pic:spPr>
                </pic:pic>
              </a:graphicData>
            </a:graphic>
          </wp:inline>
        </w:drawing>
      </w:r>
    </w:p>
    <w:p w14:paraId="1C402B37" w14:textId="0DA013AD" w:rsidR="00A32A7E" w:rsidRDefault="00241D59" w:rsidP="00241D59">
      <w:pPr>
        <w:spacing w:after="0"/>
        <w:rPr>
          <w:rFonts w:cs="Segoe UI"/>
        </w:rPr>
      </w:pPr>
      <w:r w:rsidRPr="00BA38D6">
        <w:rPr>
          <w:rFonts w:cs="Segoe UI"/>
        </w:rPr>
        <w:t xml:space="preserve">Tento postup je možný implementovat pouze v případech, kdy byly v rámci delegovaného aktu (EU) 2023/2486 taxonomie </w:t>
      </w:r>
      <w:r>
        <w:rPr>
          <w:rFonts w:cs="Segoe UI"/>
        </w:rPr>
        <w:t xml:space="preserve">stanovena </w:t>
      </w:r>
      <w:r w:rsidRPr="00BA38D6">
        <w:rPr>
          <w:rFonts w:cs="Segoe UI"/>
        </w:rPr>
        <w:t xml:space="preserve">technická screeningová kritéria pro určení toho, za jakých podmínek </w:t>
      </w:r>
      <w:r>
        <w:rPr>
          <w:rFonts w:cs="Segoe UI"/>
        </w:rPr>
        <w:t>je možné určit významný příspěvek</w:t>
      </w:r>
      <w:r w:rsidRPr="00BA38D6">
        <w:rPr>
          <w:rFonts w:cs="Segoe UI"/>
        </w:rPr>
        <w:t xml:space="preserve"> hospodářsk</w:t>
      </w:r>
      <w:r>
        <w:rPr>
          <w:rFonts w:cs="Segoe UI"/>
        </w:rPr>
        <w:t>é</w:t>
      </w:r>
      <w:r w:rsidRPr="00BA38D6">
        <w:rPr>
          <w:rFonts w:cs="Segoe UI"/>
        </w:rPr>
        <w:t xml:space="preserve"> činnos</w:t>
      </w:r>
      <w:r>
        <w:rPr>
          <w:rFonts w:cs="Segoe UI"/>
        </w:rPr>
        <w:t>ti</w:t>
      </w:r>
      <w:r w:rsidRPr="00BA38D6">
        <w:rPr>
          <w:rFonts w:cs="Segoe UI"/>
        </w:rPr>
        <w:t xml:space="preserve"> k</w:t>
      </w:r>
      <w:r>
        <w:rPr>
          <w:rFonts w:cs="Segoe UI"/>
        </w:rPr>
        <w:t> o</w:t>
      </w:r>
      <w:r w:rsidRPr="00676780">
        <w:rPr>
          <w:rFonts w:cs="Segoe UI"/>
        </w:rPr>
        <w:t>chran</w:t>
      </w:r>
      <w:r>
        <w:rPr>
          <w:rFonts w:cs="Segoe UI"/>
        </w:rPr>
        <w:t>ě</w:t>
      </w:r>
      <w:r w:rsidRPr="00676780">
        <w:rPr>
          <w:rFonts w:cs="Segoe UI"/>
        </w:rPr>
        <w:t xml:space="preserve"> a obnov</w:t>
      </w:r>
      <w:r>
        <w:rPr>
          <w:rFonts w:cs="Segoe UI"/>
        </w:rPr>
        <w:t>ě</w:t>
      </w:r>
      <w:r w:rsidRPr="00676780">
        <w:rPr>
          <w:rFonts w:cs="Segoe UI"/>
        </w:rPr>
        <w:t xml:space="preserve"> biologické rozmanitosti a ekosystémů</w:t>
      </w:r>
      <w:r w:rsidRPr="00BA38D6">
        <w:rPr>
          <w:rFonts w:cs="Segoe UI"/>
        </w:rPr>
        <w:t xml:space="preserve">. Pokud pro danou činnost nebyla kritéria pro určení významného příspěvku stanovena, není možné </w:t>
      </w:r>
      <w:r>
        <w:rPr>
          <w:rFonts w:cs="Segoe UI"/>
        </w:rPr>
        <w:t>stanovit kritéria</w:t>
      </w:r>
      <w:r w:rsidRPr="00BA38D6">
        <w:rPr>
          <w:rFonts w:cs="Segoe UI"/>
        </w:rPr>
        <w:t xml:space="preserve"> DNSH tímto způsobem.</w:t>
      </w:r>
    </w:p>
    <w:p w14:paraId="618804D2" w14:textId="77777777" w:rsidR="00241D59" w:rsidRPr="00534D13" w:rsidRDefault="00241D59" w:rsidP="00241D59">
      <w:pPr>
        <w:spacing w:after="0"/>
        <w:rPr>
          <w:rFonts w:cs="Segoe UI"/>
        </w:rPr>
      </w:pPr>
    </w:p>
    <w:p w14:paraId="7A15601D" w14:textId="52A5B645" w:rsidR="00241D59" w:rsidRPr="002D74BE" w:rsidRDefault="00241D59" w:rsidP="00241D59">
      <w:pPr>
        <w:spacing w:after="0"/>
        <w:rPr>
          <w:rFonts w:cs="Segoe UI"/>
        </w:rPr>
      </w:pPr>
      <w:r w:rsidRPr="00A37FFA">
        <w:rPr>
          <w:rFonts w:cs="Segoe UI"/>
        </w:rPr>
        <w:t xml:space="preserve">V případě </w:t>
      </w:r>
      <w:r>
        <w:rPr>
          <w:rFonts w:cs="Segoe UI"/>
        </w:rPr>
        <w:t xml:space="preserve">technických kritérií DNSH je při </w:t>
      </w:r>
      <w:r w:rsidRPr="00A37FFA">
        <w:rPr>
          <w:rFonts w:cs="Segoe UI"/>
        </w:rPr>
        <w:t xml:space="preserve">využití </w:t>
      </w:r>
      <w:hyperlink r:id="rId124" w:history="1">
        <w:r w:rsidRPr="00A37FFA">
          <w:rPr>
            <w:rStyle w:val="Hypertextovodkaz"/>
            <w:rFonts w:cs="Segoe UI"/>
          </w:rPr>
          <w:t xml:space="preserve">EU Taxonomy </w:t>
        </w:r>
        <w:proofErr w:type="spellStart"/>
        <w:r w:rsidRPr="00A37FFA">
          <w:rPr>
            <w:rStyle w:val="Hypertextovodkaz"/>
            <w:rFonts w:cs="Segoe UI"/>
          </w:rPr>
          <w:t>compass</w:t>
        </w:r>
        <w:proofErr w:type="spellEnd"/>
      </w:hyperlink>
      <w:r w:rsidRPr="00A37FFA">
        <w:rPr>
          <w:rFonts w:cs="Segoe UI"/>
        </w:rPr>
        <w:t xml:space="preserve"> možné relevantní podmínky </w:t>
      </w:r>
      <w:r>
        <w:rPr>
          <w:rFonts w:cs="Segoe UI"/>
        </w:rPr>
        <w:t xml:space="preserve">dohledat </w:t>
      </w:r>
      <w:r w:rsidRPr="00A37FFA">
        <w:rPr>
          <w:rFonts w:cs="Segoe UI"/>
        </w:rPr>
        <w:t>následujícím způsobem:</w:t>
      </w:r>
    </w:p>
    <w:p w14:paraId="32F0CF89" w14:textId="77777777" w:rsidR="00A32A7E" w:rsidRPr="00534D13" w:rsidRDefault="00A32A7E" w:rsidP="00A32A7E">
      <w:pPr>
        <w:spacing w:after="0"/>
        <w:rPr>
          <w:rFonts w:cs="Segoe UI"/>
        </w:rPr>
      </w:pPr>
      <w:r>
        <w:rPr>
          <w:noProof/>
        </w:rPr>
        <w:lastRenderedPageBreak/>
        <mc:AlternateContent>
          <mc:Choice Requires="wps">
            <w:drawing>
              <wp:anchor distT="0" distB="0" distL="114300" distR="114300" simplePos="0" relativeHeight="251671552" behindDoc="0" locked="0" layoutInCell="1" allowOverlap="1" wp14:anchorId="20FD3918" wp14:editId="2D84029F">
                <wp:simplePos x="0" y="0"/>
                <wp:positionH relativeFrom="margin">
                  <wp:posOffset>252730</wp:posOffset>
                </wp:positionH>
                <wp:positionV relativeFrom="paragraph">
                  <wp:posOffset>3570443</wp:posOffset>
                </wp:positionV>
                <wp:extent cx="5267325" cy="333375"/>
                <wp:effectExtent l="0" t="0" r="28575" b="28575"/>
                <wp:wrapNone/>
                <wp:docPr id="1764358930" name="Vývojový diagram: postup 2"/>
                <wp:cNvGraphicFramePr/>
                <a:graphic xmlns:a="http://schemas.openxmlformats.org/drawingml/2006/main">
                  <a:graphicData uri="http://schemas.microsoft.com/office/word/2010/wordprocessingShape">
                    <wps:wsp>
                      <wps:cNvSpPr/>
                      <wps:spPr>
                        <a:xfrm>
                          <a:off x="0" y="0"/>
                          <a:ext cx="5267325" cy="333375"/>
                        </a:xfrm>
                        <a:prstGeom prst="flowChartProcess">
                          <a:avLst/>
                        </a:prstGeom>
                        <a:noFill/>
                        <a:ln w="190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5DD057A" id="Vývojový diagram: postup 2" o:spid="_x0000_s1026" type="#_x0000_t109" style="position:absolute;margin-left:19.9pt;margin-top:281.15pt;width:414.75pt;height:26.25pt;z-index:25167155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" filled="f" strokecolor="red" strokeweight="1.5pt">
                <w10:wrap anchorx="margin"/>
              </v:shape>
            </w:pict>
          </mc:Fallback>
        </mc:AlternateContent>
      </w:r>
      <w:r>
        <w:rPr>
          <w:noProof/>
        </w:rPr>
        <w:drawing>
          <wp:inline distT="0" distB="0" distL="0" distR="0" wp14:anchorId="3C654A61" wp14:editId="14E3430F">
            <wp:extent cx="5760720" cy="5876925"/>
            <wp:effectExtent l="0" t="0" r="0" b="9525"/>
            <wp:docPr id="1420660780" name="Obrázek 1" descr="Obsah obrázku text, snímek obrazovky, číslo, Písmo&#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799538" name="Obrázek 1" descr="Obsah obrázku text, snímek obrazovky, číslo, Písmo&#10;&#10;Obsah vygenerovaný umělou inteligencí může být nesprávný."/>
                    <pic:cNvPicPr/>
                  </pic:nvPicPr>
                  <pic:blipFill>
                    <a:blip r:embed="rId96"/>
                    <a:stretch>
                      <a:fillRect/>
                    </a:stretch>
                  </pic:blipFill>
                  <pic:spPr>
                    <a:xfrm>
                      <a:off x="0" y="0"/>
                      <a:ext cx="5760720" cy="5876925"/>
                    </a:xfrm>
                    <a:prstGeom prst="rect">
                      <a:avLst/>
                    </a:prstGeom>
                  </pic:spPr>
                </pic:pic>
              </a:graphicData>
            </a:graphic>
          </wp:inline>
        </w:drawing>
      </w:r>
    </w:p>
    <w:p w14:paraId="69675CA2" w14:textId="77777777" w:rsidR="005F2CF8" w:rsidRDefault="005F2CF8" w:rsidP="00BE2483"/>
    <w:p w14:paraId="0D7B764A" w14:textId="77777777" w:rsidR="00602DCA" w:rsidRDefault="00602DCA">
      <w:pPr>
        <w:spacing w:line="240" w:lineRule="auto"/>
        <w:rPr>
          <w:i/>
          <w:iCs/>
        </w:rPr>
      </w:pPr>
    </w:p>
    <w:p w14:paraId="5475A270" w14:textId="77777777" w:rsidR="00602DCA" w:rsidRDefault="00602DCA">
      <w:pPr>
        <w:spacing w:line="240" w:lineRule="auto"/>
        <w:sectPr w:rsidR="00602DCA">
          <w:pgSz w:w="11906" w:h="16838"/>
          <w:pgMar w:top="1417" w:right="1417" w:bottom="709" w:left="1417" w:header="708" w:footer="708" w:gutter="0"/>
          <w:cols w:space="708"/>
        </w:sectPr>
      </w:pPr>
    </w:p>
    <w:p w14:paraId="3FE58D50" w14:textId="77777777" w:rsidR="00602DCA" w:rsidRDefault="00C5530C">
      <w:pPr>
        <w:pStyle w:val="Nadpis1"/>
      </w:pPr>
      <w:bookmarkStart w:id="140" w:name="_Toc116428060"/>
      <w:bookmarkStart w:id="141" w:name="_Toc210046038"/>
      <w:r>
        <w:lastRenderedPageBreak/>
        <w:t>Přílohy</w:t>
      </w:r>
      <w:bookmarkEnd w:id="140"/>
      <w:bookmarkEnd w:id="141"/>
    </w:p>
    <w:p w14:paraId="4ED85837" w14:textId="1A1B3CEC" w:rsidR="00F14CD5" w:rsidRDefault="00F14CD5" w:rsidP="00F14CD5">
      <w:r>
        <w:t>Seznam příloh:</w:t>
      </w:r>
    </w:p>
    <w:p w14:paraId="310A438F" w14:textId="6FEC4AF2" w:rsidR="00695EB7" w:rsidRDefault="00F14162" w:rsidP="00F14CD5">
      <w:r>
        <w:t>5.1 Připravované nástroje k využití při posuzování DNSH</w:t>
      </w:r>
    </w:p>
    <w:p w14:paraId="5657ED00" w14:textId="5F7D5D8F" w:rsidR="00F14CD5" w:rsidRDefault="00695EB7" w:rsidP="00F14CD5">
      <w:r>
        <w:t>5.</w:t>
      </w:r>
      <w:r w:rsidR="009830DC">
        <w:t>2</w:t>
      </w:r>
      <w:r>
        <w:t xml:space="preserve"> </w:t>
      </w:r>
      <w:r w:rsidR="00921AEE">
        <w:t>Budovy</w:t>
      </w:r>
    </w:p>
    <w:p w14:paraId="293BCB35" w14:textId="677B1D00" w:rsidR="00F14CD5" w:rsidRDefault="00F14CD5" w:rsidP="00F14CD5">
      <w:r>
        <w:t>5.</w:t>
      </w:r>
      <w:r w:rsidR="009830DC">
        <w:t>3</w:t>
      </w:r>
      <w:r>
        <w:t xml:space="preserve"> Připravenost ke znovuvyužití nebo recyklaci</w:t>
      </w:r>
      <w:r w:rsidRPr="00F14CD5">
        <w:t xml:space="preserve"> 70 % stavebních odpadů a stavebního materiálu</w:t>
      </w:r>
      <w:r w:rsidR="00C57F43">
        <w:t xml:space="preserve"> (postup pro implementaci podmínky)</w:t>
      </w:r>
    </w:p>
    <w:p w14:paraId="6835EBF4" w14:textId="791471F9" w:rsidR="00F14CD5" w:rsidRDefault="00F14CD5" w:rsidP="00F14CD5">
      <w:r>
        <w:t>5.</w:t>
      </w:r>
      <w:r w:rsidR="009830DC">
        <w:t>4</w:t>
      </w:r>
      <w:r>
        <w:t xml:space="preserve"> </w:t>
      </w:r>
      <w:r w:rsidRPr="00F14CD5">
        <w:t>Pořizování automobilů (a ostatní dopravní prostředky)</w:t>
      </w:r>
      <w:r w:rsidR="00C57F43">
        <w:t xml:space="preserve"> (podmínky DNSH) </w:t>
      </w:r>
    </w:p>
    <w:p w14:paraId="14C706FA" w14:textId="206549A8" w:rsidR="00F14CD5" w:rsidRDefault="00F14CD5" w:rsidP="00F14CD5">
      <w:r>
        <w:t>5.</w:t>
      </w:r>
      <w:r w:rsidR="009830DC">
        <w:t>5</w:t>
      </w:r>
      <w:r>
        <w:t xml:space="preserve"> </w:t>
      </w:r>
      <w:r w:rsidR="00695EB7" w:rsidRPr="00F14CD5">
        <w:t>Přiřazení relevance koeficientů pro výpočet podpory na plnění cílů v oblasti změny klimatu a koeficientů pro výpočet podpory na plnění environmentálních cílů rozpočtu EU k příslušným environmentálním cílům využívaným při vyhodnocování zásady DNSH na strategické úrovni administrace EU zdro</w:t>
      </w:r>
      <w:r w:rsidR="00695EB7">
        <w:t>jů.</w:t>
      </w:r>
    </w:p>
    <w:p w14:paraId="553F7B34" w14:textId="68C77098" w:rsidR="00695EB7" w:rsidRDefault="00F14CD5" w:rsidP="00F14162">
      <w:r>
        <w:t>5.</w:t>
      </w:r>
      <w:r w:rsidR="009830DC">
        <w:t>6</w:t>
      </w:r>
      <w:r>
        <w:t xml:space="preserve"> </w:t>
      </w:r>
      <w:r w:rsidR="00695EB7" w:rsidRPr="000F5C0D">
        <w:t>Přehled environmentálních podmínek ukotvených v rámci pravidel veřejné podpory</w:t>
      </w:r>
      <w:r w:rsidR="00695EB7" w:rsidRPr="00F14CD5" w:rsidDel="00695EB7">
        <w:t xml:space="preserve"> </w:t>
      </w:r>
    </w:p>
    <w:p w14:paraId="688A652F" w14:textId="76FBEB44" w:rsidR="009E22EA" w:rsidRDefault="009E22EA" w:rsidP="00F14162">
      <w:r>
        <w:t>5.7 Přehled výjimek obsažených v dokumentu Rámcových vodítek</w:t>
      </w:r>
    </w:p>
    <w:p w14:paraId="53A23D10" w14:textId="49B85A8F" w:rsidR="009E22EA" w:rsidRDefault="009E22EA" w:rsidP="00F14162">
      <w:r>
        <w:t xml:space="preserve">5.8 Přehled postupů pro vyhodnocení souladu se zásadou DNSH a provedení postupů </w:t>
      </w:r>
      <w:proofErr w:type="spellStart"/>
      <w:r>
        <w:t>climate</w:t>
      </w:r>
      <w:proofErr w:type="spellEnd"/>
      <w:r>
        <w:t xml:space="preserve"> </w:t>
      </w:r>
      <w:proofErr w:type="spellStart"/>
      <w:r>
        <w:t>proofing</w:t>
      </w:r>
      <w:proofErr w:type="spellEnd"/>
    </w:p>
    <w:p w14:paraId="123CCEE7" w14:textId="77777777" w:rsidR="00695EB7" w:rsidRDefault="00695EB7">
      <w:pPr>
        <w:spacing w:after="160" w:line="259" w:lineRule="auto"/>
        <w:jc w:val="left"/>
      </w:pPr>
      <w:r>
        <w:br w:type="page"/>
      </w:r>
    </w:p>
    <w:p w14:paraId="07DFDA3E" w14:textId="2BCF8239" w:rsidR="00275D08" w:rsidRDefault="00275D08" w:rsidP="00F14162"/>
    <w:p w14:paraId="23039F4D" w14:textId="206688D7" w:rsidR="00F14162" w:rsidRDefault="00F14162">
      <w:pPr>
        <w:pStyle w:val="Nadpis2"/>
      </w:pPr>
      <w:bookmarkStart w:id="142" w:name="_Toc116428061"/>
      <w:bookmarkStart w:id="143" w:name="_Toc210046039"/>
      <w:r>
        <w:t>Připravované nástroje k využití při posuzování DNSH</w:t>
      </w:r>
      <w:bookmarkEnd w:id="143"/>
    </w:p>
    <w:p w14:paraId="28A53444" w14:textId="77777777" w:rsidR="00F14162" w:rsidRPr="001A199F" w:rsidRDefault="00F14162" w:rsidP="00F14162">
      <w:pPr>
        <w:spacing w:after="160" w:line="259" w:lineRule="auto"/>
        <w:jc w:val="left"/>
        <w:rPr>
          <w:b/>
          <w:bCs/>
        </w:rPr>
      </w:pPr>
      <w:r w:rsidRPr="001A199F">
        <w:rPr>
          <w:b/>
          <w:bCs/>
        </w:rPr>
        <w:t>1.</w:t>
      </w:r>
      <w:r w:rsidRPr="001A199F">
        <w:rPr>
          <w:b/>
          <w:bCs/>
        </w:rPr>
        <w:tab/>
        <w:t>Databáze energetické náročnosti (DEN)</w:t>
      </w:r>
    </w:p>
    <w:p w14:paraId="64D2DCC8" w14:textId="46376AC2" w:rsidR="00F14162" w:rsidRDefault="00F14162" w:rsidP="001A199F">
      <w:pPr>
        <w:spacing w:after="160" w:line="259" w:lineRule="auto"/>
      </w:pPr>
      <w:r>
        <w:t xml:space="preserve">DEN by měl sloužit veřejnosti při zajištění přístupu k dokumentům zpracovaným pro danou budovu energetickými specialisty, kontrolory a jinými experty. Předpokladem je, že bude využito propojení na registr obyvatel, resp. e-identitu eGovernmentu sloužící k ověření totožnosti vlastníka budovy před samotným zpřístupněním dat a dokumentů. Současně se předpokládá napojení na další státní informační systém a registry za účelem publikace údajů o energetické náročnosti budov například v katastru nemovitostí. Předpokládá se také propojení na systémy třetích stran, např. bankovního sektoru za účelem zjednodušení administrace poskytování finančních produktů a služeb a plnění povinností vyplývajících z ESG reportingu, a to za předpokladu dodržení podmínek ochrany osobních údajů. </w:t>
      </w:r>
    </w:p>
    <w:p w14:paraId="086CDAD2" w14:textId="77777777" w:rsidR="00F14162" w:rsidRDefault="00F14162" w:rsidP="001A199F">
      <w:pPr>
        <w:spacing w:after="160" w:line="259" w:lineRule="auto"/>
      </w:pPr>
      <w:r>
        <w:t xml:space="preserve">V rámci modulu monitoringu spotřeby energie je cílem vytvořit robustní platformu pro veřejné a státní instituce, která by sloužila pro pravidelné sledování spotřeby energie a poskytnutí přehledu fondu budov ve vlastnictví těchto institucí za účelem zlepšení hospodaření s energií veřejného sektoru. </w:t>
      </w:r>
      <w:r w:rsidR="00BA6579" w:rsidRPr="00BA6579">
        <w:t>Jedná se o nahrazení Systému monitoringu energie a zlepšení využitelnosti dat.</w:t>
      </w:r>
    </w:p>
    <w:p w14:paraId="53136EEC" w14:textId="3E24E5B6" w:rsidR="00F14162" w:rsidRDefault="00BA6579" w:rsidP="001A199F">
      <w:pPr>
        <w:spacing w:after="160" w:line="259" w:lineRule="auto"/>
      </w:pPr>
      <w:r w:rsidRPr="00BA6579">
        <w:t>Databáze vzniká i pro splnění povinností vyplývajících ze směrnice o energetické náročnosti budov.</w:t>
      </w:r>
      <w:r>
        <w:t xml:space="preserve"> </w:t>
      </w:r>
      <w:r w:rsidR="00F14162">
        <w:t>Dále by měl DEN sloužit k monitoringu úsporných opatření implementovaných za účelem plnění závazku dle čl. 8 Směrnice Evropského parlamentu a Rady 2023/1791 o energetické účinnost</w:t>
      </w:r>
      <w:r w:rsidR="00BE2684">
        <w:t>i</w:t>
      </w:r>
      <w:r w:rsidR="00F14162">
        <w:t xml:space="preserve">. </w:t>
      </w:r>
    </w:p>
    <w:p w14:paraId="7E5248E7" w14:textId="570771C3" w:rsidR="00F14162" w:rsidRDefault="00F14162" w:rsidP="00F14162">
      <w:pPr>
        <w:spacing w:after="160" w:line="259" w:lineRule="auto"/>
      </w:pPr>
      <w:r>
        <w:t xml:space="preserve">V neposlední řadě má DEN </w:t>
      </w:r>
      <w:r w:rsidR="00BA6579">
        <w:t>nahradit</w:t>
      </w:r>
      <w:r>
        <w:t xml:space="preserve"> stávající evidenci o činnostech energetických specialistů ENEX a komplexně vyřešit agendu energetických specialistů podle zákona č. 406/2000 Sb., o hospodaření energií ve znění pozdějších předpisů, od podávání žádostí o udělení oprávnění, odborných zkoušek, vydávání rozhodnutí podle správního řádu, průběžného vzdělávání až po kontroly aj.</w:t>
      </w:r>
    </w:p>
    <w:p w14:paraId="1871C788" w14:textId="77777777" w:rsidR="00F14162" w:rsidRPr="001A199F" w:rsidRDefault="00F14162" w:rsidP="00F14162">
      <w:pPr>
        <w:spacing w:after="160" w:line="259" w:lineRule="auto"/>
        <w:rPr>
          <w:b/>
          <w:bCs/>
        </w:rPr>
      </w:pPr>
      <w:r w:rsidRPr="001A199F">
        <w:rPr>
          <w:b/>
          <w:bCs/>
        </w:rPr>
        <w:t>2.</w:t>
      </w:r>
      <w:r w:rsidRPr="001A199F">
        <w:rPr>
          <w:b/>
          <w:bCs/>
        </w:rPr>
        <w:tab/>
        <w:t>Metodika a nástroj pro zjednodušené posouzení energetické náročnosti obytných budov – Renovační pas budovy</w:t>
      </w:r>
    </w:p>
    <w:p w14:paraId="3EDA7C61" w14:textId="69148203" w:rsidR="00F14162" w:rsidRDefault="00F14162" w:rsidP="00F14162">
      <w:pPr>
        <w:spacing w:after="160" w:line="259" w:lineRule="auto"/>
      </w:pPr>
      <w:r>
        <w:t xml:space="preserve">Cílem je vytvoření metodiky pro zjednodušené posouzení energetické náročnosti obytných budov včetně její implementace do elektronického kalkulačního nástroje, jehož výstupem bude dokument „Renovační pas budovy“. </w:t>
      </w:r>
      <w:r w:rsidR="00BA6579" w:rsidRPr="00BA6579">
        <w:t>Renovační pas poskytne základní informace o budově a její spotřebě, navrhovaných opatřeních a jejich efektech, vhodném postupu realizace opatření, možnostech financování apod, jelikož se jedná o je individualizovaný plán rozsáhlé renovace konkrétní budovy.</w:t>
      </w:r>
      <w:r w:rsidR="00BA6579">
        <w:t xml:space="preserve"> </w:t>
      </w:r>
      <w:r>
        <w:t>Renovační pas bude mj. sloužit jako zadání pro projektové fáze.</w:t>
      </w:r>
      <w:r w:rsidR="00FB2A0F">
        <w:t xml:space="preserve"> </w:t>
      </w:r>
      <w:r>
        <w:t>Předpokladem je, že výstupy ve formě renovačního pasu budou nahrávány do DEN.</w:t>
      </w:r>
    </w:p>
    <w:p w14:paraId="01ACE931" w14:textId="77777777" w:rsidR="00F14162" w:rsidRPr="001A199F" w:rsidRDefault="00F14162" w:rsidP="00F14162">
      <w:pPr>
        <w:spacing w:after="160" w:line="259" w:lineRule="auto"/>
        <w:rPr>
          <w:b/>
          <w:bCs/>
        </w:rPr>
      </w:pPr>
      <w:r w:rsidRPr="001A199F">
        <w:rPr>
          <w:b/>
          <w:bCs/>
        </w:rPr>
        <w:t>3.</w:t>
      </w:r>
      <w:r w:rsidRPr="001A199F">
        <w:rPr>
          <w:b/>
          <w:bCs/>
        </w:rPr>
        <w:tab/>
        <w:t>Lokální generická databáze stavebních materiálů a nástroj pro hodnocení Potenciálu globálního oteplování (GWP)</w:t>
      </w:r>
    </w:p>
    <w:p w14:paraId="4466A6D7" w14:textId="77777777" w:rsidR="00465AA1" w:rsidRDefault="00F14162" w:rsidP="00F14162">
      <w:pPr>
        <w:spacing w:after="160" w:line="259" w:lineRule="auto"/>
      </w:pPr>
      <w:r>
        <w:t xml:space="preserve">Cílem je vývoj generické databáze s indikátory z posuzování životního cyklu – LCA, </w:t>
      </w:r>
      <w:proofErr w:type="spellStart"/>
      <w:r>
        <w:t>Life</w:t>
      </w:r>
      <w:proofErr w:type="spellEnd"/>
      <w:r>
        <w:t xml:space="preserve"> </w:t>
      </w:r>
      <w:proofErr w:type="spellStart"/>
      <w:r>
        <w:t>Cycle</w:t>
      </w:r>
      <w:proofErr w:type="spellEnd"/>
      <w:r>
        <w:t xml:space="preserve"> </w:t>
      </w:r>
      <w:proofErr w:type="spellStart"/>
      <w:r>
        <w:t>Assessment</w:t>
      </w:r>
      <w:proofErr w:type="spellEnd"/>
      <w:r>
        <w:t xml:space="preserve"> lokalizované pro český trh v oblasti stavebnictví (dále jen „LCA databáze“) a </w:t>
      </w:r>
      <w:r>
        <w:lastRenderedPageBreak/>
        <w:t>vyhotovení související metodiky pro vyhodnocování a kategorizaci stavebních konstrukcí a budov jako celku na základě jejich environmentálních dopadů, včetně souhrnného katalogu LCA dopadů vybraných stavebních konstrukcí. Databáze a metodika budou verifikovány a validovány pomocí případových studií LCA dopadů stavebních konstrukcí a budov. Zároveň výstupem bude i související webově dostupný kalkulační nástroj pro zjednodušené LCA budov a jeho následná implementace do webového rozhraní. Výstupy budou využity v rámci motivační podpory dotačních programů pro bonifikaci environmentálně šetrné řešení projektu. V delším časovém horizontu budou využity při implementaci povinností vyplývajících ze směrnic (EED a EPBD) na národní úroveň. Předpokládáme, že výstupy ve vazbě na PENB budou nahrávány do DEN.</w:t>
      </w:r>
    </w:p>
    <w:p w14:paraId="0F3083FF" w14:textId="44AAE964" w:rsidR="00465AA1" w:rsidRPr="001A199F" w:rsidRDefault="00465AA1" w:rsidP="00A32A7E">
      <w:pPr>
        <w:pStyle w:val="Odstavecseseznamem"/>
        <w:numPr>
          <w:ilvl w:val="0"/>
          <w:numId w:val="47"/>
        </w:numPr>
        <w:spacing w:after="160" w:line="259" w:lineRule="auto"/>
        <w:rPr>
          <w:b/>
          <w:bCs/>
        </w:rPr>
      </w:pPr>
      <w:r w:rsidRPr="001A199F">
        <w:rPr>
          <w:b/>
          <w:bCs/>
        </w:rPr>
        <w:t xml:space="preserve">Aplikace pro </w:t>
      </w:r>
      <w:r w:rsidR="00ED3625">
        <w:rPr>
          <w:b/>
          <w:bCs/>
        </w:rPr>
        <w:t>prověřování infrastruktury z hlediska klimatického dopadu (</w:t>
      </w:r>
      <w:r w:rsidR="00ED3625" w:rsidRPr="001A199F">
        <w:rPr>
          <w:b/>
          <w:bCs/>
        </w:rPr>
        <w:t xml:space="preserve">klimatické prověřování </w:t>
      </w:r>
      <w:r w:rsidR="0020102A" w:rsidRPr="001A199F">
        <w:rPr>
          <w:b/>
          <w:bCs/>
        </w:rPr>
        <w:t>investic</w:t>
      </w:r>
      <w:r w:rsidR="0020102A">
        <w:rPr>
          <w:b/>
          <w:bCs/>
        </w:rPr>
        <w:t xml:space="preserve"> – </w:t>
      </w:r>
      <w:proofErr w:type="spellStart"/>
      <w:r w:rsidR="0020102A">
        <w:rPr>
          <w:b/>
          <w:bCs/>
        </w:rPr>
        <w:t>climate</w:t>
      </w:r>
      <w:proofErr w:type="spellEnd"/>
      <w:r w:rsidR="00ED3625">
        <w:rPr>
          <w:b/>
          <w:bCs/>
        </w:rPr>
        <w:t xml:space="preserve"> </w:t>
      </w:r>
      <w:proofErr w:type="spellStart"/>
      <w:r w:rsidR="00ED3625">
        <w:rPr>
          <w:b/>
          <w:bCs/>
        </w:rPr>
        <w:t>proofing</w:t>
      </w:r>
      <w:proofErr w:type="spellEnd"/>
      <w:r w:rsidR="00ED3625">
        <w:rPr>
          <w:b/>
          <w:bCs/>
        </w:rPr>
        <w:t>)</w:t>
      </w:r>
    </w:p>
    <w:p w14:paraId="6BD3B9B4" w14:textId="77777777" w:rsidR="00077CB7" w:rsidRDefault="00ED3625" w:rsidP="00ED3625">
      <w:pPr>
        <w:spacing w:after="160" w:line="259" w:lineRule="auto"/>
      </w:pPr>
      <w:r w:rsidRPr="00ED3625">
        <w:t>Prověřování infrastruktury z hlediska klimatického dopadu (</w:t>
      </w:r>
      <w:proofErr w:type="spellStart"/>
      <w:r w:rsidRPr="00ED3625">
        <w:t>climate</w:t>
      </w:r>
      <w:proofErr w:type="spellEnd"/>
      <w:r w:rsidRPr="00ED3625">
        <w:t xml:space="preserve"> </w:t>
      </w:r>
      <w:proofErr w:type="spellStart"/>
      <w:r w:rsidRPr="00ED3625">
        <w:t>proofing</w:t>
      </w:r>
      <w:proofErr w:type="spellEnd"/>
      <w:r w:rsidRPr="00ED3625">
        <w:t>) je metodickým postupem pro přípravu projektů v souladu s politikami EU a ČR v oblasti ochrany klimatu (</w:t>
      </w:r>
      <w:proofErr w:type="spellStart"/>
      <w:r w:rsidRPr="00ED3625">
        <w:t>mitigace</w:t>
      </w:r>
      <w:proofErr w:type="spellEnd"/>
      <w:r w:rsidRPr="00ED3625">
        <w:t xml:space="preserve"> – dekarbonizace) a v oblasti přizpůsobování se dopadům změny klimatu (hodnocení klimatických rizik a adaptace na rizika). </w:t>
      </w:r>
    </w:p>
    <w:p w14:paraId="6C696CA5" w14:textId="66E84B96" w:rsidR="006E5162" w:rsidRDefault="00F1086E" w:rsidP="00ED3625">
      <w:pPr>
        <w:spacing w:after="160" w:line="259" w:lineRule="auto"/>
      </w:pPr>
      <w:r>
        <w:t xml:space="preserve">Cílem </w:t>
      </w:r>
      <w:r w:rsidR="00077CB7">
        <w:t xml:space="preserve">aplikace </w:t>
      </w:r>
      <w:r>
        <w:t xml:space="preserve">je vytvořit </w:t>
      </w:r>
      <w:r w:rsidRPr="00F1086E">
        <w:t xml:space="preserve">veřejně dostupný webový portál, který poskytne komplexní datové a metodické prostředí pro </w:t>
      </w:r>
      <w:r w:rsidR="005A6BE3" w:rsidRPr="00C54861">
        <w:t>fáz</w:t>
      </w:r>
      <w:r w:rsidR="00ED3625">
        <w:t>e</w:t>
      </w:r>
      <w:r w:rsidR="005A6BE3" w:rsidRPr="00C54861">
        <w:t xml:space="preserve"> 1 i 2 posouzení infrastrukturního projektu dle technických pokynů Evropské komise.</w:t>
      </w:r>
      <w:r w:rsidR="005A6BE3">
        <w:t xml:space="preserve"> </w:t>
      </w:r>
      <w:r w:rsidR="005A6BE3" w:rsidRPr="00C54861">
        <w:t>Pro fázi 1 klimatického prověřování, kdy se zkoumá potřebnost individuálního posouzení projektu, budou k dispozici kategorizace typů infrastruktur, resp.</w:t>
      </w:r>
      <w:r w:rsidR="005A6BE3">
        <w:t> </w:t>
      </w:r>
      <w:r w:rsidR="005A6BE3" w:rsidRPr="00C54861">
        <w:t xml:space="preserve">projektů a jejich parametrů, na jejichž základě bude možné zjistit, zda je potřeba projekt posoudit podrobněji v rámci fáze 2. V rámci fáze 2 bude pro posouzení z hlediska </w:t>
      </w:r>
      <w:proofErr w:type="spellStart"/>
      <w:r w:rsidR="005A6BE3" w:rsidRPr="00C54861">
        <w:t>mitigace</w:t>
      </w:r>
      <w:proofErr w:type="spellEnd"/>
      <w:r w:rsidR="005A6BE3" w:rsidRPr="00C54861">
        <w:t xml:space="preserve"> k</w:t>
      </w:r>
      <w:r w:rsidR="005A6BE3">
        <w:t> </w:t>
      </w:r>
      <w:r w:rsidR="005A6BE3" w:rsidRPr="00C54861">
        <w:t>dispozici kalkulačka pro výpočet uhlíkové stopy</w:t>
      </w:r>
      <w:r w:rsidR="00077CB7">
        <w:t>, emisní fakto</w:t>
      </w:r>
      <w:r w:rsidR="00EE2166">
        <w:t>r</w:t>
      </w:r>
      <w:r w:rsidR="00077CB7">
        <w:t>y</w:t>
      </w:r>
      <w:r w:rsidR="005A6BE3" w:rsidRPr="00C54861">
        <w:t xml:space="preserve"> a další na navázané hodnotící nástroje</w:t>
      </w:r>
      <w:r w:rsidR="005A6BE3">
        <w:t xml:space="preserve"> (metodika analýzy přínosů a nákladů se zohledněním ceny uhlíku, metodika posouzení souladu s cílem klimatické neutrality)</w:t>
      </w:r>
      <w:r w:rsidR="005A6BE3" w:rsidRPr="00C54861">
        <w:t xml:space="preserve">. Z hlediska adaptace </w:t>
      </w:r>
      <w:r w:rsidR="00077CB7">
        <w:t xml:space="preserve">budou v konsolidované podobě zveřejněna jak současná environmentální rizika, tak projekce rizik ve vazbě na změnu klimatu a </w:t>
      </w:r>
      <w:r w:rsidR="005A6BE3" w:rsidRPr="00C54861">
        <w:t>bude k dispozici nástroj p</w:t>
      </w:r>
      <w:r w:rsidR="005A6BE3">
        <w:t>r</w:t>
      </w:r>
      <w:r w:rsidR="005A6BE3" w:rsidRPr="00C54861">
        <w:t xml:space="preserve">o </w:t>
      </w:r>
      <w:r w:rsidR="005A6BE3">
        <w:t xml:space="preserve">podrobné </w:t>
      </w:r>
      <w:r w:rsidR="005A6BE3" w:rsidRPr="00C54861">
        <w:t xml:space="preserve">hodnocení </w:t>
      </w:r>
      <w:r w:rsidR="00077CB7">
        <w:t xml:space="preserve">projektů z </w:t>
      </w:r>
      <w:r w:rsidR="005A6BE3" w:rsidRPr="00C54861">
        <w:t>klimatických rizik včetně návrhu adekvátních adaptačních opatření pro typ</w:t>
      </w:r>
      <w:r w:rsidR="005A6BE3">
        <w:t>izované</w:t>
      </w:r>
      <w:r w:rsidR="005A6BE3" w:rsidRPr="00C54861">
        <w:t xml:space="preserve"> projekt</w:t>
      </w:r>
      <w:r w:rsidR="005A6BE3">
        <w:t>y</w:t>
      </w:r>
      <w:r w:rsidR="005A6BE3" w:rsidRPr="00C54861">
        <w:t>.</w:t>
      </w:r>
    </w:p>
    <w:p w14:paraId="54C396F3" w14:textId="3CE58170" w:rsidR="00ED3625" w:rsidRDefault="00077CB7" w:rsidP="00ED3625">
      <w:pPr>
        <w:spacing w:after="160" w:line="259" w:lineRule="auto"/>
      </w:pPr>
      <w:r>
        <w:t xml:space="preserve">Využití aplikace se předpokládá dále pro: </w:t>
      </w:r>
    </w:p>
    <w:p w14:paraId="1A32592E" w14:textId="3D7DAE4A" w:rsidR="00077CB7" w:rsidRPr="00077CB7" w:rsidRDefault="00077CB7" w:rsidP="00A32A7E">
      <w:pPr>
        <w:numPr>
          <w:ilvl w:val="0"/>
          <w:numId w:val="62"/>
        </w:numPr>
        <w:spacing w:after="160" w:line="259" w:lineRule="auto"/>
      </w:pPr>
      <w:r>
        <w:t>Podklady</w:t>
      </w:r>
      <w:r w:rsidR="00D11ED2">
        <w:t xml:space="preserve"> a metodiky </w:t>
      </w:r>
      <w:r>
        <w:t>pro výpočet uhlíkové stopy</w:t>
      </w:r>
      <w:r w:rsidR="00D11ED2">
        <w:t>, zejm. regionální emisní faktory</w:t>
      </w:r>
    </w:p>
    <w:p w14:paraId="4D388BF3" w14:textId="77777777" w:rsidR="00077CB7" w:rsidRPr="009126CE" w:rsidRDefault="00077CB7" w:rsidP="00A32A7E">
      <w:pPr>
        <w:numPr>
          <w:ilvl w:val="0"/>
          <w:numId w:val="62"/>
        </w:numPr>
        <w:spacing w:after="160" w:line="259" w:lineRule="auto"/>
        <w:rPr>
          <w:rStyle w:val="Hypertextovodkaz"/>
        </w:rPr>
      </w:pPr>
      <w:r w:rsidRPr="0032550C">
        <w:t>D</w:t>
      </w:r>
      <w:r w:rsidRPr="00077CB7">
        <w:t>atové podklady a projekce rizik pro zpracování Akčního plánu pro udržitelnou energii a klima (</w:t>
      </w:r>
      <w:proofErr w:type="spellStart"/>
      <w:r w:rsidRPr="00077CB7">
        <w:t>Sustainable</w:t>
      </w:r>
      <w:proofErr w:type="spellEnd"/>
      <w:r w:rsidRPr="00077CB7">
        <w:t xml:space="preserve"> </w:t>
      </w:r>
      <w:proofErr w:type="spellStart"/>
      <w:r w:rsidRPr="00077CB7">
        <w:t>Energy</w:t>
      </w:r>
      <w:proofErr w:type="spellEnd"/>
      <w:r w:rsidRPr="00077CB7">
        <w:t xml:space="preserve"> and </w:t>
      </w:r>
      <w:proofErr w:type="spellStart"/>
      <w:r w:rsidRPr="00077CB7">
        <w:t>Climate</w:t>
      </w:r>
      <w:proofErr w:type="spellEnd"/>
      <w:r w:rsidRPr="00077CB7">
        <w:t xml:space="preserve"> </w:t>
      </w:r>
      <w:proofErr w:type="spellStart"/>
      <w:r w:rsidRPr="00077CB7">
        <w:t>Action</w:t>
      </w:r>
      <w:proofErr w:type="spellEnd"/>
      <w:r w:rsidRPr="00077CB7">
        <w:t xml:space="preserve"> </w:t>
      </w:r>
      <w:proofErr w:type="spellStart"/>
      <w:r w:rsidRPr="00077CB7">
        <w:t>Plan</w:t>
      </w:r>
      <w:proofErr w:type="spellEnd"/>
      <w:r w:rsidRPr="00077CB7">
        <w:t xml:space="preserve"> (SECAP)) viz </w:t>
      </w:r>
      <w:r w:rsidR="009126CE">
        <w:fldChar w:fldCharType="begin"/>
      </w:r>
      <w:r w:rsidR="009126CE">
        <w:instrText>HYPERLINK "https://mzp.gov.cz/cz/agenda/klima-a-energetika/udrzitelna-energetika-a-doprava/energeticka-efektivita-a-uspory-energie-1"</w:instrText>
      </w:r>
      <w:r w:rsidR="009126CE">
        <w:fldChar w:fldCharType="separate"/>
      </w:r>
      <w:r w:rsidRPr="009126CE">
        <w:rPr>
          <w:rStyle w:val="Hypertextovodkaz"/>
        </w:rPr>
        <w:t xml:space="preserve">Pakt starostů a primátorů </w:t>
      </w:r>
    </w:p>
    <w:p w14:paraId="015D7551" w14:textId="1204BB9F" w:rsidR="00077CB7" w:rsidRPr="00077CB7" w:rsidRDefault="009126CE" w:rsidP="00A32A7E">
      <w:pPr>
        <w:numPr>
          <w:ilvl w:val="0"/>
          <w:numId w:val="62"/>
        </w:numPr>
        <w:spacing w:after="160" w:line="259" w:lineRule="auto"/>
      </w:pPr>
      <w:r>
        <w:fldChar w:fldCharType="end"/>
      </w:r>
      <w:r w:rsidR="00077CB7" w:rsidRPr="00077CB7">
        <w:t xml:space="preserve">Datové podklady a projekce rizik pro zpracování místních a krajských adaptační strategií, na úrovni ČR byla zpracována </w:t>
      </w:r>
      <w:hyperlink r:id="rId125" w:history="1">
        <w:r w:rsidR="00077CB7" w:rsidRPr="00077CB7">
          <w:rPr>
            <w:rStyle w:val="Hypertextovodkaz"/>
          </w:rPr>
          <w:t>Strategie přizpůsobení se změně klimatu v podmínkách ČR</w:t>
        </w:r>
      </w:hyperlink>
      <w:r w:rsidR="00077CB7" w:rsidRPr="00077CB7">
        <w:t xml:space="preserve"> a </w:t>
      </w:r>
      <w:hyperlink r:id="rId126" w:history="1">
        <w:r w:rsidR="00077CB7" w:rsidRPr="00077CB7">
          <w:rPr>
            <w:rStyle w:val="Hypertextovodkaz"/>
          </w:rPr>
          <w:t>přehled od Fakta o klimatu</w:t>
        </w:r>
      </w:hyperlink>
    </w:p>
    <w:p w14:paraId="796A4EC2" w14:textId="77777777" w:rsidR="00077CB7" w:rsidRPr="00077CB7" w:rsidRDefault="00077CB7" w:rsidP="00A32A7E">
      <w:pPr>
        <w:numPr>
          <w:ilvl w:val="0"/>
          <w:numId w:val="62"/>
        </w:numPr>
        <w:spacing w:after="160" w:line="259" w:lineRule="auto"/>
      </w:pPr>
      <w:r w:rsidRPr="00077CB7">
        <w:t xml:space="preserve">V části přizpůsobování se dopadům změny klimatu (adaptace) posuzování dle </w:t>
      </w:r>
      <w:hyperlink r:id="rId127" w:history="1">
        <w:r w:rsidRPr="00077CB7">
          <w:rPr>
            <w:rStyle w:val="Hypertextovodkaz"/>
          </w:rPr>
          <w:t>technických screeningových kritérií taxonomie</w:t>
        </w:r>
      </w:hyperlink>
      <w:r w:rsidRPr="00077CB7">
        <w:t xml:space="preserve"> a související </w:t>
      </w:r>
      <w:hyperlink r:id="rId128" w:history="1">
        <w:r w:rsidRPr="00077CB7">
          <w:rPr>
            <w:rStyle w:val="Hypertextovodkaz"/>
          </w:rPr>
          <w:t>reporting společností o míře souladu s taxonomií</w:t>
        </w:r>
      </w:hyperlink>
      <w:r w:rsidRPr="00077CB7">
        <w:t xml:space="preserve"> a viz </w:t>
      </w:r>
      <w:hyperlink r:id="rId129" w:history="1">
        <w:r w:rsidRPr="00077CB7">
          <w:rPr>
            <w:rStyle w:val="Hypertextovodkaz"/>
          </w:rPr>
          <w:t xml:space="preserve">EU Taxonomy </w:t>
        </w:r>
        <w:proofErr w:type="spellStart"/>
        <w:r w:rsidRPr="00077CB7">
          <w:rPr>
            <w:rStyle w:val="Hypertextovodkaz"/>
          </w:rPr>
          <w:t>Navigator</w:t>
        </w:r>
        <w:proofErr w:type="spellEnd"/>
        <w:r w:rsidRPr="00077CB7">
          <w:rPr>
            <w:rStyle w:val="Hypertextovodkaz"/>
          </w:rPr>
          <w:t xml:space="preserve"> </w:t>
        </w:r>
      </w:hyperlink>
    </w:p>
    <w:p w14:paraId="7E5C5A5E" w14:textId="77777777" w:rsidR="00077CB7" w:rsidRPr="00077CB7" w:rsidRDefault="00077CB7" w:rsidP="00A32A7E">
      <w:pPr>
        <w:numPr>
          <w:ilvl w:val="0"/>
          <w:numId w:val="62"/>
        </w:numPr>
        <w:spacing w:after="160" w:line="259" w:lineRule="auto"/>
      </w:pPr>
      <w:r w:rsidRPr="00077CB7">
        <w:lastRenderedPageBreak/>
        <w:t xml:space="preserve">Podklady pro zpracování ESG reportingu – standard </w:t>
      </w:r>
      <w:hyperlink r:id="rId130" w:history="1">
        <w:r w:rsidRPr="00077CB7">
          <w:rPr>
            <w:rStyle w:val="Hypertextovodkaz"/>
          </w:rPr>
          <w:t>ESRS E1 změna klimatu</w:t>
        </w:r>
      </w:hyperlink>
      <w:r w:rsidRPr="00077CB7">
        <w:t xml:space="preserve"> dle </w:t>
      </w:r>
      <w:hyperlink r:id="rId131" w:history="1">
        <w:r w:rsidRPr="00077CB7">
          <w:rPr>
            <w:rStyle w:val="Hypertextovodkaz"/>
          </w:rPr>
          <w:t xml:space="preserve">směrnice </w:t>
        </w:r>
        <w:proofErr w:type="gramStart"/>
        <w:r w:rsidRPr="00077CB7">
          <w:rPr>
            <w:rStyle w:val="Hypertextovodkaz"/>
          </w:rPr>
          <w:t>CSRD - o</w:t>
        </w:r>
        <w:proofErr w:type="gramEnd"/>
        <w:r w:rsidRPr="00077CB7">
          <w:rPr>
            <w:rStyle w:val="Hypertextovodkaz"/>
          </w:rPr>
          <w:t xml:space="preserve"> podávání zpráv podniků o udržitelnosti</w:t>
        </w:r>
      </w:hyperlink>
      <w:r w:rsidRPr="00077CB7">
        <w:t xml:space="preserve"> </w:t>
      </w:r>
    </w:p>
    <w:p w14:paraId="2DC616B5" w14:textId="06DFDCA8" w:rsidR="006E5162" w:rsidRDefault="00A14856" w:rsidP="005A6BE3">
      <w:pPr>
        <w:sectPr w:rsidR="006E5162" w:rsidSect="001A199F">
          <w:pgSz w:w="11906" w:h="16838"/>
          <w:pgMar w:top="1418" w:right="1418" w:bottom="1418" w:left="1418" w:header="709" w:footer="709" w:gutter="0"/>
          <w:cols w:space="708"/>
        </w:sectPr>
      </w:pPr>
      <w:r>
        <w:t>N</w:t>
      </w:r>
      <w:r w:rsidR="006E5162">
        <w:t xml:space="preserve">a webu </w:t>
      </w:r>
      <w:hyperlink r:id="rId132" w:history="1">
        <w:r w:rsidR="006E5162" w:rsidRPr="00B0714D">
          <w:rPr>
            <w:rStyle w:val="Hypertextovodkaz"/>
          </w:rPr>
          <w:t>www.climateproofing.cz</w:t>
        </w:r>
      </w:hyperlink>
      <w:r w:rsidR="006E5162">
        <w:t xml:space="preserve"> </w:t>
      </w:r>
      <w:r>
        <w:t xml:space="preserve">jsou </w:t>
      </w:r>
      <w:r w:rsidR="00077CB7">
        <w:t xml:space="preserve">již nyní </w:t>
      </w:r>
      <w:r w:rsidR="006E5162">
        <w:t>k dispozici informace o projektu a přehled možných relevantních zdrojů dat s výstupy klimatických modelů a doporučením, jaké charakteristiky pro jednotlivé rizika použít.</w:t>
      </w:r>
    </w:p>
    <w:p w14:paraId="2AC12DF7" w14:textId="3891C396" w:rsidR="006A30D5" w:rsidRDefault="006A30D5" w:rsidP="006A30D5">
      <w:pPr>
        <w:pStyle w:val="Nadpis2"/>
      </w:pPr>
      <w:bookmarkStart w:id="144" w:name="_Definice_infrastruktury_pro"/>
      <w:bookmarkStart w:id="145" w:name="_Výstavba_nových_budov"/>
      <w:bookmarkStart w:id="146" w:name="_Budovy"/>
      <w:bookmarkStart w:id="147" w:name="_Toc210046040"/>
      <w:bookmarkEnd w:id="144"/>
      <w:bookmarkEnd w:id="145"/>
      <w:bookmarkEnd w:id="146"/>
      <w:r w:rsidRPr="00C34182">
        <w:lastRenderedPageBreak/>
        <w:t>Bu</w:t>
      </w:r>
      <w:r w:rsidRPr="006A30D5">
        <w:t>dovy</w:t>
      </w:r>
      <w:bookmarkEnd w:id="147"/>
    </w:p>
    <w:p w14:paraId="4CA7488E" w14:textId="3866538D" w:rsidR="006A30D5" w:rsidRDefault="006A30D5" w:rsidP="006A30D5">
      <w:pPr>
        <w:pStyle w:val="Nadpis3"/>
      </w:pPr>
      <w:r>
        <w:t>Obecné podmínky pro všechny budovy</w:t>
      </w:r>
    </w:p>
    <w:p w14:paraId="13435A4E" w14:textId="6BC86A15" w:rsidR="006A30D5" w:rsidRPr="006A30D5" w:rsidRDefault="00F010A1" w:rsidP="006A30D5">
      <w:r w:rsidRPr="006A30D5">
        <w:t>Analogicky – kde</w:t>
      </w:r>
      <w:r w:rsidR="006A30D5" w:rsidRPr="006A30D5">
        <w:t xml:space="preserve"> je to vhodné / uvedené, by měly být v pravidlech pro žadatele zohledněny následující podmínky:</w:t>
      </w:r>
    </w:p>
    <w:p w14:paraId="19EC2E17" w14:textId="77777777" w:rsidR="006A30D5" w:rsidRPr="006A30D5" w:rsidRDefault="006A30D5" w:rsidP="006A30D5">
      <w:pPr>
        <w:numPr>
          <w:ilvl w:val="0"/>
          <w:numId w:val="108"/>
        </w:numPr>
      </w:pPr>
      <w:r w:rsidRPr="006A30D5">
        <w:t>Stavebník je povinen zajistit odborný technický dozor</w:t>
      </w:r>
      <w:r w:rsidRPr="006A30D5">
        <w:rPr>
          <w:vertAlign w:val="superscript"/>
        </w:rPr>
        <w:footnoteReference w:id="93"/>
      </w:r>
      <w:r w:rsidRPr="006A30D5">
        <w:t xml:space="preserve"> nad prováděním stavby. </w:t>
      </w:r>
    </w:p>
    <w:p w14:paraId="2FD9AA5C" w14:textId="77777777" w:rsidR="006A30D5" w:rsidRPr="006A30D5" w:rsidRDefault="006A30D5" w:rsidP="006A30D5">
      <w:pPr>
        <w:numPr>
          <w:ilvl w:val="0"/>
          <w:numId w:val="108"/>
        </w:numPr>
      </w:pPr>
      <w:r w:rsidRPr="006A30D5">
        <w:t>Splnění požadavku na maximální průvzdušnost obálky budovy n</w:t>
      </w:r>
      <w:r w:rsidRPr="006A30D5">
        <w:rPr>
          <w:vertAlign w:val="subscript"/>
        </w:rPr>
        <w:t>50</w:t>
      </w:r>
      <w:r w:rsidRPr="006A30D5">
        <w:t xml:space="preserve"> musí být doloženo protokolem o měření průvzdušnosti obálky budovy zpracovaným v souladu s metodickým pokynem k upřesnění pravidel pro měření průvzdušnosti obálky budovy. </w:t>
      </w:r>
    </w:p>
    <w:p w14:paraId="4C696111" w14:textId="77777777" w:rsidR="006A30D5" w:rsidRPr="006A30D5" w:rsidRDefault="006A30D5" w:rsidP="006A30D5">
      <w:pPr>
        <w:numPr>
          <w:ilvl w:val="0"/>
          <w:numId w:val="108"/>
        </w:numPr>
      </w:pPr>
      <w:r w:rsidRPr="006A30D5">
        <w:t xml:space="preserve">Spalovací zdroje, z nichž jsou spaliny vypouštěny do vnitřního prostředí domu, případně spalovací zdroje, které nemají zajištěn nezávislý přívod spalovacího vzduchu, se nepovažují za zdroj tepla na vytápění. </w:t>
      </w:r>
    </w:p>
    <w:p w14:paraId="01BD9442" w14:textId="77777777" w:rsidR="006A30D5" w:rsidRPr="006A30D5" w:rsidRDefault="006A30D5" w:rsidP="006A30D5">
      <w:pPr>
        <w:numPr>
          <w:ilvl w:val="0"/>
          <w:numId w:val="108"/>
        </w:numPr>
      </w:pPr>
      <w:r w:rsidRPr="006A30D5">
        <w:t xml:space="preserve">V případě, že je součástí projektu stavby garáž, musí být v projektové dokumentaci a energetickém hodnocení navržena jako nevytápěný prostor. </w:t>
      </w:r>
    </w:p>
    <w:p w14:paraId="60ED5B9A" w14:textId="77777777" w:rsidR="006A30D5" w:rsidRPr="006A30D5" w:rsidRDefault="006A30D5" w:rsidP="006A30D5">
      <w:pPr>
        <w:numPr>
          <w:ilvl w:val="0"/>
          <w:numId w:val="108"/>
        </w:numPr>
      </w:pPr>
      <w:r w:rsidRPr="006A30D5">
        <w:t xml:space="preserve">Větrací systém musí zajišťovat větrání venkovním vzduchem všech obytných místností a dalších místností s předpokládaným dlouhodobým pobytem osob v obytné zóně domu. </w:t>
      </w:r>
    </w:p>
    <w:p w14:paraId="0CE0028F" w14:textId="77777777" w:rsidR="006A30D5" w:rsidRPr="006A30D5" w:rsidRDefault="006A30D5" w:rsidP="006A30D5">
      <w:pPr>
        <w:numPr>
          <w:ilvl w:val="0"/>
          <w:numId w:val="108"/>
        </w:numPr>
      </w:pPr>
      <w:r w:rsidRPr="006A30D5">
        <w:t xml:space="preserve">Podmínky musí být splněny nejpozději v okamžiku zápisu nabyvatele do katastru nemovitostí. </w:t>
      </w:r>
    </w:p>
    <w:p w14:paraId="161A4F93" w14:textId="77777777" w:rsidR="006A30D5" w:rsidRPr="006A30D5" w:rsidRDefault="006A30D5" w:rsidP="006A30D5">
      <w:pPr>
        <w:numPr>
          <w:ilvl w:val="0"/>
          <w:numId w:val="108"/>
        </w:numPr>
      </w:pPr>
      <w:r w:rsidRPr="006A30D5">
        <w:t>Maximální velikost novostavby rodinného domu, na kterou lze čerpat podporu, je omezena na 350 m</w:t>
      </w:r>
      <w:r w:rsidRPr="006A30D5">
        <w:rPr>
          <w:vertAlign w:val="superscript"/>
        </w:rPr>
        <w:t>2</w:t>
      </w:r>
      <w:r w:rsidRPr="006A30D5">
        <w:t xml:space="preserve"> celkové energeticky vztažné plochy. </w:t>
      </w:r>
    </w:p>
    <w:p w14:paraId="0A6B8376" w14:textId="77777777" w:rsidR="006A30D5" w:rsidRPr="006A30D5" w:rsidRDefault="006A30D5" w:rsidP="006A30D5">
      <w:pPr>
        <w:numPr>
          <w:ilvl w:val="0"/>
          <w:numId w:val="108"/>
        </w:numPr>
      </w:pPr>
      <w:r w:rsidRPr="006A30D5">
        <w:t xml:space="preserve">Novostavby využívající pro vytápění nebo ohřev vody zdroj určený ke spalování fosilních paliv (včetně zemního plynu, LPG, olejů, uhlí, uhelných briket, koksu apod.) nejsou podporovány. Omezení se nevztahuje na připojení ke stávajícím soustavám zásobování teplem vyžívající uvedená paliva. </w:t>
      </w:r>
    </w:p>
    <w:p w14:paraId="599EFD2A" w14:textId="77777777" w:rsidR="006A30D5" w:rsidRPr="006A30D5" w:rsidRDefault="006A30D5" w:rsidP="006A30D5">
      <w:pPr>
        <w:numPr>
          <w:ilvl w:val="0"/>
          <w:numId w:val="108"/>
        </w:numPr>
      </w:pPr>
      <w:r w:rsidRPr="006A30D5">
        <w:t xml:space="preserve">Montáž výplní otvorů bude provedena v souladu s ČSN 74 6077 Okna a vnější dveře – Požadavky na zabudování. </w:t>
      </w:r>
    </w:p>
    <w:p w14:paraId="4363100C" w14:textId="77777777" w:rsidR="006A30D5" w:rsidRPr="006A30D5" w:rsidRDefault="006A30D5" w:rsidP="006A30D5">
      <w:pPr>
        <w:numPr>
          <w:ilvl w:val="0"/>
          <w:numId w:val="108"/>
        </w:numPr>
      </w:pPr>
      <w:r w:rsidRPr="006A30D5">
        <w:t>Barva nové fasády domu bude zvolena ze stanovených barevných odstínů vzorníku NCS, který je k dispozici ke stažení na webových stránkách programu nebo podobných odstínů ze vzorníků výrobců fasádních omítkových a nátěrových hmot, přičemž takový podobný odstín musí splňovat maximální možnou odchylku ΔE 5 od některého z odstínů výše uvedeného vzorníku NCS.</w:t>
      </w:r>
      <w:r w:rsidRPr="006A30D5">
        <w:rPr>
          <w:vertAlign w:val="superscript"/>
        </w:rPr>
        <w:footnoteReference w:id="94"/>
      </w:r>
      <w:r w:rsidRPr="006A30D5">
        <w:t xml:space="preserve"> Uvedené neplatí, pokud je barevné řešení </w:t>
      </w:r>
      <w:r w:rsidRPr="006A30D5">
        <w:lastRenderedPageBreak/>
        <w:t>navrženo autorizovaným architektem (autorizovaným dle zákona č. 360/1992 Sb., o výkonu povolání autorizovaných architektů a o výkonu povolání autorizovaných inženýrů a techniků činných ve výstavbě, ve znění pozdějších předpisů) nebo vyplývá ze závazného stanoviska orgánu památkové péče nebo úřadu městského architekta (nebo obdobného, obcí zřízeného útvaru) nebo z regulačního plánu, který je součástí územně plánovací dokumentace obce nebo odpovídá původnímu barevnému řešení.</w:t>
      </w:r>
    </w:p>
    <w:p w14:paraId="4A6B6364" w14:textId="77777777" w:rsidR="006A30D5" w:rsidRPr="006A30D5" w:rsidRDefault="006A30D5" w:rsidP="006A30D5">
      <w:pPr>
        <w:numPr>
          <w:ilvl w:val="0"/>
          <w:numId w:val="108"/>
        </w:numPr>
      </w:pPr>
      <w:r w:rsidRPr="006A30D5">
        <w:t>Nebudou podporována opatření realizována na budovách určených k těžbě, skladování, přepravě nebo výrobě fosilních paliv.</w:t>
      </w:r>
    </w:p>
    <w:p w14:paraId="14D0D4AA" w14:textId="77777777" w:rsidR="006A30D5" w:rsidRPr="006A30D5" w:rsidRDefault="006A30D5" w:rsidP="006A30D5">
      <w:pPr>
        <w:numPr>
          <w:ilvl w:val="0"/>
          <w:numId w:val="108"/>
        </w:numPr>
      </w:pPr>
      <w:r w:rsidRPr="006A30D5">
        <w:t>Pokud je jedním z opatření projektu zlepšení tepelně technických vlastností obvodových konstrukcí budovy sloužící pro výchovu a vzdělávání dětí a mladistvých, musí být v rámci projektu navržen systém větrání v souladu s vyhláškou č. 160/202024 Sb., o hygienických požadavcích na prostory a provoz zařízení a provozoven pro výchovu a vzdělávání dětí a mladistvých a dětských skupin, ve znění pozdějších předpisů a v souladu s „</w:t>
      </w:r>
      <w:hyperlink r:id="rId133" w:history="1">
        <w:r w:rsidRPr="006A30D5">
          <w:rPr>
            <w:rStyle w:val="Hypertextovodkaz"/>
          </w:rPr>
          <w:t>Metodickým pokynem pro návrh větrání škol</w:t>
        </w:r>
      </w:hyperlink>
      <w:r w:rsidRPr="006A30D5">
        <w:t xml:space="preserve">“. </w:t>
      </w:r>
    </w:p>
    <w:p w14:paraId="2A7B2F5D" w14:textId="7FD745B2" w:rsidR="006A30D5" w:rsidRPr="00EA4CB0" w:rsidRDefault="006A30D5" w:rsidP="006A30D5">
      <w:pPr>
        <w:rPr>
          <w:b/>
          <w:bCs/>
        </w:rPr>
      </w:pPr>
      <w:r w:rsidRPr="00EA4CB0">
        <w:rPr>
          <w:b/>
          <w:bCs/>
        </w:rPr>
        <w:t>Podmínky ke zvážení (pro plný soulad s taxonomií EU pro udržitelné investice):</w:t>
      </w:r>
    </w:p>
    <w:p w14:paraId="52D4BFB3" w14:textId="029A8FC9" w:rsidR="006A30D5" w:rsidRPr="006A30D5" w:rsidRDefault="006A30D5" w:rsidP="006A30D5">
      <w:pPr>
        <w:numPr>
          <w:ilvl w:val="0"/>
          <w:numId w:val="109"/>
        </w:numPr>
      </w:pPr>
      <w:r w:rsidRPr="006A30D5">
        <w:t>U budov nad 5 000 m</w:t>
      </w:r>
      <w:r w:rsidRPr="006A30D5">
        <w:rPr>
          <w:vertAlign w:val="superscript"/>
        </w:rPr>
        <w:t>2</w:t>
      </w:r>
      <w:r w:rsidRPr="006A30D5">
        <w:t xml:space="preserve"> prochází po dokončení budova, která je výsledkem výstavby, zkouškou vzduchotěsnosti a tepelné integrity, přičemž veškeré odchylky od úrovní náročnosti stanovených ve fázi návrhu nebo vady pláště budovy. Alternativní postup: pokud jsou během stavebního procesu zavedeny robustní a sledovatelné postupy řízení kvality, jedná se o přijatelnou alternativu ke zkouškám tepelné integrity.</w:t>
      </w:r>
      <w:r w:rsidRPr="006A30D5">
        <w:rPr>
          <w:vertAlign w:val="superscript"/>
        </w:rPr>
        <w:footnoteReference w:id="95"/>
      </w:r>
    </w:p>
    <w:p w14:paraId="46CB29B7" w14:textId="7E8AB1B6" w:rsidR="006A30D5" w:rsidRDefault="006A30D5" w:rsidP="006A30D5">
      <w:pPr>
        <w:numPr>
          <w:ilvl w:val="0"/>
          <w:numId w:val="109"/>
        </w:numPr>
      </w:pPr>
      <w:r w:rsidRPr="006A30D5">
        <w:t>U budov nad 5 000 m</w:t>
      </w:r>
      <w:r w:rsidRPr="006A30D5">
        <w:rPr>
          <w:vertAlign w:val="superscript"/>
        </w:rPr>
        <w:t>2</w:t>
      </w:r>
      <w:r w:rsidRPr="006A30D5">
        <w:t xml:space="preserve"> je vypočten potenciál globálního oteplování během životního cyklu budovy, která je výsledkem výstavby, pro každou fázi životního cyklu.</w:t>
      </w:r>
      <w:r w:rsidRPr="006A30D5">
        <w:rPr>
          <w:vertAlign w:val="superscript"/>
        </w:rPr>
        <w:footnoteReference w:id="96"/>
      </w:r>
      <w:r w:rsidR="007C13CF">
        <w:t xml:space="preserve"> </w:t>
      </w:r>
      <w:r w:rsidR="007C13CF" w:rsidRPr="007C13CF">
        <w:t>V případě dalších budov bude výpočet globálního oteplovacího potenciálu požadován rovněž tehdy, pokud to bude povinností dle platnou národní legislativy transponující předpisy Evropské unie, zejména směrnici o energetické náročnosti budov.</w:t>
      </w:r>
    </w:p>
    <w:p w14:paraId="32D15FA6" w14:textId="678BC213" w:rsidR="00EC3CF4" w:rsidRDefault="00EC3CF4" w:rsidP="00EC3CF4">
      <w:pPr>
        <w:numPr>
          <w:ilvl w:val="0"/>
          <w:numId w:val="109"/>
        </w:numPr>
      </w:pPr>
      <w:r>
        <w:t>Nová budova není postavena na orné půdě a zemědělské půdě se střední až vysokou úrovní úrodnosti a podzemní biologické rozmanitosti podle průzkumu EU LUCAS.</w:t>
      </w:r>
    </w:p>
    <w:p w14:paraId="2FDB92FE" w14:textId="77777777" w:rsidR="00226FBA" w:rsidRPr="006A30D5" w:rsidRDefault="00226FBA" w:rsidP="00D77C59"/>
    <w:p w14:paraId="42536139" w14:textId="783B398A" w:rsidR="006A30D5" w:rsidRDefault="007E7F38" w:rsidP="00EA4CB0">
      <w:pPr>
        <w:pStyle w:val="Nadpis4"/>
      </w:pPr>
      <w:bookmarkStart w:id="148" w:name="_Výjimky_z_DNSH:"/>
      <w:bookmarkEnd w:id="148"/>
      <w:r>
        <w:t>Stanovení podmínek</w:t>
      </w:r>
      <w:r w:rsidR="006A30D5">
        <w:t> DNSH</w:t>
      </w:r>
      <w:r>
        <w:t xml:space="preserve"> pro</w:t>
      </w:r>
      <w:r w:rsidR="006A30D5">
        <w:t xml:space="preserve"> </w:t>
      </w:r>
      <w:r>
        <w:t>h</w:t>
      </w:r>
      <w:r w:rsidR="006A30D5" w:rsidRPr="00351228">
        <w:t>istoricky či architektonicky cenné budovy</w:t>
      </w:r>
    </w:p>
    <w:p w14:paraId="13C5AA3E" w14:textId="26FDEF3D" w:rsidR="006A30D5" w:rsidRDefault="006A30D5" w:rsidP="00EA4CB0">
      <w:pPr>
        <w:numPr>
          <w:ilvl w:val="0"/>
          <w:numId w:val="108"/>
        </w:numPr>
      </w:pPr>
      <w:r w:rsidRPr="00EA4CB0">
        <w:t xml:space="preserve">Je-li zvažována renovace architektonicky cenné budovy, včetně snížení její energetické náročnosti, měla by být zvolena taková opatření, která respektují její historickou hodnotu. V kontextu zachování historicky cenných hodnot proto často není možné přistoupit k realizaci všech zamýšlených </w:t>
      </w:r>
      <w:proofErr w:type="spellStart"/>
      <w:r w:rsidRPr="00EA4CB0">
        <w:t>mitigačních</w:t>
      </w:r>
      <w:proofErr w:type="spellEnd"/>
      <w:r w:rsidRPr="00EA4CB0">
        <w:t xml:space="preserve"> a adaptačních opatření. Problematické bývá například zateplení fasády z vnější strany, limitována může být i výměna oken nebo umístění fotovoltaiky. Historicky či architektonicky cenné budovy proto představují výjimku při uplatňování zásady významně nepoškozovat </w:t>
      </w:r>
      <w:r>
        <w:t xml:space="preserve">tam, </w:t>
      </w:r>
      <w:r w:rsidR="005B1A11">
        <w:t xml:space="preserve">kde </w:t>
      </w:r>
      <w:r>
        <w:t>by se postupy dostaly do rozporu s právním režimem ochrany těchto budov</w:t>
      </w:r>
      <w:r w:rsidRPr="00EA4CB0">
        <w:t xml:space="preserve">. Stále však </w:t>
      </w:r>
      <w:r>
        <w:t xml:space="preserve">je </w:t>
      </w:r>
      <w:r w:rsidRPr="00EA4CB0">
        <w:t xml:space="preserve">možné i u architektonicky cenné historické budovy zlepšit standard její energetické náročnosti. </w:t>
      </w:r>
      <w:r w:rsidRPr="00EA4CB0">
        <w:rPr>
          <w:b/>
          <w:bCs/>
        </w:rPr>
        <w:t xml:space="preserve">V případě takových projektů by se mělo postupovat dle metodiky </w:t>
      </w:r>
      <w:hyperlink r:id="rId134" w:history="1">
        <w:r w:rsidRPr="00BF16A0">
          <w:rPr>
            <w:rStyle w:val="Hypertextovodkaz"/>
            <w:b/>
            <w:bCs/>
          </w:rPr>
          <w:t>Energeticky úsporné renovace architektonicky a historicky cenných budov</w:t>
        </w:r>
      </w:hyperlink>
      <w:r w:rsidRPr="00EA4CB0">
        <w:rPr>
          <w:b/>
          <w:bCs/>
        </w:rPr>
        <w:t>, kterou připrav</w:t>
      </w:r>
      <w:r w:rsidR="00BF16A0">
        <w:rPr>
          <w:b/>
          <w:bCs/>
        </w:rPr>
        <w:t>ilo</w:t>
      </w:r>
      <w:r w:rsidRPr="00EA4CB0">
        <w:rPr>
          <w:b/>
          <w:bCs/>
        </w:rPr>
        <w:t xml:space="preserve"> Ministerstvo životního prostředí</w:t>
      </w:r>
      <w:r w:rsidR="00BF16A0">
        <w:rPr>
          <w:b/>
          <w:bCs/>
        </w:rPr>
        <w:t xml:space="preserve"> </w:t>
      </w:r>
      <w:r w:rsidR="00BF16A0" w:rsidRPr="00BF16A0">
        <w:rPr>
          <w:b/>
          <w:bCs/>
        </w:rPr>
        <w:t>ve spolupráci s Centrem pasivního domu a dalšími odborníky</w:t>
      </w:r>
      <w:r w:rsidRPr="00EA4CB0">
        <w:rPr>
          <w:b/>
          <w:bCs/>
        </w:rPr>
        <w:t>.</w:t>
      </w:r>
      <w:r w:rsidRPr="00EA4CB0">
        <w:t xml:space="preserve"> </w:t>
      </w:r>
    </w:p>
    <w:p w14:paraId="1F56EC15" w14:textId="555AA3BC" w:rsidR="00BF16A0" w:rsidRPr="00EA4CB0" w:rsidRDefault="00BF16A0" w:rsidP="00EA4CB0">
      <w:pPr>
        <w:numPr>
          <w:ilvl w:val="0"/>
          <w:numId w:val="108"/>
        </w:numPr>
      </w:pPr>
      <w:r w:rsidRPr="00BF16A0">
        <w:t>Publikace nabízí konkrétní doporučení, jak postupovat při návrhu úsporných opatření na jednotlivých částech stavby – od střechy přes fasádu a okna až po technické systémy. Důraz je kladen na respekt k hodnotám památkové ochrany, stavebně-fyzikální souvislosti, kvalitu vnitřního prostředí i na zachování původního architektonického výrazu budovy. Součástí příručky je rovněž přehled legislativních požadavků souvisejících se snižováním energetické spotřeby a ochranou nemovitých kulturních památek. Zároveň se věnuje zpracování komplexního energetického konceptu, který je základem pro úspěšnou renovaci. Nechybí ani konkrétní příklady dobré praxe, kdy se podařilo propojit citlivou obnovu architektonické kvality s výrazným snížením energetické náročnosti.</w:t>
      </w:r>
    </w:p>
    <w:p w14:paraId="5BECDD3B" w14:textId="23F8F21E" w:rsidR="006A30D5" w:rsidRPr="006A30D5" w:rsidRDefault="006A30D5" w:rsidP="00EA4CB0">
      <w:pPr>
        <w:numPr>
          <w:ilvl w:val="0"/>
          <w:numId w:val="108"/>
        </w:numPr>
      </w:pPr>
      <w:r>
        <w:t>Ž</w:t>
      </w:r>
      <w:r w:rsidRPr="006A30D5">
        <w:t xml:space="preserve">adatel doloží stanovisko orgánu památkové péče, ze kterého vyplývají taková omezení, která nedovolují provést </w:t>
      </w:r>
      <w:r>
        <w:t>opatření stanovení environmentálními podmínkami ve výzvě.</w:t>
      </w:r>
    </w:p>
    <w:p w14:paraId="0450E869" w14:textId="1D1D7AAA" w:rsidR="002F4C62" w:rsidRDefault="002F4C62" w:rsidP="002F4C62">
      <w:pPr>
        <w:pStyle w:val="Nadpis4"/>
      </w:pPr>
      <w:r>
        <w:t>Zdroje energie</w:t>
      </w:r>
    </w:p>
    <w:p w14:paraId="2EF0BBD1" w14:textId="5346EE32" w:rsidR="002F4C62" w:rsidRPr="00815863" w:rsidRDefault="002F4C62" w:rsidP="002F4C62">
      <w:r w:rsidRPr="00815863">
        <w:t xml:space="preserve">V případě, kdy se jedná o větší změnu dokončené budovy dle § 2 odst. 1 písm. s) z. 406/2000 o hospodaření s energií: tzn. změna dokončené budovy na více než 25 % celkové plochy obálky budovy, </w:t>
      </w:r>
      <w:r w:rsidRPr="006C1B48">
        <w:rPr>
          <w:b/>
          <w:bCs/>
        </w:rPr>
        <w:t>musí dojít k výměně nevyhovujícího zdroje energie</w:t>
      </w:r>
      <w:r>
        <w:t>, pokud se jedná o:</w:t>
      </w:r>
    </w:p>
    <w:p w14:paraId="226D4598" w14:textId="591DF619" w:rsidR="002F4C62" w:rsidRDefault="002F4C62" w:rsidP="002F4C62">
      <w:pPr>
        <w:pStyle w:val="Odstavecseseznamem"/>
        <w:numPr>
          <w:ilvl w:val="0"/>
          <w:numId w:val="112"/>
        </w:numPr>
        <w:spacing w:after="160" w:line="259" w:lineRule="auto"/>
        <w:contextualSpacing/>
      </w:pPr>
      <w:r w:rsidRPr="000E2C55">
        <w:t>lokální topidl</w:t>
      </w:r>
      <w:r w:rsidR="00FD27A0">
        <w:t>o</w:t>
      </w:r>
      <w:r w:rsidRPr="000E2C55">
        <w:t xml:space="preserve"> </w:t>
      </w:r>
      <w:r w:rsidR="00FD27A0">
        <w:t xml:space="preserve">nebo kotel </w:t>
      </w:r>
      <w:r w:rsidRPr="000E2C55">
        <w:t xml:space="preserve">na pevná </w:t>
      </w:r>
      <w:r>
        <w:t xml:space="preserve">fosilní </w:t>
      </w:r>
      <w:r w:rsidRPr="000E2C55">
        <w:t>paliva</w:t>
      </w:r>
    </w:p>
    <w:p w14:paraId="10229194" w14:textId="77777777" w:rsidR="00FD27A0" w:rsidRDefault="00FD27A0" w:rsidP="00FD27A0">
      <w:pPr>
        <w:pStyle w:val="Odstavecseseznamem"/>
        <w:numPr>
          <w:ilvl w:val="0"/>
          <w:numId w:val="112"/>
        </w:numPr>
        <w:spacing w:after="160" w:line="259" w:lineRule="auto"/>
        <w:contextualSpacing/>
      </w:pPr>
      <w:r w:rsidRPr="000E2C55">
        <w:t>kot</w:t>
      </w:r>
      <w:r>
        <w:t>el</w:t>
      </w:r>
      <w:r w:rsidRPr="000E2C55">
        <w:t xml:space="preserve"> na kapalná fosilní paliva </w:t>
      </w:r>
    </w:p>
    <w:p w14:paraId="31BAEE07" w14:textId="45AA2F19" w:rsidR="00FD27A0" w:rsidRDefault="00FD27A0" w:rsidP="00FD27A0">
      <w:pPr>
        <w:pStyle w:val="Odstavecseseznamem"/>
        <w:numPr>
          <w:ilvl w:val="0"/>
          <w:numId w:val="112"/>
        </w:numPr>
        <w:spacing w:after="160" w:line="259" w:lineRule="auto"/>
        <w:contextualSpacing/>
      </w:pPr>
      <w:r>
        <w:t xml:space="preserve">ostatní typy </w:t>
      </w:r>
      <w:r w:rsidRPr="000E2C55">
        <w:t>kotl</w:t>
      </w:r>
      <w:r>
        <w:t>ů</w:t>
      </w:r>
      <w:r w:rsidRPr="000E2C55">
        <w:t xml:space="preserve"> na pevná paliva nesplňující alespoň 4. třídu dle ČSN EN 303-5</w:t>
      </w:r>
    </w:p>
    <w:p w14:paraId="5513950F" w14:textId="77777777" w:rsidR="002F4C62" w:rsidRDefault="002F4C62" w:rsidP="002F4C62">
      <w:pPr>
        <w:pStyle w:val="Odstavecseseznamem"/>
        <w:numPr>
          <w:ilvl w:val="0"/>
          <w:numId w:val="112"/>
        </w:numPr>
        <w:spacing w:after="160" w:line="259" w:lineRule="auto"/>
        <w:contextualSpacing/>
      </w:pPr>
      <w:r w:rsidRPr="000E2C55">
        <w:t xml:space="preserve">spalovací zdroj na zemní plyn bez kondenzační technologie </w:t>
      </w:r>
    </w:p>
    <w:p w14:paraId="76DB1AAD" w14:textId="06EC4467" w:rsidR="00BC6D0E" w:rsidRDefault="002F4C62" w:rsidP="00707E38">
      <w:pPr>
        <w:pStyle w:val="Odstavecseseznamem"/>
        <w:keepNext/>
        <w:numPr>
          <w:ilvl w:val="0"/>
          <w:numId w:val="112"/>
        </w:numPr>
        <w:spacing w:after="160" w:line="259" w:lineRule="auto"/>
        <w:contextualSpacing/>
      </w:pPr>
      <w:r w:rsidRPr="000E2C55">
        <w:lastRenderedPageBreak/>
        <w:t>přím</w:t>
      </w:r>
      <w:r>
        <w:t>é</w:t>
      </w:r>
      <w:r w:rsidRPr="000E2C55">
        <w:t xml:space="preserve"> vytápění elektrickou energií (přímotop, elektrokotle)</w:t>
      </w:r>
      <w:r>
        <w:t xml:space="preserve"> s</w:t>
      </w:r>
      <w:r w:rsidR="00707E38">
        <w:t> </w:t>
      </w:r>
      <w:r>
        <w:t>výjimkou</w:t>
      </w:r>
      <w:r w:rsidR="00707E38">
        <w:t xml:space="preserve"> </w:t>
      </w:r>
      <w:r>
        <w:t>akumulace přebytků vlastní výroby OZE (včetně účasti na společenství pro obnovitelné zdroje)</w:t>
      </w:r>
      <w:r w:rsidR="00707E38">
        <w:t>.</w:t>
      </w:r>
      <w:r w:rsidR="00BC6D0E">
        <w:t xml:space="preserve"> </w:t>
      </w:r>
    </w:p>
    <w:p w14:paraId="5CAB2F92" w14:textId="77777777" w:rsidR="002F4C62" w:rsidRDefault="002F4C62" w:rsidP="002F4C62"/>
    <w:p w14:paraId="2E4CE1E3" w14:textId="746CF163" w:rsidR="002F4C62" w:rsidRPr="006C1B48" w:rsidRDefault="00FD27A0" w:rsidP="006C1B48">
      <w:pPr>
        <w:keepNext/>
        <w:rPr>
          <w:b/>
          <w:bCs/>
        </w:rPr>
      </w:pPr>
      <w:r w:rsidRPr="006C1B48">
        <w:rPr>
          <w:b/>
          <w:bCs/>
        </w:rPr>
        <w:t>Výčet zdrojů energie, které je možné zahrnout v</w:t>
      </w:r>
      <w:r>
        <w:rPr>
          <w:b/>
          <w:bCs/>
        </w:rPr>
        <w:t> </w:t>
      </w:r>
      <w:r w:rsidRPr="006C1B48">
        <w:rPr>
          <w:b/>
          <w:bCs/>
        </w:rPr>
        <w:t>projektech</w:t>
      </w:r>
      <w:r>
        <w:rPr>
          <w:b/>
          <w:bCs/>
        </w:rPr>
        <w:t xml:space="preserve"> (za uvedených podmínek)</w:t>
      </w:r>
      <w:r w:rsidR="002F4C62" w:rsidRPr="006C1B48">
        <w:rPr>
          <w:b/>
          <w:bCs/>
        </w:rPr>
        <w:t>:</w:t>
      </w:r>
    </w:p>
    <w:p w14:paraId="7C1F0AD5" w14:textId="6EF51DDE" w:rsidR="00EB5E38" w:rsidRDefault="00EB5E38" w:rsidP="00EB5E38">
      <w:pPr>
        <w:pStyle w:val="Odstavecseseznamem"/>
        <w:numPr>
          <w:ilvl w:val="0"/>
          <w:numId w:val="215"/>
        </w:numPr>
        <w:spacing w:after="160" w:line="259" w:lineRule="auto"/>
        <w:contextualSpacing/>
      </w:pPr>
      <w:r>
        <w:t>Připojení k systému dálkového vytápění nebo chlazení (SZTE), pokud systém:</w:t>
      </w:r>
    </w:p>
    <w:p w14:paraId="4DEF91C7" w14:textId="3F48D7E8" w:rsidR="00EB5E38" w:rsidRDefault="00EB5E38" w:rsidP="006C1B48">
      <w:pPr>
        <w:pStyle w:val="Odstavecseseznamem"/>
        <w:numPr>
          <w:ilvl w:val="1"/>
          <w:numId w:val="215"/>
        </w:numPr>
        <w:spacing w:after="160" w:line="259" w:lineRule="auto"/>
        <w:contextualSpacing/>
      </w:pPr>
      <w:r>
        <w:t>lze klasifikovat jako účinný systém dálkového vytápění nebo chlazení v souladu s článkem 26 směrnice o energetické účinnosti</w:t>
      </w:r>
      <w:r>
        <w:rPr>
          <w:rStyle w:val="Znakapoznpodarou"/>
        </w:rPr>
        <w:footnoteReference w:id="97"/>
      </w:r>
      <w:r>
        <w:t xml:space="preserve"> nebo</w:t>
      </w:r>
    </w:p>
    <w:p w14:paraId="7917400A" w14:textId="3BED5429" w:rsidR="00EB5E38" w:rsidRDefault="00EB5E38" w:rsidP="006C1B48">
      <w:pPr>
        <w:pStyle w:val="Odstavecseseznamem"/>
        <w:numPr>
          <w:ilvl w:val="1"/>
          <w:numId w:val="215"/>
        </w:numPr>
        <w:spacing w:after="160" w:line="259" w:lineRule="auto"/>
        <w:contextualSpacing/>
      </w:pPr>
      <w:r>
        <w:t>splňuje požadavky stanovené v čl. 26 odst. 5 směrnice o energetické účinnosti a připojení nevede ke zvýšení spotřeby fosilních paliv</w:t>
      </w:r>
      <w:r w:rsidR="00006990">
        <w:t xml:space="preserve"> (ve smyslu, že daná soustava má zpracován p</w:t>
      </w:r>
      <w:r w:rsidR="009B23C0" w:rsidRPr="009B23C0">
        <w:t>lán na zajištění účinnější spotřeby primární energie, na snížení distribučních ztrát a na zvýšení podílu energie z obnovitelných zdrojů v rámci dodávek vytápění a chlazení v souladu s čl. 26 odst. 5 směrnice o energetické účinnosti</w:t>
      </w:r>
      <w:r w:rsidR="00006990">
        <w:t>)</w:t>
      </w:r>
      <w:r w:rsidR="009B23C0" w:rsidRPr="009B23C0">
        <w:t>.</w:t>
      </w:r>
      <w:r w:rsidR="0076646F">
        <w:rPr>
          <w:rStyle w:val="Znakapoznpodarou"/>
        </w:rPr>
        <w:footnoteReference w:id="98"/>
      </w:r>
    </w:p>
    <w:p w14:paraId="39291C34" w14:textId="55C36EF5" w:rsidR="002F4C62" w:rsidRDefault="002F4C62" w:rsidP="006C1B48">
      <w:pPr>
        <w:pStyle w:val="Odstavecseseznamem"/>
        <w:numPr>
          <w:ilvl w:val="0"/>
          <w:numId w:val="215"/>
        </w:numPr>
        <w:spacing w:after="160" w:line="259" w:lineRule="auto"/>
        <w:contextualSpacing/>
      </w:pPr>
      <w:r>
        <w:t>Tepelná čerpadla</w:t>
      </w:r>
      <w:r w:rsidR="00BD53BA">
        <w:t>.</w:t>
      </w:r>
      <w:r>
        <w:t xml:space="preserve"> </w:t>
      </w:r>
    </w:p>
    <w:p w14:paraId="792BC51D" w14:textId="77777777" w:rsidR="002F4C62" w:rsidRDefault="002F4C62" w:rsidP="006C1B48">
      <w:pPr>
        <w:pStyle w:val="Odstavecseseznamem"/>
        <w:numPr>
          <w:ilvl w:val="0"/>
          <w:numId w:val="215"/>
        </w:numPr>
        <w:spacing w:after="160" w:line="259" w:lineRule="auto"/>
        <w:contextualSpacing/>
      </w:pPr>
      <w:r>
        <w:t>Zdroj ke spalování obnovitelných plynných paliv.</w:t>
      </w:r>
    </w:p>
    <w:p w14:paraId="1F35DBA7" w14:textId="77777777" w:rsidR="002F4C62" w:rsidRDefault="002F4C62" w:rsidP="006C1B48">
      <w:pPr>
        <w:pStyle w:val="Odstavecseseznamem"/>
        <w:numPr>
          <w:ilvl w:val="0"/>
          <w:numId w:val="215"/>
        </w:numPr>
        <w:spacing w:after="160" w:line="259" w:lineRule="auto"/>
        <w:contextualSpacing/>
      </w:pPr>
      <w:r>
        <w:t>Zdroj ke spalování obnovitelných kapalných paliv (</w:t>
      </w:r>
      <w:proofErr w:type="spellStart"/>
      <w:r>
        <w:t>biokapalin</w:t>
      </w:r>
      <w:proofErr w:type="spellEnd"/>
      <w:r>
        <w:t>)</w:t>
      </w:r>
    </w:p>
    <w:p w14:paraId="703861B8" w14:textId="2648CD03" w:rsidR="002F4C62" w:rsidRDefault="002F4C62" w:rsidP="006C1B48">
      <w:pPr>
        <w:pStyle w:val="Odstavecseseznamem"/>
        <w:numPr>
          <w:ilvl w:val="0"/>
          <w:numId w:val="215"/>
        </w:numPr>
        <w:spacing w:after="160" w:line="259" w:lineRule="auto"/>
        <w:contextualSpacing/>
      </w:pPr>
      <w:r>
        <w:t>Zdroj ke spalování pevné biomasy, není však možné, pokud by se mělo jednat o náhradu zdroje ke spalování plynných paliv fosilního původu</w:t>
      </w:r>
      <w:r w:rsidR="006B3C94">
        <w:t xml:space="preserve"> nebo přímého </w:t>
      </w:r>
      <w:r w:rsidR="006B3C94" w:rsidRPr="006B3C94">
        <w:t>vytápění elektrickou energií</w:t>
      </w:r>
    </w:p>
    <w:p w14:paraId="3E09B7B2" w14:textId="77777777" w:rsidR="002F4C62" w:rsidRDefault="002F4C62" w:rsidP="006C1B48">
      <w:pPr>
        <w:pStyle w:val="Odstavecseseznamem"/>
        <w:numPr>
          <w:ilvl w:val="0"/>
          <w:numId w:val="215"/>
        </w:numPr>
        <w:spacing w:after="160" w:line="259" w:lineRule="auto"/>
        <w:contextualSpacing/>
      </w:pPr>
      <w:r>
        <w:t>Kondenzační kotel na zemní plyn (+ hybridní řešení s tepelným čerpadlem a / nebo solárním ohřevem vody)</w:t>
      </w:r>
      <w:r>
        <w:rPr>
          <w:rStyle w:val="Znakapoznpodarou"/>
        </w:rPr>
        <w:footnoteReference w:id="99"/>
      </w:r>
    </w:p>
    <w:p w14:paraId="15D8F837" w14:textId="77777777" w:rsidR="002F4C62" w:rsidRDefault="002F4C62" w:rsidP="006C1B48">
      <w:pPr>
        <w:pStyle w:val="Odstavecseseznamem"/>
        <w:numPr>
          <w:ilvl w:val="1"/>
          <w:numId w:val="215"/>
        </w:numPr>
        <w:spacing w:after="160" w:line="259" w:lineRule="auto"/>
        <w:contextualSpacing/>
      </w:pPr>
      <w:r>
        <w:t xml:space="preserve">Kondenzační kotel na zemní plyn je umožněn pouze, pokud se jedná o náhradu </w:t>
      </w:r>
      <w:r w:rsidRPr="002C5F90">
        <w:t>zařízení na bázi uhlí, rašeliny, lignitu nebo roponosné břidlice</w:t>
      </w:r>
      <w:r>
        <w:t>, zároveň však nesmí být v uznatelných nákladech</w:t>
      </w:r>
    </w:p>
    <w:p w14:paraId="3FB71392" w14:textId="77777777" w:rsidR="002F4C62" w:rsidRDefault="002F4C62" w:rsidP="006C1B48">
      <w:pPr>
        <w:pStyle w:val="Odstavecseseznamem"/>
        <w:numPr>
          <w:ilvl w:val="1"/>
          <w:numId w:val="215"/>
        </w:numPr>
        <w:spacing w:after="160" w:line="259" w:lineRule="auto"/>
        <w:contextualSpacing/>
      </w:pPr>
      <w:r>
        <w:t>Součástí uznatelných nákladů může být tepelné čerpadlo a / nebo solární ohřev vody v případě hybridního řešení</w:t>
      </w:r>
    </w:p>
    <w:p w14:paraId="6D76ADB7" w14:textId="77777777" w:rsidR="002F4C62" w:rsidRDefault="002F4C62" w:rsidP="006C1B48">
      <w:pPr>
        <w:pStyle w:val="Odstavecseseznamem"/>
        <w:numPr>
          <w:ilvl w:val="0"/>
          <w:numId w:val="215"/>
        </w:numPr>
        <w:spacing w:after="160" w:line="259" w:lineRule="auto"/>
        <w:contextualSpacing/>
      </w:pPr>
      <w:r>
        <w:t>Kogenerace zemního plynu (+ hybridní řešení s tepelným čerpadlem</w:t>
      </w:r>
      <w:r w:rsidRPr="000C4D01">
        <w:t xml:space="preserve"> </w:t>
      </w:r>
      <w:r>
        <w:t>a / nebo solárním ohřevem vody)</w:t>
      </w:r>
      <w:r>
        <w:rPr>
          <w:rStyle w:val="Znakapoznpodarou"/>
        </w:rPr>
        <w:footnoteReference w:id="100"/>
      </w:r>
    </w:p>
    <w:p w14:paraId="7CF331F9" w14:textId="77777777" w:rsidR="002F4C62" w:rsidRDefault="002F4C62" w:rsidP="006C1B48">
      <w:pPr>
        <w:pStyle w:val="Odstavecseseznamem"/>
        <w:numPr>
          <w:ilvl w:val="1"/>
          <w:numId w:val="215"/>
        </w:numPr>
        <w:spacing w:after="160" w:line="259" w:lineRule="auto"/>
        <w:contextualSpacing/>
      </w:pPr>
      <w:r>
        <w:lastRenderedPageBreak/>
        <w:t xml:space="preserve">Kogenerace zemního plynu je umožněna pouze, pokud se jedná o náhradu </w:t>
      </w:r>
      <w:r w:rsidRPr="002C5F90">
        <w:t>zařízení na bázi uhlí, rašeliny, lignitu nebo roponosné břidlice</w:t>
      </w:r>
      <w:r>
        <w:t>, zároveň však nesmí být v uznatelných nákladech</w:t>
      </w:r>
    </w:p>
    <w:p w14:paraId="18D11E43" w14:textId="77777777" w:rsidR="002F4C62" w:rsidRDefault="002F4C62" w:rsidP="006C1B48">
      <w:pPr>
        <w:pStyle w:val="Odstavecseseznamem"/>
        <w:numPr>
          <w:ilvl w:val="1"/>
          <w:numId w:val="215"/>
        </w:numPr>
        <w:spacing w:after="160" w:line="259" w:lineRule="auto"/>
        <w:contextualSpacing/>
      </w:pPr>
      <w:r>
        <w:t>Součástí uznatelných nákladů může být tepelné čerpadlo a / nebo solární ohřev vody v případě hybridního řešení</w:t>
      </w:r>
    </w:p>
    <w:p w14:paraId="1537CA90" w14:textId="77777777" w:rsidR="002F4C62" w:rsidRDefault="002F4C62" w:rsidP="002F4C62">
      <w:pPr>
        <w:rPr>
          <w:i/>
          <w:iCs/>
        </w:rPr>
      </w:pPr>
      <w:r w:rsidRPr="00144C65">
        <w:rPr>
          <w:i/>
          <w:iCs/>
        </w:rPr>
        <w:t xml:space="preserve">V případě instalace hybridních systémů vytápění ve stávajících budovách, včetně doplnění stávajícího systému vytápění na fosilní paliva o systém vytápění na bázi obnovitelných zdrojů by měly být instalovány pouze hybridní systémy vytápění, kde obnovitelné zdroje pokrývají alespoň polovinu </w:t>
      </w:r>
      <w:r>
        <w:rPr>
          <w:i/>
          <w:iCs/>
        </w:rPr>
        <w:t xml:space="preserve">celkové </w:t>
      </w:r>
      <w:r w:rsidRPr="00144C65">
        <w:rPr>
          <w:i/>
          <w:iCs/>
        </w:rPr>
        <w:t>roční potřeby tepla.</w:t>
      </w:r>
      <w:r w:rsidRPr="00144C65">
        <w:rPr>
          <w:rStyle w:val="Znakapoznpodarou"/>
          <w:i/>
          <w:iCs/>
        </w:rPr>
        <w:footnoteReference w:id="101"/>
      </w:r>
    </w:p>
    <w:p w14:paraId="42EB9A15" w14:textId="660D3283" w:rsidR="00FD27A0" w:rsidRPr="006C1B48" w:rsidRDefault="00FD27A0" w:rsidP="002F4C62">
      <w:pPr>
        <w:rPr>
          <w:b/>
          <w:bCs/>
          <w:u w:val="single"/>
        </w:rPr>
      </w:pPr>
      <w:r w:rsidRPr="006C1B48">
        <w:rPr>
          <w:b/>
          <w:bCs/>
          <w:u w:val="single"/>
        </w:rPr>
        <w:t>Technické podmínky pro vybrané typy zdrojů viz kapitoly 5.2.3.2.2 až 5.2.3.2.8.</w:t>
      </w:r>
    </w:p>
    <w:p w14:paraId="364BD929" w14:textId="77777777" w:rsidR="00FD27A0" w:rsidRDefault="00FD27A0" w:rsidP="002F4C62"/>
    <w:p w14:paraId="646AFBBE" w14:textId="38480E86" w:rsidR="00602DCA" w:rsidRDefault="00C5530C" w:rsidP="00EA4CB0">
      <w:pPr>
        <w:pStyle w:val="Nadpis3"/>
      </w:pPr>
      <w:r>
        <w:t>Výstavba nových budov</w:t>
      </w:r>
      <w:bookmarkEnd w:id="142"/>
      <w:r w:rsidR="00144FC9">
        <w:t xml:space="preserve"> </w:t>
      </w:r>
    </w:p>
    <w:p w14:paraId="38FD4FA8" w14:textId="6EF76D85" w:rsidR="00602DCA" w:rsidRPr="00EA4CB0" w:rsidRDefault="00957267">
      <w:pPr>
        <w:rPr>
          <w:rFonts w:cs="Segoe UI"/>
          <w:b/>
        </w:rPr>
      </w:pPr>
      <w:r w:rsidRPr="00EA4CB0">
        <w:rPr>
          <w:rFonts w:cs="Segoe UI"/>
          <w:b/>
        </w:rPr>
        <w:t>V</w:t>
      </w:r>
      <w:r w:rsidR="00B351EF" w:rsidRPr="00EA4CB0">
        <w:rPr>
          <w:rFonts w:cs="Segoe UI"/>
          <w:b/>
        </w:rPr>
        <w:t> této kapitole</w:t>
      </w:r>
      <w:r w:rsidRPr="00EA4CB0">
        <w:rPr>
          <w:rFonts w:cs="Segoe UI"/>
          <w:b/>
        </w:rPr>
        <w:t xml:space="preserve"> jsou</w:t>
      </w:r>
      <w:r w:rsidR="00C5530C" w:rsidRPr="00EA4CB0">
        <w:rPr>
          <w:rFonts w:cs="Segoe UI"/>
          <w:b/>
        </w:rPr>
        <w:t xml:space="preserve"> uvedeny podmínky DNSH, které je nutné </w:t>
      </w:r>
      <w:r w:rsidRPr="00EA4CB0">
        <w:rPr>
          <w:rFonts w:cs="Segoe UI"/>
          <w:b/>
        </w:rPr>
        <w:t xml:space="preserve">pro typizovanou činnost „výstavba nových budov“ </w:t>
      </w:r>
      <w:r w:rsidR="00C5530C" w:rsidRPr="00EA4CB0">
        <w:rPr>
          <w:rFonts w:cs="Segoe UI"/>
          <w:b/>
        </w:rPr>
        <w:t>zohlednit</w:t>
      </w:r>
      <w:r w:rsidR="00957FC2">
        <w:rPr>
          <w:rFonts w:cs="Segoe UI"/>
          <w:b/>
        </w:rPr>
        <w:t>,</w:t>
      </w:r>
      <w:r w:rsidR="00C5530C" w:rsidRPr="00EA4CB0">
        <w:rPr>
          <w:rFonts w:cs="Segoe UI"/>
          <w:b/>
        </w:rPr>
        <w:t xml:space="preserve"> ve smyslu </w:t>
      </w:r>
      <w:r w:rsidR="00957FC2">
        <w:rPr>
          <w:rFonts w:cs="Segoe UI"/>
          <w:b/>
        </w:rPr>
        <w:t>jejich přenesení na žadatele.</w:t>
      </w:r>
    </w:p>
    <w:p w14:paraId="56B50407" w14:textId="14DFD42F" w:rsidR="00602DCA" w:rsidRPr="00EA4CB0" w:rsidRDefault="00C5530C">
      <w:pPr>
        <w:spacing w:line="240" w:lineRule="auto"/>
        <w:rPr>
          <w:rFonts w:cs="Segoe UI"/>
        </w:rPr>
      </w:pPr>
      <w:r w:rsidRPr="00EA4CB0">
        <w:rPr>
          <w:rFonts w:cs="Segoe UI"/>
        </w:rPr>
        <w:t xml:space="preserve">Podmínky se vztahují </w:t>
      </w:r>
      <w:r w:rsidR="004D526C">
        <w:rPr>
          <w:rFonts w:cs="Segoe UI"/>
        </w:rPr>
        <w:t xml:space="preserve">zejm. </w:t>
      </w:r>
      <w:r w:rsidRPr="00EA4CB0">
        <w:rPr>
          <w:rFonts w:cs="Segoe UI"/>
        </w:rPr>
        <w:t xml:space="preserve">na budovy ve smyslu oblastí intervence 43, 121 až 128 CPR; </w:t>
      </w:r>
      <w:proofErr w:type="gramStart"/>
      <w:r w:rsidRPr="00EA4CB0">
        <w:rPr>
          <w:rFonts w:cs="Segoe UI"/>
        </w:rPr>
        <w:t>25b</w:t>
      </w:r>
      <w:proofErr w:type="gramEnd"/>
      <w:r w:rsidRPr="00EA4CB0">
        <w:rPr>
          <w:rFonts w:cs="Segoe UI"/>
        </w:rPr>
        <w:t>, 85 až 92 RRF:</w:t>
      </w:r>
    </w:p>
    <w:p w14:paraId="79685C41" w14:textId="32F67516" w:rsidR="00602DCA" w:rsidRPr="00EA4CB0" w:rsidRDefault="00C5530C" w:rsidP="00A32A7E">
      <w:pPr>
        <w:pStyle w:val="Odstavecseseznamem"/>
        <w:numPr>
          <w:ilvl w:val="0"/>
          <w:numId w:val="27"/>
        </w:numPr>
        <w:spacing w:after="0" w:line="240" w:lineRule="auto"/>
        <w:ind w:left="714" w:hanging="357"/>
        <w:rPr>
          <w:rFonts w:cs="Segoe UI"/>
        </w:rPr>
      </w:pPr>
      <w:r w:rsidRPr="00EA4CB0">
        <w:rPr>
          <w:rFonts w:cs="Segoe UI"/>
        </w:rPr>
        <w:t>Výstavba nových energeticky účinných budov</w:t>
      </w:r>
    </w:p>
    <w:p w14:paraId="33A8100B" w14:textId="77777777" w:rsidR="00602DCA" w:rsidRPr="00EA4CB0" w:rsidRDefault="00C5530C" w:rsidP="00A32A7E">
      <w:pPr>
        <w:pStyle w:val="Odstavecseseznamem"/>
        <w:numPr>
          <w:ilvl w:val="0"/>
          <w:numId w:val="27"/>
        </w:numPr>
        <w:spacing w:after="0" w:line="240" w:lineRule="auto"/>
        <w:ind w:left="714" w:hanging="357"/>
        <w:rPr>
          <w:rFonts w:cs="Segoe UI"/>
        </w:rPr>
      </w:pPr>
      <w:r w:rsidRPr="00EA4CB0">
        <w:rPr>
          <w:rFonts w:cs="Segoe UI"/>
        </w:rPr>
        <w:t>Infrastruktura pro předškolní vzdělávání a péči</w:t>
      </w:r>
    </w:p>
    <w:p w14:paraId="517C3529" w14:textId="77777777" w:rsidR="00602DCA" w:rsidRPr="00EA4CB0" w:rsidRDefault="00C5530C" w:rsidP="00A32A7E">
      <w:pPr>
        <w:pStyle w:val="Odstavecseseznamem"/>
        <w:numPr>
          <w:ilvl w:val="0"/>
          <w:numId w:val="27"/>
        </w:numPr>
        <w:spacing w:after="0" w:line="240" w:lineRule="auto"/>
        <w:ind w:left="714" w:hanging="357"/>
        <w:rPr>
          <w:rFonts w:cs="Segoe UI"/>
        </w:rPr>
      </w:pPr>
      <w:r w:rsidRPr="00EA4CB0">
        <w:rPr>
          <w:rFonts w:cs="Segoe UI"/>
        </w:rPr>
        <w:t>Infrastruktura pro primární a sekundární vzdělávání</w:t>
      </w:r>
    </w:p>
    <w:p w14:paraId="25104475" w14:textId="77777777" w:rsidR="00602DCA" w:rsidRPr="00EA4CB0" w:rsidRDefault="00C5530C" w:rsidP="00A32A7E">
      <w:pPr>
        <w:pStyle w:val="Odstavecseseznamem"/>
        <w:numPr>
          <w:ilvl w:val="0"/>
          <w:numId w:val="27"/>
        </w:numPr>
        <w:spacing w:after="0" w:line="240" w:lineRule="auto"/>
        <w:ind w:left="714" w:hanging="357"/>
        <w:rPr>
          <w:rFonts w:cs="Segoe UI"/>
        </w:rPr>
      </w:pPr>
      <w:r w:rsidRPr="00EA4CB0">
        <w:rPr>
          <w:rFonts w:cs="Segoe UI"/>
        </w:rPr>
        <w:t>Infrastruktura pro terciární vzdělávání</w:t>
      </w:r>
    </w:p>
    <w:p w14:paraId="7C1EF8D1" w14:textId="77777777" w:rsidR="00602DCA" w:rsidRPr="00EA4CB0" w:rsidRDefault="00C5530C" w:rsidP="00A32A7E">
      <w:pPr>
        <w:pStyle w:val="Odstavecseseznamem"/>
        <w:numPr>
          <w:ilvl w:val="0"/>
          <w:numId w:val="27"/>
        </w:numPr>
        <w:spacing w:after="0" w:line="240" w:lineRule="auto"/>
        <w:ind w:left="714" w:hanging="357"/>
        <w:rPr>
          <w:rFonts w:cs="Segoe UI"/>
        </w:rPr>
      </w:pPr>
      <w:r w:rsidRPr="00EA4CB0">
        <w:rPr>
          <w:rFonts w:cs="Segoe UI"/>
        </w:rPr>
        <w:t>Infrastruktura pro odborné vzdělávání a přípravu a vzdělávání dospělých</w:t>
      </w:r>
    </w:p>
    <w:p w14:paraId="4B3C7298" w14:textId="77777777" w:rsidR="00602DCA" w:rsidRPr="00EA4CB0" w:rsidRDefault="00C5530C" w:rsidP="00A32A7E">
      <w:pPr>
        <w:pStyle w:val="Odstavecseseznamem"/>
        <w:numPr>
          <w:ilvl w:val="0"/>
          <w:numId w:val="27"/>
        </w:numPr>
        <w:spacing w:after="0" w:line="240" w:lineRule="auto"/>
        <w:ind w:left="714" w:hanging="357"/>
        <w:rPr>
          <w:rFonts w:cs="Segoe UI"/>
        </w:rPr>
      </w:pPr>
      <w:r w:rsidRPr="00EA4CB0">
        <w:rPr>
          <w:rFonts w:cs="Segoe UI"/>
        </w:rPr>
        <w:t>Bytová infrastruktura pro migranty, uprchlíky a osoby pod mezinárodní ochranou nebo osoby, které o ni žádají</w:t>
      </w:r>
    </w:p>
    <w:p w14:paraId="6905170B" w14:textId="77777777" w:rsidR="00602DCA" w:rsidRPr="00EA4CB0" w:rsidRDefault="00C5530C" w:rsidP="00A32A7E">
      <w:pPr>
        <w:pStyle w:val="Odstavecseseznamem"/>
        <w:numPr>
          <w:ilvl w:val="0"/>
          <w:numId w:val="27"/>
        </w:numPr>
        <w:spacing w:after="0" w:line="240" w:lineRule="auto"/>
        <w:ind w:left="714" w:hanging="357"/>
        <w:rPr>
          <w:rFonts w:cs="Segoe UI"/>
        </w:rPr>
      </w:pPr>
      <w:r w:rsidRPr="00EA4CB0">
        <w:rPr>
          <w:rFonts w:cs="Segoe UI"/>
        </w:rPr>
        <w:t>Bytová infrastruktura (nikoli pro migranty, uprchlíky a osoby pod mezinárodní ochranou nebo osoby, které o ni žádají)</w:t>
      </w:r>
    </w:p>
    <w:p w14:paraId="0351FB6F" w14:textId="77777777" w:rsidR="00602DCA" w:rsidRPr="00EA4CB0" w:rsidRDefault="00C5530C" w:rsidP="00A32A7E">
      <w:pPr>
        <w:pStyle w:val="Odstavecseseznamem"/>
        <w:numPr>
          <w:ilvl w:val="0"/>
          <w:numId w:val="27"/>
        </w:numPr>
        <w:spacing w:after="0" w:line="240" w:lineRule="auto"/>
        <w:ind w:left="714" w:hanging="357"/>
        <w:rPr>
          <w:rFonts w:cs="Segoe UI"/>
        </w:rPr>
      </w:pPr>
      <w:r w:rsidRPr="00EA4CB0">
        <w:rPr>
          <w:rFonts w:cs="Segoe UI"/>
        </w:rPr>
        <w:t>Jiná sociální infrastruktura přispívající k sociálnímu začlenění do komunity</w:t>
      </w:r>
    </w:p>
    <w:p w14:paraId="7B277D27" w14:textId="77777777" w:rsidR="00602DCA" w:rsidRPr="00EA4CB0" w:rsidRDefault="00C5530C" w:rsidP="00A32A7E">
      <w:pPr>
        <w:pStyle w:val="Odstavecseseznamem"/>
        <w:numPr>
          <w:ilvl w:val="0"/>
          <w:numId w:val="27"/>
        </w:numPr>
        <w:spacing w:after="0" w:line="240" w:lineRule="auto"/>
        <w:ind w:left="714" w:hanging="357"/>
        <w:rPr>
          <w:rFonts w:cs="Segoe UI"/>
        </w:rPr>
      </w:pPr>
      <w:r w:rsidRPr="00EA4CB0">
        <w:rPr>
          <w:rFonts w:cs="Segoe UI"/>
        </w:rPr>
        <w:t>Zdravotní infrastruktura</w:t>
      </w:r>
    </w:p>
    <w:p w14:paraId="3DA1F8BE" w14:textId="77777777" w:rsidR="00B351EF" w:rsidRPr="00EA4CB0" w:rsidRDefault="00B351EF" w:rsidP="00B351EF">
      <w:pPr>
        <w:spacing w:after="0" w:line="240" w:lineRule="auto"/>
        <w:rPr>
          <w:rFonts w:cs="Segoe UI"/>
          <w:b/>
          <w:bCs/>
          <w:u w:val="single"/>
        </w:rPr>
      </w:pPr>
    </w:p>
    <w:p w14:paraId="1F447E5E" w14:textId="78ED2B45" w:rsidR="00B351EF" w:rsidRDefault="00B351EF" w:rsidP="00B351EF">
      <w:pPr>
        <w:spacing w:after="0" w:line="240" w:lineRule="auto"/>
        <w:rPr>
          <w:rFonts w:cs="Segoe UI"/>
          <w:b/>
          <w:bCs/>
          <w:u w:val="single"/>
        </w:rPr>
      </w:pPr>
      <w:r w:rsidRPr="00EA4CB0">
        <w:rPr>
          <w:rFonts w:cs="Segoe UI"/>
          <w:b/>
          <w:bCs/>
          <w:u w:val="single"/>
        </w:rPr>
        <w:t>Podmínky se dále vztahují na všechny budovy v rámci větších projektů či projektů zaměřených primárně na jiný typ opatření, kde jsou ale taktéž stavěny budovy analogicky.</w:t>
      </w:r>
    </w:p>
    <w:p w14:paraId="5F67406F" w14:textId="77777777" w:rsidR="00195398" w:rsidRPr="00EA4CB0" w:rsidRDefault="00195398" w:rsidP="00B351EF">
      <w:pPr>
        <w:spacing w:after="0" w:line="240" w:lineRule="auto"/>
        <w:rPr>
          <w:rFonts w:cs="Segoe UI"/>
          <w:b/>
          <w:bCs/>
          <w:u w:val="single"/>
        </w:rPr>
      </w:pPr>
    </w:p>
    <w:p w14:paraId="5218D875" w14:textId="5EBC9926" w:rsidR="00195398" w:rsidRPr="00EA4CB0" w:rsidRDefault="00195398" w:rsidP="00195398">
      <w:pPr>
        <w:rPr>
          <w:b/>
          <w:bCs/>
        </w:rPr>
      </w:pPr>
      <w:r w:rsidRPr="00EA4CB0">
        <w:rPr>
          <w:b/>
          <w:bCs/>
        </w:rPr>
        <w:t xml:space="preserve">Novou budovou se pro účely DNSH myslí budovy na dříve nezastavěné ploše a změny dokončených budov, při nichž dojde ke změně více jak 50 % původních konstrukcí celkové plochy obálky budovy. </w:t>
      </w:r>
    </w:p>
    <w:p w14:paraId="72E3CCEB" w14:textId="3A0CFCD8" w:rsidR="007E7F38" w:rsidRDefault="007E7F38" w:rsidP="007E7F38">
      <w:pPr>
        <w:rPr>
          <w:rFonts w:cs="Segoe UI"/>
          <w:bCs/>
          <w:u w:val="single"/>
        </w:rPr>
      </w:pPr>
      <w:r w:rsidRPr="007E7F38">
        <w:rPr>
          <w:rFonts w:cs="Segoe UI"/>
          <w:bCs/>
          <w:u w:val="single"/>
        </w:rPr>
        <w:t xml:space="preserve">Podmínky pro </w:t>
      </w:r>
      <w:r>
        <w:rPr>
          <w:rFonts w:cs="Segoe UI"/>
          <w:bCs/>
          <w:u w:val="single"/>
        </w:rPr>
        <w:t xml:space="preserve">nové budovy budou </w:t>
      </w:r>
      <w:r w:rsidRPr="007E7F38">
        <w:rPr>
          <w:rFonts w:cs="Segoe UI"/>
          <w:bCs/>
          <w:u w:val="single"/>
        </w:rPr>
        <w:t xml:space="preserve">v čase překonány implementací směrnice </w:t>
      </w:r>
      <w:r w:rsidRPr="00DB1A0B">
        <w:rPr>
          <w:rFonts w:cs="Segoe UI"/>
          <w:bCs/>
          <w:u w:val="single"/>
        </w:rPr>
        <w:t>2024/1275/EU</w:t>
      </w:r>
      <w:r w:rsidRPr="007E7F38">
        <w:rPr>
          <w:rFonts w:cs="Segoe UI"/>
          <w:bCs/>
          <w:u w:val="single"/>
        </w:rPr>
        <w:t xml:space="preserve"> </w:t>
      </w:r>
      <w:r>
        <w:rPr>
          <w:rFonts w:cs="Segoe UI"/>
          <w:bCs/>
          <w:u w:val="single"/>
        </w:rPr>
        <w:t>(</w:t>
      </w:r>
      <w:r w:rsidRPr="007E7F38">
        <w:rPr>
          <w:rFonts w:cs="Segoe UI"/>
          <w:bCs/>
          <w:u w:val="single"/>
        </w:rPr>
        <w:t>EPBD</w:t>
      </w:r>
      <w:r>
        <w:rPr>
          <w:rFonts w:cs="Segoe UI"/>
          <w:bCs/>
          <w:u w:val="single"/>
        </w:rPr>
        <w:t>)</w:t>
      </w:r>
      <w:r w:rsidRPr="007E7F38">
        <w:rPr>
          <w:rFonts w:cs="Segoe UI"/>
          <w:bCs/>
          <w:u w:val="single"/>
        </w:rPr>
        <w:t xml:space="preserve"> do zákona č. 406/2000 Sb. o hospodaření energií a prováděcími vyhláškami.</w:t>
      </w:r>
      <w:r>
        <w:rPr>
          <w:rFonts w:cs="Segoe UI"/>
          <w:bCs/>
          <w:u w:val="single"/>
        </w:rPr>
        <w:t xml:space="preserve"> </w:t>
      </w:r>
      <w:r w:rsidRPr="00DB1A0B">
        <w:rPr>
          <w:rFonts w:cs="Segoe UI"/>
          <w:bCs/>
          <w:u w:val="single"/>
        </w:rPr>
        <w:t>Vyžaduje, aby všechny nové obytné a nebytové budovy byly od 1.</w:t>
      </w:r>
      <w:r>
        <w:rPr>
          <w:rFonts w:cs="Segoe UI"/>
          <w:bCs/>
          <w:u w:val="single"/>
        </w:rPr>
        <w:t> </w:t>
      </w:r>
      <w:r w:rsidRPr="00DB1A0B">
        <w:rPr>
          <w:rFonts w:cs="Segoe UI"/>
          <w:bCs/>
          <w:u w:val="single"/>
        </w:rPr>
        <w:t xml:space="preserve">ledna 2028 budovami s nulovými emisemi (tzv. ZEB) v případě budov ve vlastnictví veřejných subjektů a od 1. ledna 2030 v </w:t>
      </w:r>
      <w:r w:rsidRPr="00DB1A0B">
        <w:rPr>
          <w:rFonts w:cs="Segoe UI"/>
          <w:bCs/>
          <w:u w:val="single"/>
        </w:rPr>
        <w:lastRenderedPageBreak/>
        <w:t>případě všech ostatních nových budov s možností zvláštních výjimek. Podle směrnice nemá budova s nulovými emisemi na místě žádné emise uhlíku z fosilních paliv a má velmi nízkou energetickou náročnost.</w:t>
      </w:r>
    </w:p>
    <w:p w14:paraId="2379D620" w14:textId="77777777" w:rsidR="00B351EF" w:rsidRPr="00EA4CB0" w:rsidRDefault="00B351EF" w:rsidP="00EA4CB0">
      <w:pPr>
        <w:spacing w:after="0" w:line="240" w:lineRule="auto"/>
        <w:rPr>
          <w:rFonts w:asciiTheme="minorHAnsi" w:hAnsiTheme="minorHAnsi" w:cstheme="minorHAnsi"/>
          <w:b/>
          <w:bCs/>
          <w:u w:val="single"/>
        </w:rPr>
      </w:pPr>
    </w:p>
    <w:p w14:paraId="00438E84" w14:textId="77777777" w:rsidR="00B351EF" w:rsidRPr="007F0B7C" w:rsidRDefault="00B351EF" w:rsidP="00EA4CB0">
      <w:pPr>
        <w:pStyle w:val="Nadpis4"/>
      </w:pPr>
      <w:r>
        <w:t>Parametry energetické účinnosti pro r</w:t>
      </w:r>
      <w:r w:rsidRPr="007F0B7C">
        <w:t>odinné domy</w:t>
      </w:r>
    </w:p>
    <w:tbl>
      <w:tblPr>
        <w:tblStyle w:val="Mkatabulky"/>
        <w:tblW w:w="9332" w:type="dxa"/>
        <w:tblLayout w:type="fixed"/>
        <w:tblLook w:val="0000" w:firstRow="0" w:lastRow="0" w:firstColumn="0" w:lastColumn="0" w:noHBand="0" w:noVBand="0"/>
      </w:tblPr>
      <w:tblGrid>
        <w:gridCol w:w="3110"/>
        <w:gridCol w:w="3110"/>
        <w:gridCol w:w="3112"/>
      </w:tblGrid>
      <w:tr w:rsidR="00B351EF" w:rsidRPr="0000395D" w14:paraId="5FCE636E" w14:textId="77777777" w:rsidTr="009B1BC4">
        <w:trPr>
          <w:trHeight w:val="455"/>
        </w:trPr>
        <w:tc>
          <w:tcPr>
            <w:tcW w:w="3110" w:type="dxa"/>
          </w:tcPr>
          <w:p w14:paraId="3ABF0F08" w14:textId="77777777" w:rsidR="00B351EF" w:rsidRPr="0000395D" w:rsidRDefault="00B351EF" w:rsidP="009B1BC4">
            <w:pPr>
              <w:rPr>
                <w:i/>
                <w:iCs/>
              </w:rPr>
            </w:pPr>
            <w:r w:rsidRPr="0000395D">
              <w:rPr>
                <w:b/>
                <w:bCs/>
                <w:i/>
                <w:iCs/>
              </w:rPr>
              <w:t xml:space="preserve">Sledovaný parametr </w:t>
            </w:r>
          </w:p>
        </w:tc>
        <w:tc>
          <w:tcPr>
            <w:tcW w:w="3110" w:type="dxa"/>
          </w:tcPr>
          <w:p w14:paraId="4EB07EC6" w14:textId="77777777" w:rsidR="00B351EF" w:rsidRPr="0000395D" w:rsidRDefault="00B351EF" w:rsidP="009B1BC4">
            <w:pPr>
              <w:rPr>
                <w:i/>
                <w:iCs/>
              </w:rPr>
            </w:pPr>
            <w:r w:rsidRPr="0000395D">
              <w:rPr>
                <w:b/>
                <w:bCs/>
                <w:i/>
                <w:iCs/>
              </w:rPr>
              <w:t xml:space="preserve">Označení [jednotky] </w:t>
            </w:r>
          </w:p>
        </w:tc>
        <w:tc>
          <w:tcPr>
            <w:tcW w:w="3112" w:type="dxa"/>
          </w:tcPr>
          <w:p w14:paraId="63FC4420" w14:textId="77777777" w:rsidR="00B351EF" w:rsidRPr="0000395D" w:rsidRDefault="00B351EF" w:rsidP="009B1BC4">
            <w:pPr>
              <w:rPr>
                <w:i/>
                <w:iCs/>
              </w:rPr>
            </w:pPr>
            <w:r w:rsidRPr="0000395D">
              <w:rPr>
                <w:b/>
                <w:bCs/>
                <w:i/>
                <w:iCs/>
              </w:rPr>
              <w:t xml:space="preserve">Podporované opatření </w:t>
            </w:r>
          </w:p>
        </w:tc>
      </w:tr>
      <w:tr w:rsidR="00B351EF" w:rsidRPr="0000395D" w14:paraId="61BA1DED" w14:textId="77777777" w:rsidTr="009B1BC4">
        <w:trPr>
          <w:trHeight w:val="323"/>
        </w:trPr>
        <w:tc>
          <w:tcPr>
            <w:tcW w:w="3110" w:type="dxa"/>
          </w:tcPr>
          <w:p w14:paraId="0BC94AB5" w14:textId="77777777" w:rsidR="00B351EF" w:rsidRPr="004B47A6" w:rsidRDefault="00B351EF" w:rsidP="009B1BC4">
            <w:pPr>
              <w:rPr>
                <w:sz w:val="20"/>
                <w:szCs w:val="20"/>
              </w:rPr>
            </w:pPr>
            <w:r w:rsidRPr="004B47A6">
              <w:rPr>
                <w:sz w:val="20"/>
                <w:szCs w:val="20"/>
              </w:rPr>
              <w:t xml:space="preserve">Měrná roční potřeba tepla na vytápění </w:t>
            </w:r>
          </w:p>
        </w:tc>
        <w:tc>
          <w:tcPr>
            <w:tcW w:w="3110" w:type="dxa"/>
          </w:tcPr>
          <w:p w14:paraId="4443A9C4" w14:textId="77777777" w:rsidR="00B351EF" w:rsidRPr="004B47A6" w:rsidRDefault="00B351EF" w:rsidP="009B1BC4">
            <w:pPr>
              <w:rPr>
                <w:sz w:val="20"/>
                <w:szCs w:val="20"/>
              </w:rPr>
            </w:pPr>
            <w:r w:rsidRPr="004B47A6">
              <w:rPr>
                <w:sz w:val="20"/>
                <w:szCs w:val="20"/>
              </w:rPr>
              <w:t>E</w:t>
            </w:r>
            <w:r w:rsidRPr="006B323B">
              <w:rPr>
                <w:sz w:val="20"/>
                <w:szCs w:val="20"/>
                <w:vertAlign w:val="subscript"/>
              </w:rPr>
              <w:t>A</w:t>
            </w:r>
            <w:r w:rsidRPr="004B47A6">
              <w:rPr>
                <w:sz w:val="20"/>
                <w:szCs w:val="20"/>
              </w:rPr>
              <w:t xml:space="preserve"> [kWh.m</w:t>
            </w:r>
            <w:r w:rsidRPr="006B323B">
              <w:rPr>
                <w:sz w:val="20"/>
                <w:szCs w:val="20"/>
                <w:vertAlign w:val="superscript"/>
              </w:rPr>
              <w:t>-2</w:t>
            </w:r>
            <w:r w:rsidRPr="004B47A6">
              <w:rPr>
                <w:sz w:val="20"/>
                <w:szCs w:val="20"/>
              </w:rPr>
              <w:t>.rok</w:t>
            </w:r>
            <w:r w:rsidRPr="006B323B">
              <w:rPr>
                <w:sz w:val="20"/>
                <w:szCs w:val="20"/>
                <w:vertAlign w:val="superscript"/>
              </w:rPr>
              <w:t>-1</w:t>
            </w:r>
            <w:r w:rsidRPr="004B47A6">
              <w:rPr>
                <w:sz w:val="20"/>
                <w:szCs w:val="20"/>
              </w:rPr>
              <w:t xml:space="preserve">] </w:t>
            </w:r>
          </w:p>
        </w:tc>
        <w:tc>
          <w:tcPr>
            <w:tcW w:w="3112" w:type="dxa"/>
          </w:tcPr>
          <w:p w14:paraId="72D49DE4" w14:textId="77777777" w:rsidR="00B351EF" w:rsidRPr="004B47A6" w:rsidRDefault="00B351EF" w:rsidP="009B1BC4">
            <w:pPr>
              <w:rPr>
                <w:sz w:val="20"/>
                <w:szCs w:val="20"/>
              </w:rPr>
            </w:pPr>
            <w:r w:rsidRPr="004B47A6">
              <w:rPr>
                <w:sz w:val="20"/>
                <w:szCs w:val="20"/>
              </w:rPr>
              <w:t xml:space="preserve">≤ 20 </w:t>
            </w:r>
          </w:p>
        </w:tc>
      </w:tr>
      <w:tr w:rsidR="00B351EF" w:rsidRPr="0000395D" w14:paraId="0C8FC6E3" w14:textId="77777777" w:rsidTr="009B1BC4">
        <w:trPr>
          <w:trHeight w:val="357"/>
        </w:trPr>
        <w:tc>
          <w:tcPr>
            <w:tcW w:w="3110" w:type="dxa"/>
          </w:tcPr>
          <w:p w14:paraId="3C1AEEBB" w14:textId="77777777" w:rsidR="00B351EF" w:rsidRPr="004B47A6" w:rsidRDefault="00B351EF" w:rsidP="009B1BC4">
            <w:pPr>
              <w:rPr>
                <w:sz w:val="20"/>
                <w:szCs w:val="20"/>
              </w:rPr>
            </w:pPr>
            <w:r w:rsidRPr="004B47A6">
              <w:rPr>
                <w:sz w:val="20"/>
                <w:szCs w:val="20"/>
              </w:rPr>
              <w:t xml:space="preserve">Primární energie z neobnovitelných zdrojů </w:t>
            </w:r>
          </w:p>
        </w:tc>
        <w:tc>
          <w:tcPr>
            <w:tcW w:w="3110" w:type="dxa"/>
          </w:tcPr>
          <w:p w14:paraId="70454968" w14:textId="77777777" w:rsidR="00B351EF" w:rsidRPr="004B47A6" w:rsidRDefault="00B351EF" w:rsidP="009B1BC4">
            <w:pPr>
              <w:rPr>
                <w:sz w:val="20"/>
                <w:szCs w:val="20"/>
              </w:rPr>
            </w:pPr>
            <w:proofErr w:type="spellStart"/>
            <w:proofErr w:type="gramStart"/>
            <w:r w:rsidRPr="004B47A6">
              <w:rPr>
                <w:sz w:val="20"/>
                <w:szCs w:val="20"/>
              </w:rPr>
              <w:t>EpN,A</w:t>
            </w:r>
            <w:proofErr w:type="spellEnd"/>
            <w:proofErr w:type="gramEnd"/>
            <w:r w:rsidRPr="004B47A6">
              <w:rPr>
                <w:sz w:val="20"/>
                <w:szCs w:val="20"/>
              </w:rPr>
              <w:t xml:space="preserve"> </w:t>
            </w:r>
          </w:p>
          <w:p w14:paraId="2D1E13F1" w14:textId="77777777" w:rsidR="00B351EF" w:rsidRPr="004B47A6" w:rsidRDefault="00B351EF" w:rsidP="009B1BC4">
            <w:pPr>
              <w:rPr>
                <w:sz w:val="20"/>
                <w:szCs w:val="20"/>
              </w:rPr>
            </w:pPr>
            <w:r w:rsidRPr="004B47A6">
              <w:rPr>
                <w:sz w:val="20"/>
                <w:szCs w:val="20"/>
              </w:rPr>
              <w:t>[kWh.m</w:t>
            </w:r>
            <w:r w:rsidRPr="006B323B">
              <w:rPr>
                <w:sz w:val="20"/>
                <w:szCs w:val="20"/>
                <w:vertAlign w:val="superscript"/>
              </w:rPr>
              <w:t>-2</w:t>
            </w:r>
            <w:r w:rsidRPr="004B47A6">
              <w:rPr>
                <w:sz w:val="20"/>
                <w:szCs w:val="20"/>
              </w:rPr>
              <w:t>.rok</w:t>
            </w:r>
            <w:r w:rsidRPr="006B323B">
              <w:rPr>
                <w:sz w:val="20"/>
                <w:szCs w:val="20"/>
                <w:vertAlign w:val="superscript"/>
              </w:rPr>
              <w:t>-1</w:t>
            </w:r>
            <w:r w:rsidRPr="004B47A6">
              <w:rPr>
                <w:sz w:val="20"/>
                <w:szCs w:val="20"/>
              </w:rPr>
              <w:t xml:space="preserve">] </w:t>
            </w:r>
          </w:p>
        </w:tc>
        <w:tc>
          <w:tcPr>
            <w:tcW w:w="3112" w:type="dxa"/>
          </w:tcPr>
          <w:p w14:paraId="75EFD373" w14:textId="77777777" w:rsidR="00B351EF" w:rsidRPr="004B47A6" w:rsidRDefault="00B351EF" w:rsidP="009B1BC4">
            <w:pPr>
              <w:rPr>
                <w:sz w:val="20"/>
                <w:szCs w:val="20"/>
              </w:rPr>
            </w:pPr>
            <w:r w:rsidRPr="004B47A6">
              <w:rPr>
                <w:sz w:val="20"/>
                <w:szCs w:val="20"/>
              </w:rPr>
              <w:t xml:space="preserve">≤ 0 </w:t>
            </w:r>
          </w:p>
        </w:tc>
      </w:tr>
      <w:tr w:rsidR="00B351EF" w:rsidRPr="0000395D" w14:paraId="7564363E" w14:textId="77777777" w:rsidTr="009B1BC4">
        <w:trPr>
          <w:trHeight w:val="323"/>
        </w:trPr>
        <w:tc>
          <w:tcPr>
            <w:tcW w:w="3110" w:type="dxa"/>
          </w:tcPr>
          <w:p w14:paraId="02CD995B" w14:textId="77777777" w:rsidR="00B351EF" w:rsidRPr="004B47A6" w:rsidRDefault="00B351EF" w:rsidP="009B1BC4">
            <w:pPr>
              <w:rPr>
                <w:sz w:val="20"/>
                <w:szCs w:val="20"/>
              </w:rPr>
            </w:pPr>
            <w:r w:rsidRPr="004B47A6">
              <w:rPr>
                <w:sz w:val="20"/>
                <w:szCs w:val="20"/>
              </w:rPr>
              <w:t xml:space="preserve">Výplně otvorů – okna, balkonové dveře, velkorozměrové posuvné výplně </w:t>
            </w:r>
          </w:p>
        </w:tc>
        <w:tc>
          <w:tcPr>
            <w:tcW w:w="3110" w:type="dxa"/>
          </w:tcPr>
          <w:p w14:paraId="2480F5F4" w14:textId="77777777" w:rsidR="00B351EF" w:rsidRPr="004B47A6" w:rsidRDefault="00B351EF" w:rsidP="009B1BC4">
            <w:pPr>
              <w:rPr>
                <w:sz w:val="20"/>
                <w:szCs w:val="20"/>
              </w:rPr>
            </w:pPr>
            <w:r w:rsidRPr="004B47A6">
              <w:rPr>
                <w:sz w:val="20"/>
                <w:szCs w:val="20"/>
              </w:rPr>
              <w:t>U [W.m</w:t>
            </w:r>
            <w:r w:rsidRPr="006B323B">
              <w:rPr>
                <w:sz w:val="20"/>
                <w:szCs w:val="20"/>
                <w:vertAlign w:val="superscript"/>
              </w:rPr>
              <w:t>-2</w:t>
            </w:r>
            <w:r w:rsidRPr="004B47A6">
              <w:rPr>
                <w:sz w:val="20"/>
                <w:szCs w:val="20"/>
              </w:rPr>
              <w:t>.K</w:t>
            </w:r>
            <w:r w:rsidRPr="006B323B">
              <w:rPr>
                <w:sz w:val="20"/>
                <w:szCs w:val="20"/>
                <w:vertAlign w:val="superscript"/>
              </w:rPr>
              <w:t>-1</w:t>
            </w:r>
            <w:r w:rsidRPr="004B47A6">
              <w:rPr>
                <w:sz w:val="20"/>
                <w:szCs w:val="20"/>
              </w:rPr>
              <w:t xml:space="preserve">] </w:t>
            </w:r>
          </w:p>
        </w:tc>
        <w:tc>
          <w:tcPr>
            <w:tcW w:w="3112" w:type="dxa"/>
          </w:tcPr>
          <w:p w14:paraId="02684679" w14:textId="77777777" w:rsidR="00B351EF" w:rsidRPr="004B47A6" w:rsidRDefault="00B351EF" w:rsidP="009B1BC4">
            <w:pPr>
              <w:rPr>
                <w:sz w:val="20"/>
                <w:szCs w:val="20"/>
              </w:rPr>
            </w:pPr>
            <w:proofErr w:type="spellStart"/>
            <w:r w:rsidRPr="004B47A6">
              <w:rPr>
                <w:sz w:val="20"/>
                <w:szCs w:val="20"/>
              </w:rPr>
              <w:t>Uw</w:t>
            </w:r>
            <w:proofErr w:type="spellEnd"/>
            <w:r w:rsidRPr="004B47A6">
              <w:rPr>
                <w:sz w:val="20"/>
                <w:szCs w:val="20"/>
              </w:rPr>
              <w:t xml:space="preserve">≤ 0,9 </w:t>
            </w:r>
          </w:p>
        </w:tc>
      </w:tr>
      <w:tr w:rsidR="00B351EF" w:rsidRPr="0000395D" w14:paraId="79D45AB2" w14:textId="77777777" w:rsidTr="009B1BC4">
        <w:trPr>
          <w:trHeight w:val="322"/>
        </w:trPr>
        <w:tc>
          <w:tcPr>
            <w:tcW w:w="3110" w:type="dxa"/>
          </w:tcPr>
          <w:p w14:paraId="2081E1C3" w14:textId="77777777" w:rsidR="00B351EF" w:rsidRPr="004B47A6" w:rsidRDefault="00B351EF" w:rsidP="009B1BC4">
            <w:pPr>
              <w:rPr>
                <w:sz w:val="20"/>
                <w:szCs w:val="20"/>
              </w:rPr>
            </w:pPr>
            <w:r w:rsidRPr="004B47A6">
              <w:rPr>
                <w:sz w:val="20"/>
                <w:szCs w:val="20"/>
              </w:rPr>
              <w:t xml:space="preserve">Výplně otvorů – střešní okna </w:t>
            </w:r>
          </w:p>
        </w:tc>
        <w:tc>
          <w:tcPr>
            <w:tcW w:w="3110" w:type="dxa"/>
          </w:tcPr>
          <w:p w14:paraId="31BEBC59" w14:textId="77777777" w:rsidR="00B351EF" w:rsidRPr="004B47A6" w:rsidRDefault="00B351EF" w:rsidP="009B1BC4">
            <w:pPr>
              <w:rPr>
                <w:sz w:val="20"/>
                <w:szCs w:val="20"/>
              </w:rPr>
            </w:pPr>
            <w:r w:rsidRPr="004B47A6">
              <w:rPr>
                <w:sz w:val="20"/>
                <w:szCs w:val="20"/>
              </w:rPr>
              <w:t>U [W.m</w:t>
            </w:r>
            <w:r w:rsidRPr="006B323B">
              <w:rPr>
                <w:sz w:val="20"/>
                <w:szCs w:val="20"/>
                <w:vertAlign w:val="superscript"/>
              </w:rPr>
              <w:t>-2</w:t>
            </w:r>
            <w:r w:rsidRPr="004B47A6">
              <w:rPr>
                <w:sz w:val="20"/>
                <w:szCs w:val="20"/>
              </w:rPr>
              <w:t>.K</w:t>
            </w:r>
            <w:r w:rsidRPr="006B323B">
              <w:rPr>
                <w:sz w:val="20"/>
                <w:szCs w:val="20"/>
                <w:vertAlign w:val="superscript"/>
              </w:rPr>
              <w:t>-1</w:t>
            </w:r>
            <w:r w:rsidRPr="004B47A6">
              <w:rPr>
                <w:sz w:val="20"/>
                <w:szCs w:val="20"/>
              </w:rPr>
              <w:t xml:space="preserve">] </w:t>
            </w:r>
          </w:p>
        </w:tc>
        <w:tc>
          <w:tcPr>
            <w:tcW w:w="3112" w:type="dxa"/>
          </w:tcPr>
          <w:p w14:paraId="7D4C793F" w14:textId="77777777" w:rsidR="00B351EF" w:rsidRPr="004B47A6" w:rsidRDefault="00B351EF" w:rsidP="009B1BC4">
            <w:pPr>
              <w:rPr>
                <w:sz w:val="20"/>
                <w:szCs w:val="20"/>
              </w:rPr>
            </w:pPr>
            <w:proofErr w:type="spellStart"/>
            <w:r w:rsidRPr="004B47A6">
              <w:rPr>
                <w:sz w:val="20"/>
                <w:szCs w:val="20"/>
              </w:rPr>
              <w:t>Uw</w:t>
            </w:r>
            <w:proofErr w:type="spellEnd"/>
            <w:r w:rsidRPr="004B47A6">
              <w:rPr>
                <w:sz w:val="20"/>
                <w:szCs w:val="20"/>
              </w:rPr>
              <w:t xml:space="preserve">≤ 1,0 </w:t>
            </w:r>
          </w:p>
        </w:tc>
      </w:tr>
      <w:tr w:rsidR="00B351EF" w:rsidRPr="0000395D" w14:paraId="0441C2A3" w14:textId="77777777" w:rsidTr="009B1BC4">
        <w:trPr>
          <w:trHeight w:val="323"/>
        </w:trPr>
        <w:tc>
          <w:tcPr>
            <w:tcW w:w="3110" w:type="dxa"/>
          </w:tcPr>
          <w:p w14:paraId="62A865C2" w14:textId="77777777" w:rsidR="00B351EF" w:rsidRPr="004B47A6" w:rsidRDefault="00B351EF" w:rsidP="009B1BC4">
            <w:pPr>
              <w:rPr>
                <w:sz w:val="20"/>
                <w:szCs w:val="20"/>
              </w:rPr>
            </w:pPr>
            <w:r w:rsidRPr="004B47A6">
              <w:rPr>
                <w:sz w:val="20"/>
                <w:szCs w:val="20"/>
              </w:rPr>
              <w:t xml:space="preserve">Výplně otvorů – vchodové dveře </w:t>
            </w:r>
          </w:p>
        </w:tc>
        <w:tc>
          <w:tcPr>
            <w:tcW w:w="3110" w:type="dxa"/>
          </w:tcPr>
          <w:p w14:paraId="7154B07F" w14:textId="77777777" w:rsidR="00B351EF" w:rsidRPr="004B47A6" w:rsidRDefault="00B351EF" w:rsidP="009B1BC4">
            <w:pPr>
              <w:rPr>
                <w:sz w:val="20"/>
                <w:szCs w:val="20"/>
              </w:rPr>
            </w:pPr>
            <w:r w:rsidRPr="004B47A6">
              <w:rPr>
                <w:sz w:val="20"/>
                <w:szCs w:val="20"/>
              </w:rPr>
              <w:t>U [W.m</w:t>
            </w:r>
            <w:r w:rsidRPr="006B323B">
              <w:rPr>
                <w:sz w:val="20"/>
                <w:szCs w:val="20"/>
                <w:vertAlign w:val="superscript"/>
              </w:rPr>
              <w:t>-2</w:t>
            </w:r>
            <w:r w:rsidRPr="004B47A6">
              <w:rPr>
                <w:sz w:val="20"/>
                <w:szCs w:val="20"/>
              </w:rPr>
              <w:t>.K</w:t>
            </w:r>
            <w:r w:rsidRPr="006B323B">
              <w:rPr>
                <w:sz w:val="20"/>
                <w:szCs w:val="20"/>
                <w:vertAlign w:val="superscript"/>
              </w:rPr>
              <w:t>-1</w:t>
            </w:r>
            <w:r w:rsidRPr="004B47A6">
              <w:rPr>
                <w:sz w:val="20"/>
                <w:szCs w:val="20"/>
              </w:rPr>
              <w:t xml:space="preserve">] </w:t>
            </w:r>
          </w:p>
        </w:tc>
        <w:tc>
          <w:tcPr>
            <w:tcW w:w="3112" w:type="dxa"/>
          </w:tcPr>
          <w:p w14:paraId="5903DCFD" w14:textId="77777777" w:rsidR="00B351EF" w:rsidRPr="004B47A6" w:rsidRDefault="00B351EF" w:rsidP="009B1BC4">
            <w:pPr>
              <w:rPr>
                <w:sz w:val="20"/>
                <w:szCs w:val="20"/>
              </w:rPr>
            </w:pPr>
            <w:proofErr w:type="spellStart"/>
            <w:r w:rsidRPr="004B47A6">
              <w:rPr>
                <w:sz w:val="20"/>
                <w:szCs w:val="20"/>
              </w:rPr>
              <w:t>Ud</w:t>
            </w:r>
            <w:proofErr w:type="spellEnd"/>
            <w:r w:rsidRPr="004B47A6">
              <w:rPr>
                <w:sz w:val="20"/>
                <w:szCs w:val="20"/>
              </w:rPr>
              <w:t xml:space="preserve">≤ 1,2 </w:t>
            </w:r>
          </w:p>
        </w:tc>
      </w:tr>
      <w:tr w:rsidR="00B351EF" w:rsidRPr="0000395D" w14:paraId="65FF0B6F" w14:textId="77777777" w:rsidTr="009B1BC4">
        <w:trPr>
          <w:trHeight w:val="323"/>
        </w:trPr>
        <w:tc>
          <w:tcPr>
            <w:tcW w:w="3110" w:type="dxa"/>
          </w:tcPr>
          <w:p w14:paraId="69D489D4" w14:textId="77777777" w:rsidR="00B351EF" w:rsidRPr="0000395D" w:rsidRDefault="00B351EF" w:rsidP="009B1BC4">
            <w:pPr>
              <w:rPr>
                <w:i/>
                <w:iCs/>
              </w:rPr>
            </w:pPr>
            <w:r>
              <w:rPr>
                <w:sz w:val="20"/>
                <w:szCs w:val="20"/>
              </w:rPr>
              <w:t xml:space="preserve">Průměrný součinitel prostupu tepla obálkou budovy </w:t>
            </w:r>
          </w:p>
        </w:tc>
        <w:tc>
          <w:tcPr>
            <w:tcW w:w="3110" w:type="dxa"/>
          </w:tcPr>
          <w:p w14:paraId="19B88713" w14:textId="77777777" w:rsidR="00B351EF" w:rsidRPr="0000395D" w:rsidRDefault="00B351EF" w:rsidP="009B1BC4">
            <w:pPr>
              <w:rPr>
                <w:i/>
                <w:iCs/>
              </w:rPr>
            </w:pPr>
            <w:r>
              <w:rPr>
                <w:sz w:val="20"/>
                <w:szCs w:val="20"/>
              </w:rPr>
              <w:t xml:space="preserve">Klasifikační třída** </w:t>
            </w:r>
          </w:p>
        </w:tc>
        <w:tc>
          <w:tcPr>
            <w:tcW w:w="3112" w:type="dxa"/>
          </w:tcPr>
          <w:p w14:paraId="57229D72" w14:textId="77777777" w:rsidR="00B351EF" w:rsidRPr="0000395D" w:rsidRDefault="00B351EF" w:rsidP="009B1BC4">
            <w:pPr>
              <w:rPr>
                <w:i/>
                <w:iCs/>
              </w:rPr>
            </w:pPr>
            <w:r>
              <w:rPr>
                <w:sz w:val="20"/>
                <w:szCs w:val="20"/>
              </w:rPr>
              <w:t xml:space="preserve">A </w:t>
            </w:r>
          </w:p>
        </w:tc>
      </w:tr>
      <w:tr w:rsidR="00B351EF" w:rsidRPr="0000395D" w14:paraId="5CD6813A" w14:textId="77777777" w:rsidTr="009B1BC4">
        <w:trPr>
          <w:trHeight w:val="323"/>
        </w:trPr>
        <w:tc>
          <w:tcPr>
            <w:tcW w:w="3110" w:type="dxa"/>
          </w:tcPr>
          <w:p w14:paraId="0466862F" w14:textId="77777777" w:rsidR="00B351EF" w:rsidRPr="0000395D" w:rsidRDefault="00B351EF" w:rsidP="009B1BC4">
            <w:pPr>
              <w:rPr>
                <w:i/>
                <w:iCs/>
              </w:rPr>
            </w:pPr>
            <w:r>
              <w:rPr>
                <w:sz w:val="20"/>
                <w:szCs w:val="20"/>
              </w:rPr>
              <w:t xml:space="preserve">Průvzdušnost obálky budovy po dokončení stavby </w:t>
            </w:r>
          </w:p>
        </w:tc>
        <w:tc>
          <w:tcPr>
            <w:tcW w:w="3110" w:type="dxa"/>
          </w:tcPr>
          <w:p w14:paraId="6C3658EB" w14:textId="77777777" w:rsidR="00B351EF" w:rsidRPr="0000395D" w:rsidRDefault="00B351EF" w:rsidP="009B1BC4">
            <w:pPr>
              <w:rPr>
                <w:i/>
                <w:iCs/>
              </w:rPr>
            </w:pPr>
            <w:r>
              <w:rPr>
                <w:sz w:val="20"/>
                <w:szCs w:val="20"/>
              </w:rPr>
              <w:t>n</w:t>
            </w:r>
            <w:r>
              <w:rPr>
                <w:sz w:val="13"/>
                <w:szCs w:val="13"/>
              </w:rPr>
              <w:t xml:space="preserve">50 </w:t>
            </w:r>
            <w:r>
              <w:rPr>
                <w:sz w:val="20"/>
                <w:szCs w:val="20"/>
              </w:rPr>
              <w:t>[1.h</w:t>
            </w:r>
            <w:r w:rsidRPr="006B323B">
              <w:rPr>
                <w:sz w:val="13"/>
                <w:szCs w:val="13"/>
                <w:vertAlign w:val="superscript"/>
              </w:rPr>
              <w:t>-1</w:t>
            </w:r>
            <w:r>
              <w:rPr>
                <w:sz w:val="20"/>
                <w:szCs w:val="20"/>
              </w:rPr>
              <w:t xml:space="preserve">] </w:t>
            </w:r>
          </w:p>
        </w:tc>
        <w:tc>
          <w:tcPr>
            <w:tcW w:w="3112" w:type="dxa"/>
          </w:tcPr>
          <w:p w14:paraId="7BFE10C6" w14:textId="77777777" w:rsidR="00B351EF" w:rsidRPr="0000395D" w:rsidRDefault="00B351EF" w:rsidP="009B1BC4">
            <w:pPr>
              <w:rPr>
                <w:i/>
                <w:iCs/>
              </w:rPr>
            </w:pPr>
            <w:r>
              <w:rPr>
                <w:sz w:val="20"/>
                <w:szCs w:val="20"/>
              </w:rPr>
              <w:t xml:space="preserve">≤ 0,6 </w:t>
            </w:r>
          </w:p>
        </w:tc>
      </w:tr>
      <w:tr w:rsidR="00B351EF" w:rsidRPr="0000395D" w14:paraId="42A6D9C0" w14:textId="77777777" w:rsidTr="009B1BC4">
        <w:trPr>
          <w:trHeight w:val="323"/>
        </w:trPr>
        <w:tc>
          <w:tcPr>
            <w:tcW w:w="3110" w:type="dxa"/>
          </w:tcPr>
          <w:p w14:paraId="2C286D4E" w14:textId="77777777" w:rsidR="00B351EF" w:rsidRPr="0000395D" w:rsidRDefault="00B351EF" w:rsidP="009B1BC4">
            <w:pPr>
              <w:rPr>
                <w:i/>
                <w:iCs/>
              </w:rPr>
            </w:pPr>
            <w:r>
              <w:rPr>
                <w:sz w:val="20"/>
                <w:szCs w:val="20"/>
              </w:rPr>
              <w:t>Nejvyšší denní teplota vzduchu v místnosti v letním období</w:t>
            </w:r>
            <w:r>
              <w:rPr>
                <w:rStyle w:val="Znakapoznpodarou"/>
                <w:sz w:val="20"/>
                <w:szCs w:val="20"/>
              </w:rPr>
              <w:footnoteReference w:id="102"/>
            </w:r>
            <w:r>
              <w:rPr>
                <w:sz w:val="13"/>
                <w:szCs w:val="13"/>
              </w:rPr>
              <w:t xml:space="preserve"> </w:t>
            </w:r>
          </w:p>
        </w:tc>
        <w:tc>
          <w:tcPr>
            <w:tcW w:w="3110" w:type="dxa"/>
          </w:tcPr>
          <w:p w14:paraId="25F61E02" w14:textId="77777777" w:rsidR="00B351EF" w:rsidRPr="0000395D" w:rsidRDefault="00B351EF" w:rsidP="009B1BC4">
            <w:pPr>
              <w:rPr>
                <w:i/>
                <w:iCs/>
              </w:rPr>
            </w:pPr>
            <w:proofErr w:type="spellStart"/>
            <w:r>
              <w:rPr>
                <w:sz w:val="20"/>
                <w:szCs w:val="20"/>
              </w:rPr>
              <w:t>θ</w:t>
            </w:r>
            <w:proofErr w:type="gramStart"/>
            <w:r>
              <w:rPr>
                <w:sz w:val="13"/>
                <w:szCs w:val="13"/>
              </w:rPr>
              <w:t>ai,max</w:t>
            </w:r>
            <w:proofErr w:type="spellEnd"/>
            <w:proofErr w:type="gramEnd"/>
            <w:r>
              <w:rPr>
                <w:sz w:val="13"/>
                <w:szCs w:val="13"/>
              </w:rPr>
              <w:t xml:space="preserve"> </w:t>
            </w:r>
            <w:r>
              <w:rPr>
                <w:sz w:val="20"/>
                <w:szCs w:val="20"/>
              </w:rPr>
              <w:t xml:space="preserve">[°C] </w:t>
            </w:r>
          </w:p>
        </w:tc>
        <w:tc>
          <w:tcPr>
            <w:tcW w:w="3112" w:type="dxa"/>
          </w:tcPr>
          <w:p w14:paraId="6DE9EFF1" w14:textId="77777777" w:rsidR="00B351EF" w:rsidRPr="0000395D" w:rsidRDefault="00B351EF" w:rsidP="009B1BC4">
            <w:pPr>
              <w:rPr>
                <w:i/>
                <w:iCs/>
              </w:rPr>
            </w:pPr>
            <w:r>
              <w:rPr>
                <w:sz w:val="20"/>
                <w:szCs w:val="20"/>
              </w:rPr>
              <w:t xml:space="preserve">≤ 27 °C </w:t>
            </w:r>
          </w:p>
        </w:tc>
      </w:tr>
      <w:tr w:rsidR="00B351EF" w:rsidRPr="0000395D" w14:paraId="533A3CFB" w14:textId="77777777" w:rsidTr="009B1BC4">
        <w:trPr>
          <w:trHeight w:val="323"/>
        </w:trPr>
        <w:tc>
          <w:tcPr>
            <w:tcW w:w="3110" w:type="dxa"/>
          </w:tcPr>
          <w:p w14:paraId="15FC757E" w14:textId="77777777" w:rsidR="00B351EF" w:rsidRPr="0000395D" w:rsidRDefault="00B351EF" w:rsidP="009B1BC4">
            <w:pPr>
              <w:rPr>
                <w:i/>
                <w:iCs/>
              </w:rPr>
            </w:pPr>
            <w:r>
              <w:rPr>
                <w:sz w:val="20"/>
                <w:szCs w:val="20"/>
              </w:rPr>
              <w:t>Povinná instalace systému řízeného větrání se zpětným získáváním tepla</w:t>
            </w:r>
            <w:r>
              <w:rPr>
                <w:rStyle w:val="Znakapoznpodarou"/>
                <w:sz w:val="20"/>
                <w:szCs w:val="20"/>
              </w:rPr>
              <w:footnoteReference w:id="103"/>
            </w:r>
          </w:p>
        </w:tc>
        <w:tc>
          <w:tcPr>
            <w:tcW w:w="3110" w:type="dxa"/>
          </w:tcPr>
          <w:p w14:paraId="113414FB" w14:textId="77777777" w:rsidR="00B351EF" w:rsidRPr="0000395D" w:rsidRDefault="00B351EF" w:rsidP="009B1BC4">
            <w:pPr>
              <w:rPr>
                <w:i/>
                <w:iCs/>
              </w:rPr>
            </w:pPr>
            <w:r>
              <w:rPr>
                <w:sz w:val="20"/>
                <w:szCs w:val="20"/>
              </w:rPr>
              <w:t xml:space="preserve">[–] </w:t>
            </w:r>
          </w:p>
        </w:tc>
        <w:tc>
          <w:tcPr>
            <w:tcW w:w="3112" w:type="dxa"/>
          </w:tcPr>
          <w:p w14:paraId="16158920" w14:textId="77777777" w:rsidR="00B351EF" w:rsidRPr="0000395D" w:rsidRDefault="00B351EF" w:rsidP="009B1BC4">
            <w:pPr>
              <w:rPr>
                <w:i/>
                <w:iCs/>
              </w:rPr>
            </w:pPr>
            <w:r>
              <w:rPr>
                <w:sz w:val="20"/>
                <w:szCs w:val="20"/>
              </w:rPr>
              <w:t xml:space="preserve">Ano </w:t>
            </w:r>
          </w:p>
        </w:tc>
      </w:tr>
      <w:tr w:rsidR="00B351EF" w:rsidRPr="0000395D" w14:paraId="1BA11CFF" w14:textId="77777777" w:rsidTr="009B1BC4">
        <w:trPr>
          <w:trHeight w:val="323"/>
        </w:trPr>
        <w:tc>
          <w:tcPr>
            <w:tcW w:w="9332" w:type="dxa"/>
            <w:gridSpan w:val="3"/>
          </w:tcPr>
          <w:p w14:paraId="7C425766" w14:textId="77777777" w:rsidR="00B351EF" w:rsidRDefault="00B351EF" w:rsidP="009B1BC4">
            <w:pPr>
              <w:pStyle w:val="Default"/>
              <w:rPr>
                <w:sz w:val="18"/>
                <w:szCs w:val="18"/>
              </w:rPr>
            </w:pPr>
            <w:r>
              <w:rPr>
                <w:b/>
                <w:bCs/>
                <w:i/>
                <w:iCs/>
                <w:sz w:val="18"/>
                <w:szCs w:val="18"/>
              </w:rPr>
              <w:t>**</w:t>
            </w:r>
            <w:r>
              <w:rPr>
                <w:i/>
                <w:iCs/>
                <w:sz w:val="18"/>
                <w:szCs w:val="18"/>
              </w:rPr>
              <w:t xml:space="preserve">Klasifikační třída průměrného součinitele prostupu tepla stanovená dle </w:t>
            </w:r>
            <w:proofErr w:type="spellStart"/>
            <w:r>
              <w:rPr>
                <w:i/>
                <w:iCs/>
                <w:sz w:val="18"/>
                <w:szCs w:val="18"/>
              </w:rPr>
              <w:t>vyhl</w:t>
            </w:r>
            <w:proofErr w:type="spellEnd"/>
            <w:r>
              <w:rPr>
                <w:i/>
                <w:iCs/>
                <w:sz w:val="18"/>
                <w:szCs w:val="18"/>
              </w:rPr>
              <w:t xml:space="preserve">. 264/2020 Sb. o energetické náročnosti budov. </w:t>
            </w:r>
          </w:p>
          <w:p w14:paraId="181FEBAD" w14:textId="77777777" w:rsidR="00B351EF" w:rsidRPr="0000395D" w:rsidRDefault="00B351EF" w:rsidP="009B1BC4">
            <w:pPr>
              <w:rPr>
                <w:i/>
                <w:iCs/>
              </w:rPr>
            </w:pPr>
            <w:r>
              <w:rPr>
                <w:i/>
                <w:iCs/>
                <w:sz w:val="18"/>
                <w:szCs w:val="18"/>
              </w:rPr>
              <w:t xml:space="preserve">Splnění podmínky </w:t>
            </w:r>
            <w:r>
              <w:rPr>
                <w:b/>
                <w:bCs/>
                <w:i/>
                <w:iCs/>
                <w:sz w:val="18"/>
                <w:szCs w:val="18"/>
              </w:rPr>
              <w:t xml:space="preserve">součinitele prostupu tepla pro výplně otvorů </w:t>
            </w:r>
            <w:r>
              <w:rPr>
                <w:i/>
                <w:iCs/>
                <w:sz w:val="18"/>
                <w:szCs w:val="18"/>
              </w:rPr>
              <w:t xml:space="preserve">se posuzuje pro standardizované rozměry dle </w:t>
            </w:r>
            <w:proofErr w:type="spellStart"/>
            <w:r>
              <w:rPr>
                <w:i/>
                <w:iCs/>
                <w:sz w:val="18"/>
                <w:szCs w:val="18"/>
              </w:rPr>
              <w:t>vyhl</w:t>
            </w:r>
            <w:proofErr w:type="spellEnd"/>
            <w:r>
              <w:rPr>
                <w:i/>
                <w:iCs/>
                <w:sz w:val="18"/>
                <w:szCs w:val="18"/>
              </w:rPr>
              <w:t xml:space="preserve">. č. 264/2020 Sb., o energetické náročnosti budov, příloha 5, část C, odst. 3, písm. b). </w:t>
            </w:r>
          </w:p>
        </w:tc>
      </w:tr>
    </w:tbl>
    <w:p w14:paraId="0EE2319D" w14:textId="77777777" w:rsidR="00B351EF" w:rsidRPr="0000395D" w:rsidRDefault="00B351EF" w:rsidP="00B351EF">
      <w:pPr>
        <w:rPr>
          <w:i/>
          <w:iCs/>
        </w:rPr>
      </w:pPr>
    </w:p>
    <w:p w14:paraId="169618BF" w14:textId="77777777" w:rsidR="00B351EF" w:rsidRPr="007F0B7C" w:rsidRDefault="00B351EF" w:rsidP="00EA4CB0">
      <w:pPr>
        <w:pStyle w:val="Nadpis4"/>
      </w:pPr>
      <w:r>
        <w:t xml:space="preserve">Parametry energetické účinnosti pro bytové </w:t>
      </w:r>
      <w:r w:rsidRPr="007F0B7C">
        <w:t>domy</w:t>
      </w:r>
    </w:p>
    <w:tbl>
      <w:tblPr>
        <w:tblStyle w:val="Mkatabulky"/>
        <w:tblW w:w="9332" w:type="dxa"/>
        <w:tblLayout w:type="fixed"/>
        <w:tblLook w:val="0000" w:firstRow="0" w:lastRow="0" w:firstColumn="0" w:lastColumn="0" w:noHBand="0" w:noVBand="0"/>
      </w:tblPr>
      <w:tblGrid>
        <w:gridCol w:w="3110"/>
        <w:gridCol w:w="3110"/>
        <w:gridCol w:w="3112"/>
      </w:tblGrid>
      <w:tr w:rsidR="00B351EF" w:rsidRPr="0000395D" w14:paraId="5C37A484" w14:textId="77777777" w:rsidTr="009B1BC4">
        <w:trPr>
          <w:trHeight w:val="455"/>
        </w:trPr>
        <w:tc>
          <w:tcPr>
            <w:tcW w:w="3110" w:type="dxa"/>
          </w:tcPr>
          <w:p w14:paraId="17402085" w14:textId="77777777" w:rsidR="00B351EF" w:rsidRPr="0000395D" w:rsidRDefault="00B351EF" w:rsidP="009B1BC4">
            <w:pPr>
              <w:rPr>
                <w:i/>
                <w:iCs/>
              </w:rPr>
            </w:pPr>
            <w:r w:rsidRPr="0000395D">
              <w:rPr>
                <w:b/>
                <w:bCs/>
                <w:i/>
                <w:iCs/>
              </w:rPr>
              <w:t xml:space="preserve">Sledovaný parametr </w:t>
            </w:r>
          </w:p>
        </w:tc>
        <w:tc>
          <w:tcPr>
            <w:tcW w:w="3110" w:type="dxa"/>
          </w:tcPr>
          <w:p w14:paraId="122C4C96" w14:textId="77777777" w:rsidR="00B351EF" w:rsidRPr="0000395D" w:rsidRDefault="00B351EF" w:rsidP="009B1BC4">
            <w:pPr>
              <w:rPr>
                <w:i/>
                <w:iCs/>
              </w:rPr>
            </w:pPr>
            <w:r w:rsidRPr="0000395D">
              <w:rPr>
                <w:b/>
                <w:bCs/>
                <w:i/>
                <w:iCs/>
              </w:rPr>
              <w:t xml:space="preserve">Označení [jednotky] </w:t>
            </w:r>
          </w:p>
        </w:tc>
        <w:tc>
          <w:tcPr>
            <w:tcW w:w="3112" w:type="dxa"/>
          </w:tcPr>
          <w:p w14:paraId="4882C7CB" w14:textId="77777777" w:rsidR="00B351EF" w:rsidRPr="0000395D" w:rsidRDefault="00B351EF" w:rsidP="009B1BC4">
            <w:pPr>
              <w:rPr>
                <w:i/>
                <w:iCs/>
              </w:rPr>
            </w:pPr>
            <w:r w:rsidRPr="0000395D">
              <w:rPr>
                <w:b/>
                <w:bCs/>
                <w:i/>
                <w:iCs/>
              </w:rPr>
              <w:t xml:space="preserve">Podporované opatření </w:t>
            </w:r>
          </w:p>
        </w:tc>
      </w:tr>
      <w:tr w:rsidR="00B351EF" w:rsidRPr="0000395D" w14:paraId="15BD7B51" w14:textId="77777777" w:rsidTr="009B1BC4">
        <w:trPr>
          <w:trHeight w:val="323"/>
        </w:trPr>
        <w:tc>
          <w:tcPr>
            <w:tcW w:w="3110" w:type="dxa"/>
          </w:tcPr>
          <w:p w14:paraId="5DAF39C3" w14:textId="77777777" w:rsidR="00B351EF" w:rsidRPr="0000395D" w:rsidRDefault="00B351EF" w:rsidP="009B1BC4">
            <w:pPr>
              <w:rPr>
                <w:i/>
                <w:iCs/>
              </w:rPr>
            </w:pPr>
            <w:r>
              <w:rPr>
                <w:sz w:val="20"/>
                <w:szCs w:val="20"/>
              </w:rPr>
              <w:t xml:space="preserve">Měrná roční potřeba tepla na vytápění </w:t>
            </w:r>
          </w:p>
        </w:tc>
        <w:tc>
          <w:tcPr>
            <w:tcW w:w="3110" w:type="dxa"/>
          </w:tcPr>
          <w:p w14:paraId="2647D791" w14:textId="77777777" w:rsidR="00B351EF" w:rsidRPr="0000395D" w:rsidRDefault="00B351EF" w:rsidP="009B1BC4">
            <w:pPr>
              <w:rPr>
                <w:i/>
                <w:iCs/>
              </w:rPr>
            </w:pPr>
            <w:r>
              <w:rPr>
                <w:sz w:val="20"/>
                <w:szCs w:val="20"/>
              </w:rPr>
              <w:t>E</w:t>
            </w:r>
            <w:r>
              <w:rPr>
                <w:sz w:val="13"/>
                <w:szCs w:val="13"/>
              </w:rPr>
              <w:t xml:space="preserve">A </w:t>
            </w:r>
            <w:r>
              <w:rPr>
                <w:sz w:val="20"/>
                <w:szCs w:val="20"/>
              </w:rPr>
              <w:t>[kWh.m</w:t>
            </w:r>
            <w:r w:rsidRPr="000E085A">
              <w:rPr>
                <w:sz w:val="20"/>
                <w:szCs w:val="20"/>
                <w:vertAlign w:val="superscript"/>
              </w:rPr>
              <w:t>-2</w:t>
            </w:r>
            <w:r>
              <w:rPr>
                <w:sz w:val="20"/>
                <w:szCs w:val="20"/>
              </w:rPr>
              <w:t>.rok</w:t>
            </w:r>
            <w:r w:rsidRPr="000E085A">
              <w:rPr>
                <w:sz w:val="20"/>
                <w:szCs w:val="20"/>
                <w:vertAlign w:val="superscript"/>
              </w:rPr>
              <w:t>-1</w:t>
            </w:r>
            <w:r>
              <w:rPr>
                <w:sz w:val="20"/>
                <w:szCs w:val="20"/>
              </w:rPr>
              <w:t xml:space="preserve">] </w:t>
            </w:r>
          </w:p>
        </w:tc>
        <w:tc>
          <w:tcPr>
            <w:tcW w:w="3112" w:type="dxa"/>
          </w:tcPr>
          <w:p w14:paraId="2D259478" w14:textId="77777777" w:rsidR="00B351EF" w:rsidRPr="0000395D" w:rsidRDefault="00B351EF" w:rsidP="009B1BC4">
            <w:pPr>
              <w:rPr>
                <w:i/>
                <w:iCs/>
              </w:rPr>
            </w:pPr>
            <w:r>
              <w:rPr>
                <w:sz w:val="20"/>
                <w:szCs w:val="20"/>
              </w:rPr>
              <w:t xml:space="preserve">≤15 </w:t>
            </w:r>
          </w:p>
        </w:tc>
      </w:tr>
      <w:tr w:rsidR="00F010A1" w:rsidRPr="0000395D" w14:paraId="0DA808FC" w14:textId="77777777" w:rsidTr="009B1BC4">
        <w:trPr>
          <w:trHeight w:val="357"/>
        </w:trPr>
        <w:tc>
          <w:tcPr>
            <w:tcW w:w="3110" w:type="dxa"/>
          </w:tcPr>
          <w:p w14:paraId="21307CFD" w14:textId="162980ED" w:rsidR="00F010A1" w:rsidRPr="0000395D" w:rsidRDefault="00F010A1" w:rsidP="00F010A1">
            <w:pPr>
              <w:rPr>
                <w:i/>
                <w:iCs/>
              </w:rPr>
            </w:pPr>
            <w:r w:rsidRPr="006E6229">
              <w:rPr>
                <w:sz w:val="20"/>
                <w:szCs w:val="20"/>
              </w:rPr>
              <w:lastRenderedPageBreak/>
              <w:t>Primární energie z neobnovitelných zdrojů energie</w:t>
            </w:r>
            <w:r>
              <w:rPr>
                <w:sz w:val="20"/>
                <w:szCs w:val="20"/>
              </w:rPr>
              <w:t xml:space="preserve"> </w:t>
            </w:r>
          </w:p>
        </w:tc>
        <w:tc>
          <w:tcPr>
            <w:tcW w:w="3110" w:type="dxa"/>
          </w:tcPr>
          <w:p w14:paraId="5C37AFFA" w14:textId="7F918C54" w:rsidR="00F010A1" w:rsidRPr="0000395D" w:rsidRDefault="00F010A1" w:rsidP="00F010A1">
            <w:pPr>
              <w:rPr>
                <w:i/>
                <w:iCs/>
              </w:rPr>
            </w:pPr>
            <w:r>
              <w:rPr>
                <w:sz w:val="20"/>
                <w:szCs w:val="20"/>
              </w:rPr>
              <w:t>Klasifikační třída</w:t>
            </w:r>
            <w:r>
              <w:rPr>
                <w:rStyle w:val="Znakapoznpodarou"/>
                <w:sz w:val="20"/>
                <w:szCs w:val="20"/>
              </w:rPr>
              <w:footnoteReference w:id="104"/>
            </w:r>
          </w:p>
        </w:tc>
        <w:tc>
          <w:tcPr>
            <w:tcW w:w="3112" w:type="dxa"/>
          </w:tcPr>
          <w:p w14:paraId="5F670141" w14:textId="0DC18108" w:rsidR="00F010A1" w:rsidRPr="0000395D" w:rsidRDefault="00F010A1" w:rsidP="00F010A1">
            <w:pPr>
              <w:rPr>
                <w:i/>
                <w:iCs/>
              </w:rPr>
            </w:pPr>
            <w:r>
              <w:rPr>
                <w:sz w:val="20"/>
                <w:szCs w:val="20"/>
              </w:rPr>
              <w:t xml:space="preserve">A </w:t>
            </w:r>
          </w:p>
        </w:tc>
      </w:tr>
      <w:tr w:rsidR="00B351EF" w:rsidRPr="0000395D" w14:paraId="1A742783" w14:textId="77777777" w:rsidTr="009B1BC4">
        <w:trPr>
          <w:trHeight w:val="323"/>
        </w:trPr>
        <w:tc>
          <w:tcPr>
            <w:tcW w:w="3110" w:type="dxa"/>
          </w:tcPr>
          <w:p w14:paraId="026D7462" w14:textId="77777777" w:rsidR="00B351EF" w:rsidRPr="0000395D" w:rsidRDefault="00B351EF" w:rsidP="009B1BC4">
            <w:pPr>
              <w:rPr>
                <w:i/>
                <w:iCs/>
              </w:rPr>
            </w:pPr>
            <w:r>
              <w:rPr>
                <w:sz w:val="20"/>
                <w:szCs w:val="20"/>
              </w:rPr>
              <w:t>Součinitel prostupu tepla výplní otvorů na obálce budovy</w:t>
            </w:r>
            <w:r>
              <w:rPr>
                <w:rStyle w:val="Znakapoznpodarou"/>
                <w:sz w:val="20"/>
                <w:szCs w:val="20"/>
              </w:rPr>
              <w:footnoteReference w:id="105"/>
            </w:r>
          </w:p>
        </w:tc>
        <w:tc>
          <w:tcPr>
            <w:tcW w:w="3110" w:type="dxa"/>
          </w:tcPr>
          <w:p w14:paraId="3C1675FF" w14:textId="77777777" w:rsidR="00B351EF" w:rsidRPr="0000395D" w:rsidRDefault="00B351EF" w:rsidP="009B1BC4">
            <w:pPr>
              <w:rPr>
                <w:i/>
                <w:iCs/>
              </w:rPr>
            </w:pPr>
            <w:r>
              <w:rPr>
                <w:sz w:val="20"/>
                <w:szCs w:val="20"/>
              </w:rPr>
              <w:t>U [W.m</w:t>
            </w:r>
            <w:r w:rsidRPr="000E085A">
              <w:rPr>
                <w:sz w:val="20"/>
                <w:szCs w:val="20"/>
                <w:vertAlign w:val="superscript"/>
              </w:rPr>
              <w:t>-2</w:t>
            </w:r>
            <w:r>
              <w:rPr>
                <w:sz w:val="20"/>
                <w:szCs w:val="20"/>
              </w:rPr>
              <w:t>.K</w:t>
            </w:r>
            <w:r w:rsidRPr="000E085A">
              <w:rPr>
                <w:sz w:val="20"/>
                <w:szCs w:val="20"/>
                <w:vertAlign w:val="superscript"/>
              </w:rPr>
              <w:t>-1</w:t>
            </w:r>
            <w:r>
              <w:rPr>
                <w:sz w:val="20"/>
                <w:szCs w:val="20"/>
              </w:rPr>
              <w:t xml:space="preserve">] </w:t>
            </w:r>
          </w:p>
        </w:tc>
        <w:tc>
          <w:tcPr>
            <w:tcW w:w="3112" w:type="dxa"/>
          </w:tcPr>
          <w:p w14:paraId="44B9796D" w14:textId="77777777" w:rsidR="00B351EF" w:rsidRPr="0000395D" w:rsidRDefault="00B351EF" w:rsidP="009B1BC4">
            <w:pPr>
              <w:rPr>
                <w:i/>
                <w:iCs/>
              </w:rPr>
            </w:pPr>
            <w:r>
              <w:rPr>
                <w:sz w:val="20"/>
                <w:szCs w:val="20"/>
              </w:rPr>
              <w:t xml:space="preserve">≤ 0,6 * </w:t>
            </w:r>
            <w:proofErr w:type="spellStart"/>
            <w:proofErr w:type="gramStart"/>
            <w:r>
              <w:rPr>
                <w:sz w:val="20"/>
                <w:szCs w:val="20"/>
              </w:rPr>
              <w:t>U</w:t>
            </w:r>
            <w:r>
              <w:rPr>
                <w:sz w:val="13"/>
                <w:szCs w:val="13"/>
              </w:rPr>
              <w:t>R,j</w:t>
            </w:r>
            <w:proofErr w:type="spellEnd"/>
            <w:proofErr w:type="gramEnd"/>
            <w:r>
              <w:rPr>
                <w:sz w:val="13"/>
                <w:szCs w:val="13"/>
              </w:rPr>
              <w:t xml:space="preserve"> </w:t>
            </w:r>
            <w:r>
              <w:rPr>
                <w:sz w:val="20"/>
                <w:szCs w:val="20"/>
              </w:rPr>
              <w:t xml:space="preserve">/ </w:t>
            </w:r>
            <w:proofErr w:type="spellStart"/>
            <w:r>
              <w:rPr>
                <w:sz w:val="20"/>
                <w:szCs w:val="20"/>
              </w:rPr>
              <w:t>f</w:t>
            </w:r>
            <w:r>
              <w:rPr>
                <w:sz w:val="13"/>
                <w:szCs w:val="13"/>
              </w:rPr>
              <w:t>R</w:t>
            </w:r>
            <w:proofErr w:type="spellEnd"/>
            <w:r>
              <w:rPr>
                <w:sz w:val="13"/>
                <w:szCs w:val="13"/>
              </w:rPr>
              <w:t xml:space="preserve"> </w:t>
            </w:r>
          </w:p>
        </w:tc>
      </w:tr>
      <w:tr w:rsidR="00B351EF" w:rsidRPr="0000395D" w14:paraId="49975C01" w14:textId="77777777" w:rsidTr="009B1BC4">
        <w:trPr>
          <w:trHeight w:val="322"/>
        </w:trPr>
        <w:tc>
          <w:tcPr>
            <w:tcW w:w="3110" w:type="dxa"/>
          </w:tcPr>
          <w:p w14:paraId="751C890E" w14:textId="77777777" w:rsidR="00B351EF" w:rsidRPr="0000395D" w:rsidRDefault="00B351EF" w:rsidP="009B1BC4">
            <w:pPr>
              <w:rPr>
                <w:i/>
                <w:iCs/>
              </w:rPr>
            </w:pPr>
            <w:r>
              <w:rPr>
                <w:sz w:val="20"/>
                <w:szCs w:val="20"/>
              </w:rPr>
              <w:t xml:space="preserve">Průměrný součinitel prostupu tepla obálkou budovy </w:t>
            </w:r>
          </w:p>
        </w:tc>
        <w:tc>
          <w:tcPr>
            <w:tcW w:w="3110" w:type="dxa"/>
          </w:tcPr>
          <w:p w14:paraId="62C2CE54" w14:textId="77777777" w:rsidR="00B351EF" w:rsidRPr="0000395D" w:rsidRDefault="00B351EF" w:rsidP="009B1BC4">
            <w:pPr>
              <w:rPr>
                <w:i/>
                <w:iCs/>
              </w:rPr>
            </w:pPr>
            <w:r>
              <w:rPr>
                <w:sz w:val="20"/>
                <w:szCs w:val="20"/>
              </w:rPr>
              <w:t>Klasifikační třída</w:t>
            </w:r>
            <w:r>
              <w:rPr>
                <w:rStyle w:val="Znakapoznpodarou"/>
                <w:sz w:val="20"/>
                <w:szCs w:val="20"/>
              </w:rPr>
              <w:footnoteReference w:id="106"/>
            </w:r>
          </w:p>
        </w:tc>
        <w:tc>
          <w:tcPr>
            <w:tcW w:w="3112" w:type="dxa"/>
          </w:tcPr>
          <w:p w14:paraId="66724A40" w14:textId="77777777" w:rsidR="00B351EF" w:rsidRPr="0000395D" w:rsidRDefault="00B351EF" w:rsidP="009B1BC4">
            <w:pPr>
              <w:rPr>
                <w:i/>
                <w:iCs/>
              </w:rPr>
            </w:pPr>
            <w:r>
              <w:rPr>
                <w:sz w:val="20"/>
                <w:szCs w:val="20"/>
              </w:rPr>
              <w:t xml:space="preserve">B </w:t>
            </w:r>
          </w:p>
        </w:tc>
      </w:tr>
      <w:tr w:rsidR="00B351EF" w:rsidRPr="0000395D" w14:paraId="42718263" w14:textId="77777777" w:rsidTr="009B1BC4">
        <w:trPr>
          <w:trHeight w:val="323"/>
        </w:trPr>
        <w:tc>
          <w:tcPr>
            <w:tcW w:w="3110" w:type="dxa"/>
          </w:tcPr>
          <w:p w14:paraId="4EB17BA3" w14:textId="77777777" w:rsidR="00B351EF" w:rsidRPr="0000395D" w:rsidRDefault="00B351EF" w:rsidP="009B1BC4">
            <w:pPr>
              <w:rPr>
                <w:i/>
                <w:iCs/>
              </w:rPr>
            </w:pPr>
            <w:r>
              <w:rPr>
                <w:sz w:val="20"/>
                <w:szCs w:val="20"/>
              </w:rPr>
              <w:t xml:space="preserve">Průvzdušnost obálky budovy po dokončení stavby </w:t>
            </w:r>
          </w:p>
        </w:tc>
        <w:tc>
          <w:tcPr>
            <w:tcW w:w="3110" w:type="dxa"/>
          </w:tcPr>
          <w:p w14:paraId="09E0FDED" w14:textId="77777777" w:rsidR="00B351EF" w:rsidRPr="0000395D" w:rsidRDefault="00B351EF" w:rsidP="009B1BC4">
            <w:pPr>
              <w:rPr>
                <w:i/>
                <w:iCs/>
              </w:rPr>
            </w:pPr>
            <w:r>
              <w:rPr>
                <w:sz w:val="20"/>
                <w:szCs w:val="20"/>
              </w:rPr>
              <w:t>n</w:t>
            </w:r>
            <w:r w:rsidRPr="006B323B">
              <w:rPr>
                <w:sz w:val="20"/>
                <w:szCs w:val="20"/>
                <w:vertAlign w:val="subscript"/>
              </w:rPr>
              <w:t>50</w:t>
            </w:r>
            <w:r>
              <w:rPr>
                <w:sz w:val="20"/>
                <w:szCs w:val="20"/>
              </w:rPr>
              <w:t xml:space="preserve"> [1.h</w:t>
            </w:r>
            <w:r w:rsidRPr="000E085A">
              <w:rPr>
                <w:sz w:val="20"/>
                <w:szCs w:val="20"/>
                <w:vertAlign w:val="superscript"/>
              </w:rPr>
              <w:t>-1</w:t>
            </w:r>
            <w:r>
              <w:rPr>
                <w:sz w:val="20"/>
                <w:szCs w:val="20"/>
              </w:rPr>
              <w:t xml:space="preserve">] </w:t>
            </w:r>
          </w:p>
        </w:tc>
        <w:tc>
          <w:tcPr>
            <w:tcW w:w="3112" w:type="dxa"/>
          </w:tcPr>
          <w:p w14:paraId="177A1B2E" w14:textId="77777777" w:rsidR="00B351EF" w:rsidRPr="0000395D" w:rsidRDefault="00B351EF" w:rsidP="009B1BC4">
            <w:pPr>
              <w:rPr>
                <w:i/>
                <w:iCs/>
              </w:rPr>
            </w:pPr>
            <w:r>
              <w:rPr>
                <w:sz w:val="20"/>
                <w:szCs w:val="20"/>
              </w:rPr>
              <w:t xml:space="preserve">dle ČSN 730540-2 pro pasivní budovy </w:t>
            </w:r>
          </w:p>
        </w:tc>
      </w:tr>
      <w:tr w:rsidR="00B351EF" w:rsidRPr="0000395D" w14:paraId="637F3FD4" w14:textId="77777777" w:rsidTr="009B1BC4">
        <w:trPr>
          <w:trHeight w:val="323"/>
        </w:trPr>
        <w:tc>
          <w:tcPr>
            <w:tcW w:w="3110" w:type="dxa"/>
          </w:tcPr>
          <w:p w14:paraId="17A3DF2B" w14:textId="77777777" w:rsidR="00B351EF" w:rsidRPr="0000395D" w:rsidRDefault="00B351EF" w:rsidP="009B1BC4">
            <w:pPr>
              <w:rPr>
                <w:i/>
                <w:iCs/>
              </w:rPr>
            </w:pPr>
            <w:r>
              <w:rPr>
                <w:sz w:val="20"/>
                <w:szCs w:val="20"/>
              </w:rPr>
              <w:t>Nejvyšší denní teplota vzduchu v místnosti v letním období</w:t>
            </w:r>
            <w:r>
              <w:rPr>
                <w:rStyle w:val="Znakapoznpodarou"/>
                <w:sz w:val="20"/>
                <w:szCs w:val="20"/>
              </w:rPr>
              <w:footnoteReference w:id="107"/>
            </w:r>
          </w:p>
        </w:tc>
        <w:tc>
          <w:tcPr>
            <w:tcW w:w="3110" w:type="dxa"/>
          </w:tcPr>
          <w:p w14:paraId="04B527E0" w14:textId="77777777" w:rsidR="00B351EF" w:rsidRPr="0000395D" w:rsidRDefault="00B351EF" w:rsidP="009B1BC4">
            <w:pPr>
              <w:rPr>
                <w:i/>
                <w:iCs/>
              </w:rPr>
            </w:pPr>
            <w:proofErr w:type="spellStart"/>
            <w:r>
              <w:rPr>
                <w:sz w:val="20"/>
                <w:szCs w:val="20"/>
              </w:rPr>
              <w:t>θ</w:t>
            </w:r>
            <w:proofErr w:type="gramStart"/>
            <w:r>
              <w:rPr>
                <w:sz w:val="13"/>
                <w:szCs w:val="13"/>
              </w:rPr>
              <w:t>ai,max</w:t>
            </w:r>
            <w:proofErr w:type="spellEnd"/>
            <w:proofErr w:type="gramEnd"/>
            <w:r>
              <w:rPr>
                <w:sz w:val="13"/>
                <w:szCs w:val="13"/>
              </w:rPr>
              <w:t xml:space="preserve"> </w:t>
            </w:r>
            <w:r>
              <w:rPr>
                <w:sz w:val="20"/>
                <w:szCs w:val="20"/>
              </w:rPr>
              <w:t xml:space="preserve">[°C] </w:t>
            </w:r>
          </w:p>
        </w:tc>
        <w:tc>
          <w:tcPr>
            <w:tcW w:w="3112" w:type="dxa"/>
          </w:tcPr>
          <w:p w14:paraId="34C77925" w14:textId="77777777" w:rsidR="00B351EF" w:rsidRPr="0000395D" w:rsidRDefault="00B351EF" w:rsidP="009B1BC4">
            <w:pPr>
              <w:rPr>
                <w:i/>
                <w:iCs/>
              </w:rPr>
            </w:pPr>
            <w:r>
              <w:rPr>
                <w:sz w:val="20"/>
                <w:szCs w:val="20"/>
              </w:rPr>
              <w:t xml:space="preserve">≤ 27 °C </w:t>
            </w:r>
          </w:p>
        </w:tc>
      </w:tr>
      <w:tr w:rsidR="00B351EF" w:rsidRPr="0000395D" w14:paraId="21D7023A" w14:textId="77777777" w:rsidTr="009B1BC4">
        <w:trPr>
          <w:trHeight w:val="323"/>
        </w:trPr>
        <w:tc>
          <w:tcPr>
            <w:tcW w:w="3110" w:type="dxa"/>
          </w:tcPr>
          <w:p w14:paraId="23C09B7B" w14:textId="77777777" w:rsidR="00B351EF" w:rsidRPr="0000395D" w:rsidRDefault="00B351EF" w:rsidP="009B1BC4">
            <w:pPr>
              <w:rPr>
                <w:i/>
                <w:iCs/>
              </w:rPr>
            </w:pPr>
            <w:r>
              <w:rPr>
                <w:sz w:val="20"/>
                <w:szCs w:val="20"/>
              </w:rPr>
              <w:t>Povinná instalace systému řízeného větrání se zpětným získáváním tepla</w:t>
            </w:r>
            <w:r>
              <w:rPr>
                <w:rStyle w:val="Znakapoznpodarou"/>
                <w:sz w:val="20"/>
                <w:szCs w:val="20"/>
              </w:rPr>
              <w:footnoteReference w:id="108"/>
            </w:r>
            <w:r>
              <w:rPr>
                <w:sz w:val="20"/>
                <w:szCs w:val="20"/>
              </w:rPr>
              <w:t xml:space="preserve"> </w:t>
            </w:r>
            <w:r>
              <w:rPr>
                <w:rStyle w:val="Znakapoznpodarou"/>
                <w:sz w:val="20"/>
                <w:szCs w:val="20"/>
              </w:rPr>
              <w:footnoteReference w:id="109"/>
            </w:r>
          </w:p>
        </w:tc>
        <w:tc>
          <w:tcPr>
            <w:tcW w:w="3110" w:type="dxa"/>
          </w:tcPr>
          <w:p w14:paraId="2F199401" w14:textId="77777777" w:rsidR="00B351EF" w:rsidRPr="0000395D" w:rsidRDefault="00B351EF" w:rsidP="009B1BC4">
            <w:pPr>
              <w:rPr>
                <w:i/>
                <w:iCs/>
              </w:rPr>
            </w:pPr>
            <w:r>
              <w:rPr>
                <w:sz w:val="20"/>
                <w:szCs w:val="20"/>
              </w:rPr>
              <w:t xml:space="preserve">[–] </w:t>
            </w:r>
          </w:p>
        </w:tc>
        <w:tc>
          <w:tcPr>
            <w:tcW w:w="3112" w:type="dxa"/>
          </w:tcPr>
          <w:p w14:paraId="034FA76F" w14:textId="77777777" w:rsidR="00B351EF" w:rsidRPr="0000395D" w:rsidRDefault="00B351EF" w:rsidP="009B1BC4">
            <w:pPr>
              <w:rPr>
                <w:i/>
                <w:iCs/>
              </w:rPr>
            </w:pPr>
            <w:r>
              <w:rPr>
                <w:sz w:val="20"/>
                <w:szCs w:val="20"/>
              </w:rPr>
              <w:t xml:space="preserve">Ano </w:t>
            </w:r>
          </w:p>
        </w:tc>
      </w:tr>
      <w:tr w:rsidR="00B351EF" w:rsidRPr="0000395D" w14:paraId="7F13D3C0" w14:textId="77777777" w:rsidTr="009B1BC4">
        <w:trPr>
          <w:trHeight w:val="323"/>
        </w:trPr>
        <w:tc>
          <w:tcPr>
            <w:tcW w:w="9332" w:type="dxa"/>
            <w:gridSpan w:val="3"/>
          </w:tcPr>
          <w:p w14:paraId="507D27B0" w14:textId="77777777" w:rsidR="00B351EF" w:rsidRDefault="00B351EF" w:rsidP="009B1BC4">
            <w:pPr>
              <w:pStyle w:val="Default"/>
              <w:rPr>
                <w:sz w:val="18"/>
                <w:szCs w:val="18"/>
              </w:rPr>
            </w:pPr>
            <w:proofErr w:type="spellStart"/>
            <w:proofErr w:type="gramStart"/>
            <w:r>
              <w:rPr>
                <w:b/>
                <w:bCs/>
                <w:sz w:val="18"/>
                <w:szCs w:val="18"/>
              </w:rPr>
              <w:t>U</w:t>
            </w:r>
            <w:r>
              <w:rPr>
                <w:b/>
                <w:bCs/>
                <w:sz w:val="12"/>
                <w:szCs w:val="12"/>
              </w:rPr>
              <w:t>R,j</w:t>
            </w:r>
            <w:proofErr w:type="spellEnd"/>
            <w:proofErr w:type="gramEnd"/>
            <w:r>
              <w:rPr>
                <w:b/>
                <w:bCs/>
                <w:sz w:val="12"/>
                <w:szCs w:val="12"/>
              </w:rPr>
              <w:t xml:space="preserve"> </w:t>
            </w:r>
            <w:r>
              <w:rPr>
                <w:i/>
                <w:iCs/>
                <w:sz w:val="18"/>
                <w:szCs w:val="18"/>
              </w:rPr>
              <w:t xml:space="preserve">- je Referenční hodnota součinitele prostupu tepla j-té teplosměnné konstrukce obálky budovy stanovená dle Přílohy č.1 odst. 6 vyhlášky č. 264/2020 sb. </w:t>
            </w:r>
          </w:p>
          <w:p w14:paraId="6C6879C1" w14:textId="77777777" w:rsidR="00B351EF" w:rsidRPr="0000395D" w:rsidRDefault="00B351EF" w:rsidP="009B1BC4">
            <w:pPr>
              <w:rPr>
                <w:i/>
                <w:iCs/>
              </w:rPr>
            </w:pPr>
          </w:p>
        </w:tc>
      </w:tr>
    </w:tbl>
    <w:p w14:paraId="36AF69A8" w14:textId="77777777" w:rsidR="00B351EF" w:rsidRDefault="00B351EF" w:rsidP="00B351EF"/>
    <w:p w14:paraId="19463072" w14:textId="2392DF72" w:rsidR="005B1F7F" w:rsidRDefault="005B1F7F" w:rsidP="00D77C59">
      <w:pPr>
        <w:pStyle w:val="Nadpis4"/>
      </w:pPr>
      <w:r>
        <w:t>Parametry energetické účinnosti pro veřejné budovy</w:t>
      </w:r>
    </w:p>
    <w:p w14:paraId="031C191D" w14:textId="537FD5F7" w:rsidR="00CE0C84" w:rsidRPr="0024485B" w:rsidRDefault="00CE0C84" w:rsidP="00AF460E">
      <w:pPr>
        <w:pStyle w:val="Odrkybod"/>
        <w:keepNext/>
        <w:spacing w:before="0" w:after="0" w:line="240" w:lineRule="auto"/>
        <w:rPr>
          <w:rFonts w:ascii="Segoe UI" w:hAnsi="Segoe UI" w:cs="Segoe UI"/>
          <w:sz w:val="22"/>
        </w:rPr>
      </w:pPr>
      <w:r w:rsidRPr="0024485B">
        <w:rPr>
          <w:rFonts w:ascii="Segoe UI" w:eastAsiaTheme="minorHAnsi" w:hAnsi="Segoe UI" w:cs="Segoe UI"/>
          <w:sz w:val="22"/>
        </w:rPr>
        <w:t xml:space="preserve">Nová plusová (nulová) budova bude dosahovat následující hodnoty energetických ukazatelů: </w:t>
      </w:r>
    </w:p>
    <w:tbl>
      <w:tblPr>
        <w:tblpPr w:leftFromText="141" w:rightFromText="141" w:vertAnchor="text" w:horzAnchor="margin" w:tblpY="188"/>
        <w:tblW w:w="90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6792"/>
        <w:gridCol w:w="2280"/>
      </w:tblGrid>
      <w:tr w:rsidR="00CE0C84" w:rsidRPr="0024485B" w14:paraId="2E18B84B" w14:textId="77777777" w:rsidTr="009B1BC4">
        <w:trPr>
          <w:trHeight w:val="406"/>
        </w:trPr>
        <w:tc>
          <w:tcPr>
            <w:tcW w:w="7073" w:type="dxa"/>
            <w:shd w:val="clear" w:color="auto" w:fill="B4C6E7"/>
            <w:vAlign w:val="center"/>
          </w:tcPr>
          <w:p w14:paraId="67FC1A1E" w14:textId="77777777" w:rsidR="00CE0C84" w:rsidRPr="0024485B" w:rsidRDefault="00CE0C84" w:rsidP="009B1BC4">
            <w:pPr>
              <w:keepNext/>
              <w:spacing w:after="0"/>
              <w:rPr>
                <w:rFonts w:cs="Segoe UI"/>
                <w:b/>
                <w:color w:val="000000"/>
                <w:sz w:val="20"/>
                <w:szCs w:val="20"/>
              </w:rPr>
            </w:pPr>
            <w:r w:rsidRPr="0024485B">
              <w:rPr>
                <w:rFonts w:cs="Segoe UI"/>
                <w:b/>
                <w:color w:val="000000" w:themeColor="text1"/>
                <w:sz w:val="20"/>
                <w:szCs w:val="20"/>
              </w:rPr>
              <w:t>Sledovaný ukazatel</w:t>
            </w:r>
          </w:p>
        </w:tc>
        <w:tc>
          <w:tcPr>
            <w:tcW w:w="2337" w:type="dxa"/>
            <w:shd w:val="clear" w:color="auto" w:fill="B4C6E7"/>
            <w:vAlign w:val="center"/>
          </w:tcPr>
          <w:p w14:paraId="4D82CDA9" w14:textId="77777777" w:rsidR="00CE0C84" w:rsidRPr="0024485B" w:rsidRDefault="00CE0C84" w:rsidP="009B1BC4">
            <w:pPr>
              <w:keepNext/>
              <w:spacing w:after="0"/>
              <w:jc w:val="center"/>
              <w:rPr>
                <w:rFonts w:cs="Segoe UI"/>
                <w:b/>
                <w:color w:val="000000"/>
                <w:sz w:val="20"/>
                <w:szCs w:val="20"/>
              </w:rPr>
            </w:pPr>
            <w:r w:rsidRPr="0024485B">
              <w:rPr>
                <w:rFonts w:cs="Segoe UI"/>
                <w:b/>
                <w:color w:val="000000" w:themeColor="text1"/>
                <w:sz w:val="20"/>
                <w:szCs w:val="20"/>
              </w:rPr>
              <w:t>Požadovaná hodnota</w:t>
            </w:r>
          </w:p>
        </w:tc>
      </w:tr>
      <w:tr w:rsidR="00CE0C84" w:rsidRPr="0024485B" w14:paraId="6CD2DBA3" w14:textId="77777777" w:rsidTr="009B1BC4">
        <w:trPr>
          <w:trHeight w:val="406"/>
        </w:trPr>
        <w:tc>
          <w:tcPr>
            <w:tcW w:w="7073" w:type="dxa"/>
            <w:shd w:val="clear" w:color="auto" w:fill="B4C6E7"/>
            <w:vAlign w:val="center"/>
          </w:tcPr>
          <w:p w14:paraId="0562DE4E" w14:textId="77777777" w:rsidR="00CE0C84" w:rsidRPr="0024485B" w:rsidRDefault="00CE0C84" w:rsidP="009B1BC4">
            <w:pPr>
              <w:spacing w:after="0" w:line="240" w:lineRule="auto"/>
              <w:rPr>
                <w:rFonts w:cs="Segoe UI"/>
                <w:b/>
                <w:color w:val="000000"/>
                <w:sz w:val="20"/>
                <w:szCs w:val="20"/>
              </w:rPr>
            </w:pPr>
            <w:r w:rsidRPr="0024485B">
              <w:rPr>
                <w:rFonts w:cs="Segoe UI"/>
                <w:b/>
                <w:color w:val="000000"/>
                <w:sz w:val="20"/>
                <w:szCs w:val="20"/>
              </w:rPr>
              <w:t>Průvzdušnost obálky budovy při tlakovém rozdílu 50 Pa</w:t>
            </w:r>
          </w:p>
        </w:tc>
        <w:tc>
          <w:tcPr>
            <w:tcW w:w="2337" w:type="dxa"/>
            <w:vAlign w:val="center"/>
          </w:tcPr>
          <w:p w14:paraId="3CF70DA2" w14:textId="77777777" w:rsidR="00CE0C84" w:rsidRPr="0024485B" w:rsidRDefault="00CE0C84" w:rsidP="009B1BC4">
            <w:pPr>
              <w:spacing w:after="0" w:line="240" w:lineRule="auto"/>
              <w:jc w:val="center"/>
              <w:rPr>
                <w:rFonts w:cs="Segoe UI"/>
                <w:color w:val="000000"/>
                <w:sz w:val="20"/>
                <w:szCs w:val="20"/>
              </w:rPr>
            </w:pPr>
            <w:r w:rsidRPr="0024485B">
              <w:rPr>
                <w:rFonts w:cs="Segoe UI"/>
                <w:sz w:val="20"/>
                <w:szCs w:val="20"/>
              </w:rPr>
              <w:t>n</w:t>
            </w:r>
            <w:r w:rsidRPr="0024485B">
              <w:rPr>
                <w:rFonts w:cs="Segoe UI"/>
                <w:sz w:val="20"/>
                <w:szCs w:val="20"/>
                <w:vertAlign w:val="subscript"/>
              </w:rPr>
              <w:t>50</w:t>
            </w:r>
            <w:r w:rsidRPr="0024485B">
              <w:rPr>
                <w:rFonts w:cs="Segoe UI"/>
                <w:sz w:val="20"/>
                <w:szCs w:val="20"/>
              </w:rPr>
              <w:t xml:space="preserve"> ≤ 0,6.h</w:t>
            </w:r>
            <w:r w:rsidRPr="0024485B">
              <w:rPr>
                <w:rFonts w:cs="Segoe UI"/>
                <w:sz w:val="20"/>
                <w:szCs w:val="20"/>
                <w:vertAlign w:val="superscript"/>
              </w:rPr>
              <w:t>-1</w:t>
            </w:r>
          </w:p>
        </w:tc>
      </w:tr>
      <w:tr w:rsidR="00CE0C84" w:rsidRPr="0024485B" w14:paraId="3F00E968" w14:textId="77777777" w:rsidTr="009B1BC4">
        <w:trPr>
          <w:trHeight w:val="406"/>
        </w:trPr>
        <w:tc>
          <w:tcPr>
            <w:tcW w:w="7073" w:type="dxa"/>
            <w:shd w:val="clear" w:color="auto" w:fill="B4C6E7"/>
            <w:vAlign w:val="center"/>
          </w:tcPr>
          <w:p w14:paraId="7040E99C" w14:textId="77777777" w:rsidR="00CE0C84" w:rsidRPr="0024485B" w:rsidRDefault="00CE0C84" w:rsidP="009B1BC4">
            <w:pPr>
              <w:spacing w:after="0" w:line="240" w:lineRule="auto"/>
              <w:rPr>
                <w:rFonts w:cs="Segoe UI"/>
                <w:b/>
                <w:color w:val="000000"/>
                <w:sz w:val="20"/>
                <w:szCs w:val="20"/>
              </w:rPr>
            </w:pPr>
            <w:r w:rsidRPr="0024485B">
              <w:rPr>
                <w:rFonts w:cs="Segoe UI"/>
                <w:b/>
                <w:sz w:val="20"/>
                <w:szCs w:val="20"/>
              </w:rPr>
              <w:t>Průměrný součinitel prostupu tepla</w:t>
            </w:r>
          </w:p>
        </w:tc>
        <w:tc>
          <w:tcPr>
            <w:tcW w:w="2337" w:type="dxa"/>
            <w:vAlign w:val="center"/>
          </w:tcPr>
          <w:p w14:paraId="054EE702" w14:textId="77777777" w:rsidR="00CE0C84" w:rsidRPr="0024485B" w:rsidRDefault="00CE0C84" w:rsidP="009B1BC4">
            <w:pPr>
              <w:spacing w:after="0" w:line="240" w:lineRule="auto"/>
              <w:jc w:val="center"/>
              <w:rPr>
                <w:rFonts w:cs="Segoe UI"/>
                <w:color w:val="000000"/>
                <w:sz w:val="20"/>
                <w:szCs w:val="20"/>
              </w:rPr>
            </w:pPr>
            <w:proofErr w:type="spellStart"/>
            <w:r w:rsidRPr="0024485B">
              <w:rPr>
                <w:rFonts w:cs="Segoe UI"/>
                <w:sz w:val="20"/>
                <w:szCs w:val="20"/>
              </w:rPr>
              <w:t>U</w:t>
            </w:r>
            <w:r w:rsidRPr="0024485B">
              <w:rPr>
                <w:rFonts w:cs="Segoe UI"/>
                <w:sz w:val="20"/>
                <w:szCs w:val="20"/>
                <w:vertAlign w:val="subscript"/>
              </w:rPr>
              <w:t>em</w:t>
            </w:r>
            <w:proofErr w:type="spellEnd"/>
            <w:r w:rsidRPr="0024485B">
              <w:rPr>
                <w:rFonts w:cs="Segoe UI"/>
                <w:sz w:val="20"/>
                <w:szCs w:val="20"/>
              </w:rPr>
              <w:t xml:space="preserve"> ≤ 0,35 W.m</w:t>
            </w:r>
            <w:r w:rsidRPr="0024485B">
              <w:rPr>
                <w:rFonts w:cs="Segoe UI"/>
                <w:sz w:val="20"/>
                <w:szCs w:val="20"/>
                <w:vertAlign w:val="superscript"/>
              </w:rPr>
              <w:t>-2</w:t>
            </w:r>
            <w:r w:rsidRPr="0024485B">
              <w:rPr>
                <w:rFonts w:cs="Segoe UI"/>
                <w:sz w:val="20"/>
                <w:szCs w:val="20"/>
              </w:rPr>
              <w:t>K</w:t>
            </w:r>
            <w:r w:rsidRPr="0024485B">
              <w:rPr>
                <w:rFonts w:cs="Segoe UI"/>
                <w:sz w:val="20"/>
                <w:szCs w:val="20"/>
                <w:vertAlign w:val="superscript"/>
              </w:rPr>
              <w:t>-1</w:t>
            </w:r>
          </w:p>
        </w:tc>
      </w:tr>
      <w:tr w:rsidR="00CE0C84" w:rsidRPr="0024485B" w14:paraId="45A6EEC0" w14:textId="77777777" w:rsidTr="009B1BC4">
        <w:trPr>
          <w:trHeight w:val="406"/>
        </w:trPr>
        <w:tc>
          <w:tcPr>
            <w:tcW w:w="7073" w:type="dxa"/>
            <w:shd w:val="clear" w:color="auto" w:fill="B4C6E7"/>
            <w:vAlign w:val="center"/>
          </w:tcPr>
          <w:p w14:paraId="2106FEAB" w14:textId="77777777" w:rsidR="00CE0C84" w:rsidRPr="0024485B" w:rsidRDefault="00CE0C84" w:rsidP="009B1BC4">
            <w:pPr>
              <w:spacing w:after="0" w:line="240" w:lineRule="auto"/>
              <w:rPr>
                <w:rFonts w:cs="Segoe UI"/>
                <w:b/>
                <w:color w:val="000000"/>
                <w:sz w:val="20"/>
                <w:szCs w:val="20"/>
              </w:rPr>
            </w:pPr>
            <w:r w:rsidRPr="0024485B">
              <w:rPr>
                <w:rFonts w:cs="Segoe UI"/>
                <w:b/>
                <w:sz w:val="20"/>
                <w:szCs w:val="20"/>
              </w:rPr>
              <w:t>Měrná potřeba tepla na vytápění – průměrná výška budovy ≤ 4 m *</w:t>
            </w:r>
          </w:p>
        </w:tc>
        <w:tc>
          <w:tcPr>
            <w:tcW w:w="2337" w:type="dxa"/>
            <w:vAlign w:val="center"/>
          </w:tcPr>
          <w:p w14:paraId="2464AF54" w14:textId="77777777" w:rsidR="00CE0C84" w:rsidRPr="0024485B" w:rsidRDefault="00CE0C84" w:rsidP="009B1BC4">
            <w:pPr>
              <w:spacing w:after="0" w:line="240" w:lineRule="auto"/>
              <w:jc w:val="center"/>
              <w:rPr>
                <w:rFonts w:cs="Segoe UI"/>
                <w:color w:val="000000"/>
                <w:sz w:val="20"/>
                <w:szCs w:val="20"/>
              </w:rPr>
            </w:pPr>
            <w:r w:rsidRPr="0024485B">
              <w:rPr>
                <w:rFonts w:cs="Segoe UI"/>
                <w:sz w:val="20"/>
                <w:szCs w:val="20"/>
              </w:rPr>
              <w:t>≤ 15 kWh.m</w:t>
            </w:r>
            <w:r w:rsidRPr="0024485B">
              <w:rPr>
                <w:rFonts w:cs="Segoe UI"/>
                <w:sz w:val="20"/>
                <w:szCs w:val="20"/>
                <w:vertAlign w:val="superscript"/>
              </w:rPr>
              <w:t>-2</w:t>
            </w:r>
            <w:r w:rsidRPr="0024485B">
              <w:rPr>
                <w:rFonts w:cs="Segoe UI"/>
                <w:sz w:val="20"/>
                <w:szCs w:val="20"/>
              </w:rPr>
              <w:t>a</w:t>
            </w:r>
            <w:r w:rsidRPr="0024485B">
              <w:rPr>
                <w:rFonts w:cs="Segoe UI"/>
                <w:sz w:val="20"/>
                <w:szCs w:val="20"/>
                <w:vertAlign w:val="superscript"/>
              </w:rPr>
              <w:t>-1</w:t>
            </w:r>
          </w:p>
        </w:tc>
      </w:tr>
      <w:tr w:rsidR="00CE0C84" w:rsidRPr="0024485B" w14:paraId="2A163C9E" w14:textId="77777777" w:rsidTr="009B1BC4">
        <w:trPr>
          <w:trHeight w:val="406"/>
        </w:trPr>
        <w:tc>
          <w:tcPr>
            <w:tcW w:w="7073" w:type="dxa"/>
            <w:shd w:val="clear" w:color="auto" w:fill="B4C6E7"/>
            <w:vAlign w:val="center"/>
          </w:tcPr>
          <w:p w14:paraId="30220F4C" w14:textId="77777777" w:rsidR="00CE0C84" w:rsidRPr="0024485B" w:rsidRDefault="00CE0C84" w:rsidP="009B1BC4">
            <w:pPr>
              <w:spacing w:after="0" w:line="240" w:lineRule="auto"/>
              <w:rPr>
                <w:rFonts w:cs="Segoe UI"/>
                <w:b/>
                <w:sz w:val="20"/>
                <w:szCs w:val="20"/>
              </w:rPr>
            </w:pPr>
            <w:r w:rsidRPr="0024485B">
              <w:rPr>
                <w:rFonts w:cs="Segoe UI"/>
                <w:b/>
                <w:sz w:val="20"/>
                <w:szCs w:val="20"/>
              </w:rPr>
              <w:t>Měrná potřeba tepla na vytápění – průměrná výška budovy ≥ 8 m *</w:t>
            </w:r>
          </w:p>
        </w:tc>
        <w:tc>
          <w:tcPr>
            <w:tcW w:w="2337" w:type="dxa"/>
            <w:vAlign w:val="center"/>
          </w:tcPr>
          <w:p w14:paraId="25B19E65" w14:textId="77777777" w:rsidR="00CE0C84" w:rsidRPr="0024485B" w:rsidRDefault="00CE0C84" w:rsidP="009B1BC4">
            <w:pPr>
              <w:spacing w:after="0" w:line="240" w:lineRule="auto"/>
              <w:jc w:val="center"/>
              <w:rPr>
                <w:rFonts w:cs="Segoe UI"/>
                <w:sz w:val="20"/>
                <w:szCs w:val="20"/>
              </w:rPr>
            </w:pPr>
            <w:r w:rsidRPr="0024485B">
              <w:rPr>
                <w:rFonts w:cs="Segoe UI"/>
                <w:sz w:val="20"/>
                <w:szCs w:val="20"/>
              </w:rPr>
              <w:t>≤ 20 kWh.m</w:t>
            </w:r>
            <w:r w:rsidRPr="0024485B">
              <w:rPr>
                <w:rFonts w:cs="Segoe UI"/>
                <w:sz w:val="20"/>
                <w:szCs w:val="20"/>
                <w:vertAlign w:val="superscript"/>
              </w:rPr>
              <w:t>-2</w:t>
            </w:r>
            <w:r w:rsidRPr="0024485B">
              <w:rPr>
                <w:rFonts w:cs="Segoe UI"/>
                <w:sz w:val="20"/>
                <w:szCs w:val="20"/>
              </w:rPr>
              <w:t>a</w:t>
            </w:r>
            <w:r w:rsidRPr="0024485B">
              <w:rPr>
                <w:rFonts w:cs="Segoe UI"/>
                <w:sz w:val="20"/>
                <w:szCs w:val="20"/>
                <w:vertAlign w:val="superscript"/>
              </w:rPr>
              <w:t>-1</w:t>
            </w:r>
          </w:p>
        </w:tc>
      </w:tr>
      <w:tr w:rsidR="00CE0C84" w:rsidRPr="0024485B" w14:paraId="36D8E1A8" w14:textId="77777777" w:rsidTr="009B1BC4">
        <w:trPr>
          <w:trHeight w:val="406"/>
        </w:trPr>
        <w:tc>
          <w:tcPr>
            <w:tcW w:w="7073" w:type="dxa"/>
            <w:shd w:val="clear" w:color="auto" w:fill="B4C6E7"/>
            <w:vAlign w:val="center"/>
          </w:tcPr>
          <w:p w14:paraId="32204E85" w14:textId="77777777" w:rsidR="00CE0C84" w:rsidRPr="0024485B" w:rsidRDefault="00CE0C84" w:rsidP="009B1BC4">
            <w:pPr>
              <w:spacing w:after="0" w:line="240" w:lineRule="auto"/>
              <w:rPr>
                <w:rFonts w:cs="Segoe UI"/>
                <w:b/>
                <w:color w:val="000000"/>
                <w:sz w:val="20"/>
                <w:szCs w:val="20"/>
              </w:rPr>
            </w:pPr>
            <w:r w:rsidRPr="0024485B">
              <w:rPr>
                <w:rFonts w:cs="Segoe UI"/>
                <w:b/>
                <w:sz w:val="20"/>
                <w:szCs w:val="20"/>
              </w:rPr>
              <w:t>Měrná potřeba tepla na chlazení</w:t>
            </w:r>
          </w:p>
        </w:tc>
        <w:tc>
          <w:tcPr>
            <w:tcW w:w="2337" w:type="dxa"/>
            <w:vAlign w:val="center"/>
          </w:tcPr>
          <w:p w14:paraId="1C7104FB" w14:textId="77777777" w:rsidR="00CE0C84" w:rsidRPr="0024485B" w:rsidRDefault="00CE0C84" w:rsidP="009B1BC4">
            <w:pPr>
              <w:spacing w:after="0" w:line="240" w:lineRule="auto"/>
              <w:jc w:val="center"/>
              <w:rPr>
                <w:rFonts w:cs="Segoe UI"/>
                <w:sz w:val="20"/>
                <w:szCs w:val="20"/>
              </w:rPr>
            </w:pPr>
            <w:r w:rsidRPr="0024485B">
              <w:rPr>
                <w:rFonts w:cs="Segoe UI"/>
                <w:sz w:val="20"/>
                <w:szCs w:val="20"/>
              </w:rPr>
              <w:t>≤ 15 kWh.m</w:t>
            </w:r>
            <w:r w:rsidRPr="0024485B">
              <w:rPr>
                <w:rFonts w:cs="Segoe UI"/>
                <w:sz w:val="20"/>
                <w:szCs w:val="20"/>
                <w:vertAlign w:val="superscript"/>
              </w:rPr>
              <w:t>-2</w:t>
            </w:r>
            <w:r w:rsidRPr="0024485B">
              <w:rPr>
                <w:rFonts w:cs="Segoe UI"/>
                <w:sz w:val="20"/>
                <w:szCs w:val="20"/>
              </w:rPr>
              <w:t>a</w:t>
            </w:r>
            <w:r w:rsidRPr="0024485B">
              <w:rPr>
                <w:rFonts w:cs="Segoe UI"/>
                <w:sz w:val="20"/>
                <w:szCs w:val="20"/>
                <w:vertAlign w:val="superscript"/>
              </w:rPr>
              <w:t>-1</w:t>
            </w:r>
          </w:p>
        </w:tc>
      </w:tr>
      <w:tr w:rsidR="00CE0C84" w:rsidRPr="0024485B" w14:paraId="41B5595F" w14:textId="77777777" w:rsidTr="009B1BC4">
        <w:trPr>
          <w:trHeight w:val="406"/>
        </w:trPr>
        <w:tc>
          <w:tcPr>
            <w:tcW w:w="7073" w:type="dxa"/>
            <w:shd w:val="clear" w:color="auto" w:fill="B4C6E7"/>
            <w:vAlign w:val="center"/>
          </w:tcPr>
          <w:p w14:paraId="3955C705" w14:textId="77777777" w:rsidR="00CE0C84" w:rsidRPr="0024485B" w:rsidRDefault="00CE0C84" w:rsidP="009B1BC4">
            <w:pPr>
              <w:spacing w:after="0" w:line="240" w:lineRule="auto"/>
              <w:rPr>
                <w:rFonts w:cs="Segoe UI"/>
                <w:b/>
                <w:sz w:val="20"/>
                <w:szCs w:val="20"/>
              </w:rPr>
            </w:pPr>
            <w:r w:rsidRPr="0024485B">
              <w:rPr>
                <w:rFonts w:cs="Segoe UI"/>
                <w:b/>
                <w:sz w:val="20"/>
                <w:szCs w:val="20"/>
              </w:rPr>
              <w:lastRenderedPageBreak/>
              <w:t>Nejvyšší denní teplota vzduchu v místnosti v letním období</w:t>
            </w:r>
          </w:p>
        </w:tc>
        <w:tc>
          <w:tcPr>
            <w:tcW w:w="2337" w:type="dxa"/>
            <w:vAlign w:val="center"/>
          </w:tcPr>
          <w:p w14:paraId="2AC0CE41" w14:textId="77777777" w:rsidR="00CE0C84" w:rsidRPr="0024485B" w:rsidRDefault="00CE0C84" w:rsidP="009B1BC4">
            <w:pPr>
              <w:spacing w:after="0" w:line="240" w:lineRule="auto"/>
              <w:jc w:val="center"/>
              <w:rPr>
                <w:rFonts w:cs="Segoe UI"/>
                <w:sz w:val="20"/>
                <w:szCs w:val="20"/>
              </w:rPr>
            </w:pPr>
            <w:r w:rsidRPr="0024485B">
              <w:rPr>
                <w:rFonts w:cs="Segoe UI"/>
                <w:sz w:val="20"/>
                <w:szCs w:val="20"/>
              </w:rPr>
              <w:t xml:space="preserve">≤ </w:t>
            </w:r>
            <w:proofErr w:type="spellStart"/>
            <w:proofErr w:type="gramStart"/>
            <w:r w:rsidRPr="0024485B">
              <w:rPr>
                <w:rFonts w:cs="Segoe UI"/>
                <w:sz w:val="20"/>
                <w:szCs w:val="20"/>
              </w:rPr>
              <w:t>Ɵ</w:t>
            </w:r>
            <w:r w:rsidRPr="0024485B">
              <w:rPr>
                <w:rFonts w:cs="Segoe UI"/>
                <w:sz w:val="20"/>
                <w:szCs w:val="20"/>
                <w:vertAlign w:val="subscript"/>
              </w:rPr>
              <w:t>ai,max</w:t>
            </w:r>
            <w:proofErr w:type="gramEnd"/>
            <w:r w:rsidRPr="0024485B">
              <w:rPr>
                <w:rFonts w:cs="Segoe UI"/>
                <w:sz w:val="20"/>
                <w:szCs w:val="20"/>
                <w:vertAlign w:val="subscript"/>
              </w:rPr>
              <w:t>,N</w:t>
            </w:r>
            <w:proofErr w:type="spellEnd"/>
          </w:p>
        </w:tc>
      </w:tr>
      <w:tr w:rsidR="00CE0C84" w:rsidRPr="0024485B" w14:paraId="0EF30887" w14:textId="77777777" w:rsidTr="009B1BC4">
        <w:trPr>
          <w:trHeight w:val="406"/>
        </w:trPr>
        <w:tc>
          <w:tcPr>
            <w:tcW w:w="7073" w:type="dxa"/>
            <w:shd w:val="clear" w:color="auto" w:fill="B4C6E7"/>
            <w:vAlign w:val="center"/>
          </w:tcPr>
          <w:p w14:paraId="65326F78" w14:textId="77777777" w:rsidR="00CE0C84" w:rsidRPr="0024485B" w:rsidRDefault="00CE0C84" w:rsidP="009B1BC4">
            <w:pPr>
              <w:spacing w:after="0" w:line="240" w:lineRule="auto"/>
              <w:rPr>
                <w:rFonts w:cs="Segoe UI"/>
                <w:b/>
                <w:sz w:val="20"/>
                <w:szCs w:val="20"/>
              </w:rPr>
            </w:pPr>
            <w:r w:rsidRPr="0024485B">
              <w:rPr>
                <w:rFonts w:cs="Segoe UI"/>
                <w:b/>
                <w:sz w:val="20"/>
                <w:szCs w:val="20"/>
              </w:rPr>
              <w:t xml:space="preserve">Primární energie z neobnovitelných zdrojů </w:t>
            </w:r>
          </w:p>
        </w:tc>
        <w:tc>
          <w:tcPr>
            <w:tcW w:w="2337" w:type="dxa"/>
            <w:vAlign w:val="center"/>
          </w:tcPr>
          <w:p w14:paraId="5AEB4641" w14:textId="77777777" w:rsidR="00CE0C84" w:rsidRPr="0024485B" w:rsidRDefault="00CE0C84" w:rsidP="009B1BC4">
            <w:pPr>
              <w:spacing w:after="0" w:line="240" w:lineRule="auto"/>
              <w:jc w:val="center"/>
              <w:rPr>
                <w:rFonts w:cs="Segoe UI"/>
                <w:sz w:val="20"/>
                <w:szCs w:val="20"/>
                <w:vertAlign w:val="subscript"/>
              </w:rPr>
            </w:pPr>
            <w:proofErr w:type="spellStart"/>
            <w:proofErr w:type="gramStart"/>
            <w:r w:rsidRPr="0024485B">
              <w:rPr>
                <w:rFonts w:cs="Segoe UI"/>
                <w:sz w:val="20"/>
                <w:szCs w:val="20"/>
              </w:rPr>
              <w:t>E</w:t>
            </w:r>
            <w:r w:rsidRPr="0024485B">
              <w:rPr>
                <w:rStyle w:val="a10"/>
                <w:rFonts w:cs="Segoe UI"/>
                <w:sz w:val="20"/>
                <w:szCs w:val="20"/>
                <w:vertAlign w:val="subscript"/>
              </w:rPr>
              <w:t>pN,A</w:t>
            </w:r>
            <w:proofErr w:type="spellEnd"/>
            <w:proofErr w:type="gramEnd"/>
            <w:r w:rsidRPr="0024485B">
              <w:rPr>
                <w:rFonts w:cs="Segoe UI"/>
                <w:sz w:val="20"/>
                <w:szCs w:val="20"/>
              </w:rPr>
              <w:t xml:space="preserve"> ≤ 0 kWh.m</w:t>
            </w:r>
            <w:r w:rsidRPr="0024485B">
              <w:rPr>
                <w:rFonts w:cs="Segoe UI"/>
                <w:sz w:val="20"/>
                <w:szCs w:val="20"/>
                <w:vertAlign w:val="superscript"/>
              </w:rPr>
              <w:t>-2</w:t>
            </w:r>
            <w:r w:rsidRPr="0024485B">
              <w:rPr>
                <w:rFonts w:cs="Segoe UI"/>
                <w:sz w:val="20"/>
                <w:szCs w:val="20"/>
              </w:rPr>
              <w:t>a</w:t>
            </w:r>
            <w:r w:rsidRPr="0024485B">
              <w:rPr>
                <w:rFonts w:cs="Segoe UI"/>
                <w:sz w:val="20"/>
                <w:szCs w:val="20"/>
                <w:vertAlign w:val="superscript"/>
              </w:rPr>
              <w:t>-1</w:t>
            </w:r>
          </w:p>
        </w:tc>
      </w:tr>
    </w:tbl>
    <w:p w14:paraId="1C9ADF83" w14:textId="77777777" w:rsidR="00CE0C84" w:rsidRPr="0024485B" w:rsidRDefault="00CE0C84" w:rsidP="00CE0C84">
      <w:pPr>
        <w:spacing w:after="0"/>
        <w:rPr>
          <w:rFonts w:cs="Segoe UI"/>
          <w:sz w:val="18"/>
        </w:rPr>
      </w:pPr>
      <w:r w:rsidRPr="0024485B">
        <w:rPr>
          <w:rFonts w:cs="Segoe UI"/>
          <w:sz w:val="18"/>
        </w:rPr>
        <w:t>* Výsledek výpočtu měrné potřeby tepla na vytápění se zaokrouhluje na celé číslo. Požadavek na měrnou potřebu tepla na vytápění, u budov s průměrnou výškou mezi 4 m až 8 m, je definován lineární závislostí mezi body [4 m, 15 kWh.m</w:t>
      </w:r>
      <w:r w:rsidRPr="0024485B">
        <w:rPr>
          <w:rFonts w:cs="Segoe UI"/>
          <w:sz w:val="18"/>
          <w:vertAlign w:val="superscript"/>
        </w:rPr>
        <w:t>-2</w:t>
      </w:r>
      <w:r w:rsidRPr="0024485B">
        <w:rPr>
          <w:rFonts w:cs="Segoe UI"/>
          <w:sz w:val="18"/>
        </w:rPr>
        <w:t>a</w:t>
      </w:r>
      <w:r w:rsidRPr="0024485B">
        <w:rPr>
          <w:rFonts w:cs="Segoe UI"/>
          <w:sz w:val="18"/>
          <w:vertAlign w:val="superscript"/>
        </w:rPr>
        <w:t>-1</w:t>
      </w:r>
      <w:r w:rsidRPr="0024485B">
        <w:rPr>
          <w:rFonts w:cs="Segoe UI"/>
          <w:sz w:val="18"/>
        </w:rPr>
        <w:t>] a [8 m, 20 kWh.m</w:t>
      </w:r>
      <w:r w:rsidRPr="0024485B">
        <w:rPr>
          <w:rFonts w:cs="Segoe UI"/>
          <w:sz w:val="18"/>
          <w:vertAlign w:val="superscript"/>
        </w:rPr>
        <w:t>-2</w:t>
      </w:r>
      <w:r w:rsidRPr="0024485B">
        <w:rPr>
          <w:rFonts w:cs="Segoe UI"/>
          <w:sz w:val="18"/>
        </w:rPr>
        <w:t>a</w:t>
      </w:r>
      <w:r w:rsidRPr="0024485B">
        <w:rPr>
          <w:rFonts w:cs="Segoe UI"/>
          <w:sz w:val="18"/>
          <w:vertAlign w:val="superscript"/>
        </w:rPr>
        <w:t>-1</w:t>
      </w:r>
      <w:r w:rsidRPr="0024485B">
        <w:rPr>
          <w:rFonts w:cs="Segoe UI"/>
          <w:sz w:val="18"/>
        </w:rPr>
        <w:t xml:space="preserve">]. </w:t>
      </w:r>
    </w:p>
    <w:p w14:paraId="2CEE818B" w14:textId="77777777" w:rsidR="00CE0C84" w:rsidRDefault="00CE0C84" w:rsidP="005B1F7F"/>
    <w:p w14:paraId="489618DE" w14:textId="601CBC1B" w:rsidR="00CE0C84" w:rsidRPr="00D77C59" w:rsidRDefault="00CE0C84" w:rsidP="006C1B48">
      <w:pPr>
        <w:keepNext/>
        <w:rPr>
          <w:b/>
          <w:bCs/>
          <w:u w:val="single"/>
        </w:rPr>
      </w:pPr>
      <w:r w:rsidRPr="00D77C59">
        <w:rPr>
          <w:b/>
          <w:bCs/>
          <w:u w:val="single"/>
        </w:rPr>
        <w:t>Ostatní podmínky pro veřejné budovy mimo parametry energetické účinnosti</w:t>
      </w:r>
    </w:p>
    <w:p w14:paraId="2D626D28" w14:textId="16F76BC7" w:rsidR="005B1F7F" w:rsidRDefault="005B1F7F" w:rsidP="005B1F7F">
      <w:r>
        <w:t xml:space="preserve">Smyslem podmínek je mimo jiné </w:t>
      </w:r>
      <w:r w:rsidRPr="005B1F7F">
        <w:t>podpora efektivní výstavby budov veřejného sektoru v</w:t>
      </w:r>
      <w:r>
        <w:t> </w:t>
      </w:r>
      <w:r w:rsidRPr="005B1F7F">
        <w:t xml:space="preserve">souladu s principy New </w:t>
      </w:r>
      <w:proofErr w:type="spellStart"/>
      <w:r w:rsidRPr="005B1F7F">
        <w:t>European</w:t>
      </w:r>
      <w:proofErr w:type="spellEnd"/>
      <w:r w:rsidRPr="005B1F7F">
        <w:t xml:space="preserve"> Bauhaus.</w:t>
      </w:r>
    </w:p>
    <w:p w14:paraId="229AC5D6" w14:textId="77777777" w:rsidR="001B15BC" w:rsidRPr="0024485B" w:rsidRDefault="001B15BC" w:rsidP="00DB1A0B">
      <w:pPr>
        <w:pStyle w:val="Odrkybod"/>
        <w:keepNext/>
        <w:numPr>
          <w:ilvl w:val="0"/>
          <w:numId w:val="164"/>
        </w:numPr>
        <w:spacing w:before="0" w:after="0" w:line="264" w:lineRule="auto"/>
        <w:ind w:left="714" w:hanging="357"/>
        <w:rPr>
          <w:rFonts w:ascii="Segoe UI" w:eastAsiaTheme="minorHAnsi" w:hAnsi="Segoe UI" w:cs="Segoe UI"/>
          <w:b/>
          <w:sz w:val="22"/>
        </w:rPr>
      </w:pPr>
      <w:r w:rsidRPr="0024485B">
        <w:rPr>
          <w:rFonts w:ascii="Segoe UI" w:eastAsiaTheme="minorHAnsi" w:hAnsi="Segoe UI" w:cs="Segoe UI"/>
          <w:b/>
          <w:sz w:val="22"/>
        </w:rPr>
        <w:t xml:space="preserve">V případě realizace technologie pro akumulaci, úpravu, a rozvod šedých a srážkových vod: </w:t>
      </w:r>
    </w:p>
    <w:p w14:paraId="26A46EA5" w14:textId="77777777" w:rsidR="001B15BC" w:rsidRPr="0024485B" w:rsidRDefault="001B15BC" w:rsidP="001B15BC">
      <w:pPr>
        <w:pStyle w:val="Odstavecseseznamem"/>
        <w:numPr>
          <w:ilvl w:val="0"/>
          <w:numId w:val="163"/>
        </w:numPr>
        <w:spacing w:after="0" w:line="264" w:lineRule="auto"/>
        <w:rPr>
          <w:rFonts w:cs="Segoe UI"/>
        </w:rPr>
      </w:pPr>
      <w:r w:rsidRPr="0024485B">
        <w:rPr>
          <w:rFonts w:cs="Segoe UI"/>
        </w:rPr>
        <w:t xml:space="preserve">V případě nádrží (podzemních i povrchových) projekt obsahuje předčištění na vtoku do objektu a bezpečnostní přeliv. </w:t>
      </w:r>
    </w:p>
    <w:p w14:paraId="0D3589DC" w14:textId="5FB1CE5F" w:rsidR="001B15BC" w:rsidRPr="0024485B" w:rsidRDefault="001B15BC" w:rsidP="001B15BC">
      <w:pPr>
        <w:pStyle w:val="Odstavecseseznamem"/>
        <w:numPr>
          <w:ilvl w:val="0"/>
          <w:numId w:val="163"/>
        </w:numPr>
        <w:spacing w:after="0" w:line="264" w:lineRule="auto"/>
        <w:contextualSpacing/>
        <w:rPr>
          <w:rFonts w:cs="Segoe UI"/>
        </w:rPr>
      </w:pPr>
      <w:r w:rsidRPr="0024485B">
        <w:rPr>
          <w:rFonts w:cs="Segoe UI"/>
        </w:rPr>
        <w:t>Akumulační nádrže jsou navrženy v souladu s „Metodikou dimenzování akumulačních nádrží“.</w:t>
      </w:r>
      <w:r>
        <w:rPr>
          <w:rStyle w:val="Znakapoznpodarou"/>
          <w:rFonts w:cs="Segoe UI"/>
        </w:rPr>
        <w:footnoteReference w:id="110"/>
      </w:r>
      <w:r w:rsidRPr="0024485B">
        <w:rPr>
          <w:rFonts w:cs="Segoe UI"/>
        </w:rPr>
        <w:t xml:space="preserve"> </w:t>
      </w:r>
    </w:p>
    <w:p w14:paraId="59F66F33" w14:textId="77777777" w:rsidR="001B15BC" w:rsidRPr="0024485B" w:rsidRDefault="001B15BC" w:rsidP="001B15BC">
      <w:pPr>
        <w:pStyle w:val="Odstavecseseznamem"/>
        <w:numPr>
          <w:ilvl w:val="0"/>
          <w:numId w:val="163"/>
        </w:numPr>
        <w:spacing w:after="0" w:line="264" w:lineRule="auto"/>
        <w:rPr>
          <w:rFonts w:cs="Segoe UI"/>
        </w:rPr>
      </w:pPr>
      <w:r w:rsidRPr="0024485B">
        <w:rPr>
          <w:rFonts w:cs="Segoe UI"/>
        </w:rPr>
        <w:t xml:space="preserve">V případě šedých vod nelze uplatnit využití (úpravu) na vodu pitnou. </w:t>
      </w:r>
    </w:p>
    <w:p w14:paraId="5E14CCCB" w14:textId="48F4FB0C" w:rsidR="001B15BC" w:rsidRPr="0024485B" w:rsidRDefault="001B15BC" w:rsidP="001B15BC">
      <w:pPr>
        <w:pStyle w:val="Odstavecseseznamem"/>
        <w:numPr>
          <w:ilvl w:val="0"/>
          <w:numId w:val="163"/>
        </w:numPr>
        <w:spacing w:after="0" w:line="264" w:lineRule="auto"/>
        <w:contextualSpacing/>
        <w:rPr>
          <w:rFonts w:cs="Segoe UI"/>
        </w:rPr>
      </w:pPr>
      <w:r w:rsidRPr="0024485B">
        <w:rPr>
          <w:rFonts w:cs="Segoe UI"/>
        </w:rPr>
        <w:t>Projekty na recyklaci šedých vod musí být v souladu s „Metodickým postupem problematiky recyklace šedých vod v sídlech ČR“.</w:t>
      </w:r>
      <w:r>
        <w:rPr>
          <w:rStyle w:val="Znakapoznpodarou"/>
          <w:rFonts w:cs="Segoe UI"/>
        </w:rPr>
        <w:footnoteReference w:id="111"/>
      </w:r>
      <w:r w:rsidRPr="0024485B">
        <w:rPr>
          <w:rFonts w:cs="Segoe UI"/>
        </w:rPr>
        <w:t xml:space="preserve"> </w:t>
      </w:r>
    </w:p>
    <w:p w14:paraId="5F017CB5" w14:textId="77777777" w:rsidR="001B15BC" w:rsidRPr="0024485B" w:rsidRDefault="001B15BC" w:rsidP="006C1B48">
      <w:pPr>
        <w:pStyle w:val="Odrkybod"/>
        <w:keepNext/>
        <w:numPr>
          <w:ilvl w:val="0"/>
          <w:numId w:val="164"/>
        </w:numPr>
        <w:spacing w:before="0" w:after="0" w:line="264" w:lineRule="auto"/>
        <w:ind w:left="714" w:hanging="357"/>
        <w:rPr>
          <w:rFonts w:ascii="Segoe UI" w:hAnsi="Segoe UI" w:cs="Segoe UI"/>
          <w:sz w:val="22"/>
          <w:szCs w:val="22"/>
        </w:rPr>
      </w:pPr>
      <w:r w:rsidRPr="0024485B">
        <w:rPr>
          <w:rFonts w:ascii="Segoe UI" w:eastAsiaTheme="minorHAnsi" w:hAnsi="Segoe UI" w:cs="Segoe UI"/>
          <w:b/>
          <w:sz w:val="22"/>
        </w:rPr>
        <w:t>V </w:t>
      </w:r>
      <w:r w:rsidRPr="0024485B">
        <w:rPr>
          <w:rFonts w:ascii="Segoe UI" w:eastAsiaTheme="minorHAnsi" w:hAnsi="Segoe UI" w:cs="Segoe UI"/>
          <w:b/>
          <w:sz w:val="22"/>
          <w:szCs w:val="22"/>
        </w:rPr>
        <w:t>případě realizace zelených střech:</w:t>
      </w:r>
    </w:p>
    <w:p w14:paraId="571A1A59" w14:textId="63BB358A" w:rsidR="001B15BC" w:rsidRPr="0024485B" w:rsidRDefault="001B15BC" w:rsidP="001B15BC">
      <w:pPr>
        <w:pStyle w:val="Odrkybod"/>
        <w:numPr>
          <w:ilvl w:val="0"/>
          <w:numId w:val="163"/>
        </w:numPr>
        <w:spacing w:before="0" w:after="0" w:line="264" w:lineRule="auto"/>
        <w:rPr>
          <w:rFonts w:ascii="Segoe UI" w:hAnsi="Segoe UI" w:cs="Segoe UI"/>
          <w:sz w:val="22"/>
          <w:szCs w:val="22"/>
        </w:rPr>
      </w:pPr>
      <w:r w:rsidRPr="0024485B">
        <w:rPr>
          <w:rFonts w:ascii="Segoe UI" w:hAnsi="Segoe UI" w:cs="Segoe UI"/>
          <w:sz w:val="22"/>
          <w:szCs w:val="22"/>
        </w:rPr>
        <w:t>Musí být součinitel odtoku max. 0,55 u plochých extenzivních střech</w:t>
      </w:r>
      <w:r w:rsidRPr="0024485B">
        <w:rPr>
          <w:rFonts w:ascii="Segoe UI" w:hAnsi="Segoe UI" w:cs="Segoe UI"/>
          <w:sz w:val="22"/>
          <w:szCs w:val="22"/>
          <w:vertAlign w:val="superscript"/>
        </w:rPr>
        <w:footnoteReference w:id="112"/>
      </w:r>
      <w:r w:rsidRPr="0024485B">
        <w:rPr>
          <w:rFonts w:ascii="Segoe UI" w:hAnsi="Segoe UI" w:cs="Segoe UI"/>
          <w:sz w:val="22"/>
          <w:szCs w:val="22"/>
        </w:rPr>
        <w:t>, max. 0,1 u plochých intenzivních střech</w:t>
      </w:r>
      <w:r w:rsidRPr="0024485B">
        <w:rPr>
          <w:rFonts w:ascii="Segoe UI" w:hAnsi="Segoe UI" w:cs="Segoe UI"/>
          <w:sz w:val="22"/>
          <w:szCs w:val="22"/>
          <w:vertAlign w:val="superscript"/>
        </w:rPr>
        <w:footnoteReference w:id="113"/>
      </w:r>
      <w:r w:rsidRPr="0024485B">
        <w:rPr>
          <w:rFonts w:ascii="Segoe UI" w:hAnsi="Segoe UI" w:cs="Segoe UI"/>
          <w:sz w:val="22"/>
          <w:szCs w:val="22"/>
          <w:vertAlign w:val="superscript"/>
        </w:rPr>
        <w:t xml:space="preserve"> </w:t>
      </w:r>
      <w:r w:rsidRPr="0024485B">
        <w:rPr>
          <w:rFonts w:ascii="Segoe UI" w:hAnsi="Segoe UI" w:cs="Segoe UI"/>
          <w:sz w:val="22"/>
          <w:szCs w:val="22"/>
        </w:rPr>
        <w:t>a max. 0,7 u střech se sklonem nad 12°.</w:t>
      </w:r>
      <w:r w:rsidR="00FB2A0F">
        <w:rPr>
          <w:rFonts w:ascii="Segoe UI" w:hAnsi="Segoe UI" w:cs="Segoe UI"/>
          <w:sz w:val="22"/>
          <w:szCs w:val="22"/>
        </w:rPr>
        <w:t xml:space="preserve"> </w:t>
      </w:r>
    </w:p>
    <w:p w14:paraId="1F71A612" w14:textId="77777777" w:rsidR="001B15BC" w:rsidRPr="0024485B" w:rsidRDefault="001B15BC" w:rsidP="001B15BC">
      <w:pPr>
        <w:pStyle w:val="Odstavecseseznamem"/>
        <w:numPr>
          <w:ilvl w:val="0"/>
          <w:numId w:val="163"/>
        </w:numPr>
        <w:spacing w:after="0" w:line="264" w:lineRule="auto"/>
        <w:rPr>
          <w:rFonts w:cs="Segoe UI"/>
        </w:rPr>
      </w:pPr>
      <w:r w:rsidRPr="0024485B">
        <w:rPr>
          <w:rFonts w:cs="Segoe UI"/>
        </w:rPr>
        <w:t>Plocha zelené střechy je minimálně 10 m</w:t>
      </w:r>
      <w:r w:rsidRPr="0024485B">
        <w:rPr>
          <w:rFonts w:cs="Segoe UI"/>
          <w:vertAlign w:val="superscript"/>
        </w:rPr>
        <w:t>2</w:t>
      </w:r>
      <w:r w:rsidRPr="0024485B">
        <w:rPr>
          <w:rFonts w:cs="Segoe UI"/>
        </w:rPr>
        <w:t xml:space="preserve"> (v případě více nenavazujících ploch musí každá z ploch splňovat tento limit). </w:t>
      </w:r>
    </w:p>
    <w:p w14:paraId="65FCBCEE" w14:textId="77777777" w:rsidR="001B15BC" w:rsidRPr="0024485B" w:rsidRDefault="001B15BC" w:rsidP="001B15BC">
      <w:pPr>
        <w:pStyle w:val="Odstavecseseznamem"/>
        <w:numPr>
          <w:ilvl w:val="0"/>
          <w:numId w:val="163"/>
        </w:numPr>
        <w:spacing w:after="0" w:line="264" w:lineRule="auto"/>
        <w:rPr>
          <w:rFonts w:cs="Segoe UI"/>
        </w:rPr>
      </w:pPr>
      <w:r w:rsidRPr="0024485B">
        <w:rPr>
          <w:rFonts w:cs="Segoe UI"/>
        </w:rPr>
        <w:t>Součástí skladby zelené střechy je instalace geotextílie, jako ochranné vrstvy hydroizolačního souvrství o plošné hmotnosti 500 g·m</w:t>
      </w:r>
      <w:r w:rsidRPr="0024485B">
        <w:rPr>
          <w:rFonts w:cs="Segoe UI"/>
          <w:vertAlign w:val="superscript"/>
        </w:rPr>
        <w:t>-2</w:t>
      </w:r>
      <w:r w:rsidRPr="0024485B">
        <w:rPr>
          <w:rFonts w:cs="Segoe UI"/>
        </w:rPr>
        <w:t xml:space="preserve"> a více. </w:t>
      </w:r>
    </w:p>
    <w:p w14:paraId="2BE8DFBD" w14:textId="77777777" w:rsidR="001B15BC" w:rsidRPr="0024485B" w:rsidRDefault="001B15BC" w:rsidP="001B15BC">
      <w:pPr>
        <w:pStyle w:val="Odstavecseseznamem"/>
        <w:numPr>
          <w:ilvl w:val="0"/>
          <w:numId w:val="163"/>
        </w:numPr>
        <w:spacing w:after="0" w:line="264" w:lineRule="auto"/>
        <w:rPr>
          <w:rFonts w:cs="Segoe UI"/>
        </w:rPr>
      </w:pPr>
      <w:r w:rsidRPr="0024485B">
        <w:rPr>
          <w:rFonts w:cs="Segoe UI"/>
        </w:rPr>
        <w:t>Plocha zeleně musí tvořit minimálně 30 % z celkové plochy střešní konstrukce,</w:t>
      </w:r>
    </w:p>
    <w:p w14:paraId="1FDC1101" w14:textId="77777777" w:rsidR="001B15BC" w:rsidRPr="0024485B" w:rsidRDefault="001B15BC" w:rsidP="001B15BC">
      <w:pPr>
        <w:pStyle w:val="Odstavecseseznamem"/>
        <w:numPr>
          <w:ilvl w:val="0"/>
          <w:numId w:val="163"/>
        </w:numPr>
        <w:spacing w:after="0" w:line="264" w:lineRule="auto"/>
        <w:rPr>
          <w:rFonts w:cs="Segoe UI"/>
        </w:rPr>
      </w:pPr>
      <w:r w:rsidRPr="0024485B">
        <w:rPr>
          <w:rFonts w:cs="Segoe UI"/>
        </w:rPr>
        <w:t>K závlaze zelených střech musí být primárně využívána srážková voda. Doplňkově může být k závlaze využita voda z vodovodního řadu či jiných zdrojů, ale to pouze v případě, kdy není technicky možné a ekonomicky efektivní zajistit pro závlahu dostatečné množství srážkové vody.</w:t>
      </w:r>
      <w:r w:rsidRPr="0024485B">
        <w:rPr>
          <w:rFonts w:cs="Segoe UI"/>
          <w:vertAlign w:val="superscript"/>
        </w:rPr>
        <w:t xml:space="preserve"> </w:t>
      </w:r>
      <w:r w:rsidRPr="0024485B">
        <w:rPr>
          <w:rFonts w:cs="Segoe UI"/>
          <w:vertAlign w:val="superscript"/>
        </w:rPr>
        <w:footnoteReference w:id="114"/>
      </w:r>
      <w:r w:rsidRPr="0024485B">
        <w:rPr>
          <w:rFonts w:cs="Segoe UI"/>
        </w:rPr>
        <w:t xml:space="preserve"> </w:t>
      </w:r>
    </w:p>
    <w:p w14:paraId="588527CE" w14:textId="77777777" w:rsidR="001B15BC" w:rsidRPr="0024485B" w:rsidRDefault="001B15BC" w:rsidP="001B15BC">
      <w:pPr>
        <w:pStyle w:val="Odrkybod"/>
        <w:numPr>
          <w:ilvl w:val="0"/>
          <w:numId w:val="162"/>
        </w:numPr>
        <w:spacing w:line="240" w:lineRule="auto"/>
        <w:rPr>
          <w:rFonts w:ascii="Segoe UI" w:hAnsi="Segoe UI" w:cs="Segoe UI"/>
          <w:sz w:val="22"/>
        </w:rPr>
      </w:pPr>
      <w:r w:rsidRPr="0024485B">
        <w:rPr>
          <w:rFonts w:ascii="Segoe UI" w:eastAsiaTheme="minorHAnsi" w:hAnsi="Segoe UI" w:cs="Segoe UI"/>
          <w:sz w:val="22"/>
        </w:rPr>
        <w:lastRenderedPageBreak/>
        <w:t>V rámci projektu musí být zajištěno zavedení energetického managementu, osazení měřící techniky pro vyhodnocení úspory energie, a to v souladu s „</w:t>
      </w:r>
      <w:r w:rsidRPr="0024485B">
        <w:rPr>
          <w:rFonts w:ascii="Segoe UI" w:eastAsiaTheme="minorHAnsi" w:hAnsi="Segoe UI" w:cs="Segoe UI"/>
          <w:i/>
          <w:sz w:val="22"/>
        </w:rPr>
        <w:t>Metodickým návodem pro splnění požadavku na zavedení energetického managementu</w:t>
      </w:r>
      <w:r w:rsidRPr="0024485B">
        <w:rPr>
          <w:rFonts w:ascii="Segoe UI" w:eastAsiaTheme="minorHAnsi" w:hAnsi="Segoe UI" w:cs="Segoe UI"/>
          <w:sz w:val="22"/>
        </w:rPr>
        <w:t>“.</w:t>
      </w:r>
      <w:r w:rsidRPr="0024485B">
        <w:rPr>
          <w:rFonts w:ascii="Segoe UI" w:eastAsiaTheme="minorHAnsi" w:hAnsi="Segoe UI" w:cs="Segoe UI"/>
          <w:sz w:val="22"/>
          <w:vertAlign w:val="superscript"/>
        </w:rPr>
        <w:t xml:space="preserve"> </w:t>
      </w:r>
    </w:p>
    <w:p w14:paraId="0754FEE1" w14:textId="7FD764E0" w:rsidR="001B15BC" w:rsidRPr="0024485B" w:rsidRDefault="001B15BC" w:rsidP="001B15BC">
      <w:pPr>
        <w:pStyle w:val="Odrkybod"/>
        <w:numPr>
          <w:ilvl w:val="0"/>
          <w:numId w:val="162"/>
        </w:numPr>
        <w:spacing w:line="240" w:lineRule="auto"/>
        <w:rPr>
          <w:rFonts w:ascii="Segoe UI" w:hAnsi="Segoe UI" w:cs="Segoe UI"/>
          <w:sz w:val="22"/>
          <w:szCs w:val="22"/>
        </w:rPr>
      </w:pPr>
      <w:r w:rsidRPr="0024485B">
        <w:rPr>
          <w:rFonts w:ascii="Segoe UI" w:eastAsiaTheme="minorHAnsi" w:hAnsi="Segoe UI" w:cs="Segoe UI"/>
          <w:sz w:val="22"/>
          <w:szCs w:val="22"/>
        </w:rPr>
        <w:t xml:space="preserve">V rámci projektu musí být splněny požadavky </w:t>
      </w:r>
      <w:r w:rsidRPr="0024485B">
        <w:rPr>
          <w:rFonts w:ascii="Segoe UI" w:hAnsi="Segoe UI" w:cs="Segoe UI"/>
          <w:sz w:val="22"/>
          <w:szCs w:val="22"/>
        </w:rPr>
        <w:t>„</w:t>
      </w:r>
      <w:r w:rsidRPr="0024485B">
        <w:rPr>
          <w:rFonts w:ascii="Segoe UI" w:hAnsi="Segoe UI" w:cs="Segoe UI"/>
          <w:i/>
          <w:sz w:val="22"/>
          <w:szCs w:val="22"/>
        </w:rPr>
        <w:t>Metodiky posuzování staveb z hlediska výskytu obecně, a zvláště chráněných synantropních druhů živočichů</w:t>
      </w:r>
      <w:r w:rsidRPr="0024485B">
        <w:rPr>
          <w:rFonts w:ascii="Segoe UI" w:hAnsi="Segoe UI" w:cs="Segoe UI"/>
          <w:sz w:val="22"/>
          <w:szCs w:val="22"/>
        </w:rPr>
        <w:t>".</w:t>
      </w:r>
      <w:r>
        <w:rPr>
          <w:rStyle w:val="Znakapoznpodarou"/>
          <w:rFonts w:ascii="Segoe UI" w:hAnsi="Segoe UI" w:cs="Segoe UI"/>
          <w:sz w:val="22"/>
          <w:szCs w:val="22"/>
        </w:rPr>
        <w:footnoteReference w:id="115"/>
      </w:r>
      <w:r w:rsidRPr="0024485B">
        <w:rPr>
          <w:rFonts w:ascii="Segoe UI" w:hAnsi="Segoe UI" w:cs="Segoe UI"/>
          <w:sz w:val="22"/>
          <w:szCs w:val="22"/>
        </w:rPr>
        <w:t xml:space="preserve"> </w:t>
      </w:r>
    </w:p>
    <w:p w14:paraId="65DC9BBA" w14:textId="77777777" w:rsidR="005B1F7F" w:rsidRPr="005B1F7F" w:rsidRDefault="005B1F7F" w:rsidP="00DB1A0B"/>
    <w:p w14:paraId="02752415" w14:textId="0C7E8B28" w:rsidR="00B351EF" w:rsidRPr="007F0B7C" w:rsidRDefault="00B351EF" w:rsidP="00EA4CB0">
      <w:pPr>
        <w:pStyle w:val="Nadpis4"/>
      </w:pPr>
      <w:r>
        <w:t>Parametry energetické účinnosti pro ostatní nové budovy</w:t>
      </w:r>
    </w:p>
    <w:p w14:paraId="62F5E922" w14:textId="09BDE736" w:rsidR="00B351EF" w:rsidRDefault="00B351EF" w:rsidP="00B351EF">
      <w:r>
        <w:t>P</w:t>
      </w:r>
      <w:r w:rsidRPr="00FC3B47">
        <w:t>rimární energie</w:t>
      </w:r>
      <w:r w:rsidR="00047CC5">
        <w:t xml:space="preserve"> z neobnovitelných zdrojů</w:t>
      </w:r>
      <w:r w:rsidRPr="00FC3B47">
        <w:t>, která je výsledkem výstavby, bude</w:t>
      </w:r>
      <w:r>
        <w:t>:</w:t>
      </w:r>
      <w:r w:rsidRPr="00FC3B47">
        <w:t xml:space="preserve"> </w:t>
      </w:r>
    </w:p>
    <w:p w14:paraId="0EFD9D57" w14:textId="2E953EC1" w:rsidR="00B351EF" w:rsidRDefault="00B351EF" w:rsidP="00B351EF">
      <w:pPr>
        <w:pStyle w:val="Odstavecseseznamem"/>
        <w:numPr>
          <w:ilvl w:val="0"/>
          <w:numId w:val="111"/>
        </w:numPr>
        <w:spacing w:after="160" w:line="259" w:lineRule="auto"/>
        <w:contextualSpacing/>
      </w:pPr>
      <w:r>
        <w:t xml:space="preserve">V případě základního řešení </w:t>
      </w:r>
      <w:r w:rsidRPr="00FC3B47">
        <w:t xml:space="preserve">nejméně o </w:t>
      </w:r>
      <w:r>
        <w:t>1</w:t>
      </w:r>
      <w:r w:rsidRPr="00FC3B47">
        <w:t xml:space="preserve">0 % nižší než prahová hodnota, kterou u požadavků na budovy s téměř nulovou spotřebou energie stanoví vnitrostátní opatření provádějící směrnici Evropského parlamentu a Rady </w:t>
      </w:r>
      <w:r w:rsidR="00BA6579" w:rsidRPr="00BA6579">
        <w:t>2024/1275/EU</w:t>
      </w:r>
      <w:r w:rsidRPr="00FC3B47">
        <w:t>.</w:t>
      </w:r>
      <w:r>
        <w:t xml:space="preserve"> Tzn. ve smyslu z</w:t>
      </w:r>
      <w:r w:rsidRPr="00AC33D8">
        <w:t>ákon</w:t>
      </w:r>
      <w:r>
        <w:t>a</w:t>
      </w:r>
      <w:r w:rsidRPr="00AC33D8">
        <w:t xml:space="preserve"> č. 406/2000 Sb.</w:t>
      </w:r>
      <w:r>
        <w:t xml:space="preserve"> </w:t>
      </w:r>
      <w:r w:rsidRPr="00AC33D8">
        <w:t>o hospodaření energií</w:t>
      </w:r>
      <w:r>
        <w:t xml:space="preserve"> a v</w:t>
      </w:r>
      <w:r w:rsidRPr="00AC33D8">
        <w:t>yhlášk</w:t>
      </w:r>
      <w:r>
        <w:t>y</w:t>
      </w:r>
      <w:r w:rsidRPr="00AC33D8">
        <w:t xml:space="preserve"> č. 264/2020 Sb. o energetické náročnosti budov</w:t>
      </w:r>
      <w:r>
        <w:t>.</w:t>
      </w:r>
    </w:p>
    <w:p w14:paraId="3289D0DF" w14:textId="5DA17071" w:rsidR="00B351EF" w:rsidRDefault="00B351EF" w:rsidP="00B351EF">
      <w:pPr>
        <w:pStyle w:val="Odstavecseseznamem"/>
        <w:numPr>
          <w:ilvl w:val="0"/>
          <w:numId w:val="111"/>
        </w:numPr>
        <w:spacing w:after="160" w:line="259" w:lineRule="auto"/>
        <w:contextualSpacing/>
      </w:pPr>
      <w:r>
        <w:t xml:space="preserve">V případě optimálního řešení </w:t>
      </w:r>
      <w:r w:rsidRPr="00FC3B47">
        <w:t xml:space="preserve">nejméně o </w:t>
      </w:r>
      <w:r>
        <w:t>2</w:t>
      </w:r>
      <w:r w:rsidRPr="00FC3B47">
        <w:t xml:space="preserve">0 % nižší než prahová hodnota, kterou u požadavků na budovy s téměř nulovou spotřebou energie stanoví vnitrostátní opatření provádějící směrnici Evropského parlamentu a Rady </w:t>
      </w:r>
      <w:r w:rsidR="00BA6579" w:rsidRPr="00BA6579">
        <w:t>2024/1275/EU</w:t>
      </w:r>
      <w:r w:rsidR="00CD3FB5">
        <w:t xml:space="preserve"> </w:t>
      </w:r>
      <w:r w:rsidR="00CD3FB5" w:rsidRPr="00CD3FB5">
        <w:t>o energetické náročnosti budov</w:t>
      </w:r>
      <w:r w:rsidRPr="00FC3B47">
        <w:t>.</w:t>
      </w:r>
      <w:r>
        <w:t xml:space="preserve"> Tzn. ve smyslu z</w:t>
      </w:r>
      <w:r w:rsidRPr="00AC33D8">
        <w:t>ákon</w:t>
      </w:r>
      <w:r>
        <w:t>a</w:t>
      </w:r>
      <w:r w:rsidRPr="00AC33D8">
        <w:t xml:space="preserve"> č. 406/2000 Sb.</w:t>
      </w:r>
      <w:r>
        <w:t xml:space="preserve"> </w:t>
      </w:r>
      <w:r w:rsidRPr="00AC33D8">
        <w:t>o hospodaření energií</w:t>
      </w:r>
      <w:r>
        <w:t xml:space="preserve"> a v</w:t>
      </w:r>
      <w:r w:rsidRPr="00AC33D8">
        <w:t>yhlášk</w:t>
      </w:r>
      <w:r>
        <w:t>y</w:t>
      </w:r>
      <w:r w:rsidRPr="00AC33D8">
        <w:t xml:space="preserve"> č. 264/2020 Sb. o energetické náročnosti budov</w:t>
      </w:r>
      <w:r>
        <w:t>.</w:t>
      </w:r>
    </w:p>
    <w:p w14:paraId="71A191E9" w14:textId="5F111AAA" w:rsidR="00F936E9" w:rsidRDefault="00F936E9" w:rsidP="006C1B48">
      <w:pPr>
        <w:pStyle w:val="Odstavecseseznamem"/>
        <w:spacing w:after="160" w:line="259" w:lineRule="auto"/>
        <w:ind w:left="1440"/>
        <w:contextualSpacing/>
      </w:pPr>
    </w:p>
    <w:p w14:paraId="4331C7DC" w14:textId="4926A5B5" w:rsidR="00B351EF" w:rsidRDefault="00CD3FB5">
      <w:pPr>
        <w:rPr>
          <w:b/>
          <w:bCs/>
        </w:rPr>
      </w:pPr>
      <w:r w:rsidRPr="00D77C59">
        <w:rPr>
          <w:b/>
          <w:bCs/>
        </w:rPr>
        <w:t>Doporučuje se nastavit programy na o</w:t>
      </w:r>
      <w:r w:rsidR="00B351EF" w:rsidRPr="00D77C59">
        <w:rPr>
          <w:b/>
          <w:bCs/>
        </w:rPr>
        <w:t>ptimální řešení</w:t>
      </w:r>
      <w:r w:rsidRPr="00D77C59">
        <w:rPr>
          <w:b/>
          <w:bCs/>
        </w:rPr>
        <w:t xml:space="preserve">, pokud jsou podporovány i nižší stupně, </w:t>
      </w:r>
      <w:r w:rsidR="00B351EF" w:rsidRPr="00D77C59">
        <w:rPr>
          <w:b/>
          <w:bCs/>
        </w:rPr>
        <w:t xml:space="preserve">musí být </w:t>
      </w:r>
      <w:r w:rsidRPr="00D77C59">
        <w:rPr>
          <w:b/>
          <w:bCs/>
        </w:rPr>
        <w:t xml:space="preserve">znevýhodněny (např. nižší </w:t>
      </w:r>
      <w:r w:rsidR="00B351EF" w:rsidRPr="00D77C59">
        <w:rPr>
          <w:b/>
          <w:bCs/>
        </w:rPr>
        <w:t xml:space="preserve">mírou podpory oproti </w:t>
      </w:r>
      <w:r w:rsidRPr="00D77C59">
        <w:rPr>
          <w:b/>
          <w:bCs/>
        </w:rPr>
        <w:t>optimálnímu řešení)</w:t>
      </w:r>
      <w:r w:rsidR="00B351EF" w:rsidRPr="00D77C59">
        <w:rPr>
          <w:b/>
          <w:bCs/>
        </w:rPr>
        <w:t>. Energetická náročnost je potvrzena průkazem energetické náročnosti skutečného stavu budovy.</w:t>
      </w:r>
    </w:p>
    <w:p w14:paraId="7286864B" w14:textId="4AED382D" w:rsidR="00F936E9" w:rsidRPr="00F936E9" w:rsidRDefault="00F936E9">
      <w:pPr>
        <w:rPr>
          <w:rFonts w:cs="Segoe UI"/>
          <w:b/>
          <w:bCs/>
          <w:u w:val="single"/>
        </w:rPr>
      </w:pPr>
      <w:r w:rsidRPr="006C1B48">
        <w:rPr>
          <w:b/>
          <w:bCs/>
        </w:rPr>
        <w:t xml:space="preserve">Nastavení podmínky na úrovni optimálního řešení je nutné u programů, které mají stanoven koeficient pro výpočet podpory na plnění cílů </w:t>
      </w:r>
      <w:r>
        <w:rPr>
          <w:b/>
          <w:bCs/>
        </w:rPr>
        <w:t xml:space="preserve">EU </w:t>
      </w:r>
      <w:r w:rsidRPr="006C1B48">
        <w:rPr>
          <w:b/>
          <w:bCs/>
        </w:rPr>
        <w:t>v oblasti změny klimatu 100</w:t>
      </w:r>
      <w:r>
        <w:rPr>
          <w:b/>
          <w:bCs/>
        </w:rPr>
        <w:t> </w:t>
      </w:r>
      <w:r w:rsidRPr="006C1B48">
        <w:rPr>
          <w:b/>
          <w:bCs/>
        </w:rPr>
        <w:t>%.</w:t>
      </w:r>
    </w:p>
    <w:p w14:paraId="7C57FE1D" w14:textId="52E5C50F" w:rsidR="000A526E" w:rsidRPr="00DB1A0B" w:rsidRDefault="000A526E">
      <w:pPr>
        <w:rPr>
          <w:u w:val="single"/>
        </w:rPr>
        <w:sectPr w:rsidR="000A526E" w:rsidRPr="00DB1A0B" w:rsidSect="006A45B6">
          <w:pgSz w:w="11906" w:h="16838"/>
          <w:pgMar w:top="1418" w:right="1418" w:bottom="1418" w:left="1418" w:header="709" w:footer="709" w:gutter="0"/>
          <w:cols w:space="708"/>
        </w:sectPr>
      </w:pPr>
    </w:p>
    <w:p w14:paraId="5ACC110F" w14:textId="296EDEB5" w:rsidR="00602DCA" w:rsidRDefault="00B351EF">
      <w:pPr>
        <w:pStyle w:val="Nadpis4"/>
      </w:pPr>
      <w:bookmarkStart w:id="149" w:name="_Tabulka_podmínek_DNSH"/>
      <w:bookmarkEnd w:id="149"/>
      <w:r>
        <w:lastRenderedPageBreak/>
        <w:t>Tabulka p</w:t>
      </w:r>
      <w:r w:rsidR="00C5530C">
        <w:t>odmín</w:t>
      </w:r>
      <w:r>
        <w:t>e</w:t>
      </w:r>
      <w:r w:rsidR="00C5530C">
        <w:t xml:space="preserve">k DNSH pro </w:t>
      </w:r>
      <w:r>
        <w:t xml:space="preserve">výstavbu nových budov </w:t>
      </w:r>
      <w:r w:rsidR="00C5530C">
        <w:t>a jejich implementace</w:t>
      </w:r>
    </w:p>
    <w:p w14:paraId="504E0828" w14:textId="216EB313" w:rsidR="00EA4CB0" w:rsidRPr="00EA4CB0" w:rsidRDefault="00EA4CB0" w:rsidP="00EA4CB0">
      <w:pPr>
        <w:rPr>
          <w:rFonts w:cs="Segoe UI"/>
          <w:bCs/>
        </w:rPr>
      </w:pPr>
      <w:r w:rsidRPr="00EA4CB0">
        <w:rPr>
          <w:rFonts w:cs="Segoe UI"/>
          <w:bCs/>
        </w:rPr>
        <w:t>Pozn. V posledním sloupci jsou uvedena analogická kritéria taxonomie, která jsou aplikována finančním sektorem a při jejich splnění by měly být projekty uznatelné ze strany finančního sektoru jako způsobilé pro zelené kofinancování. Finanční sektor však provádí ověření těchto kritérií dle své praxe.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4"/>
        <w:gridCol w:w="3539"/>
        <w:gridCol w:w="3428"/>
        <w:gridCol w:w="3275"/>
        <w:gridCol w:w="3392"/>
      </w:tblGrid>
      <w:tr w:rsidR="00EA4CB0" w14:paraId="6B73880B" w14:textId="77777777" w:rsidTr="00FE7E4F">
        <w:tc>
          <w:tcPr>
            <w:tcW w:w="570" w:type="pct"/>
            <w:shd w:val="clear" w:color="auto" w:fill="D0CECE" w:themeFill="background2" w:themeFillShade="E6"/>
          </w:tcPr>
          <w:p w14:paraId="61B75F16" w14:textId="77777777" w:rsidR="003D7C06" w:rsidRDefault="003D7C06">
            <w:pPr>
              <w:spacing w:after="0" w:line="240" w:lineRule="auto"/>
              <w:rPr>
                <w:rFonts w:asciiTheme="minorHAnsi" w:hAnsiTheme="minorHAnsi" w:cstheme="minorHAnsi"/>
                <w:b/>
                <w:sz w:val="20"/>
                <w:szCs w:val="20"/>
              </w:rPr>
            </w:pPr>
            <w:bookmarkStart w:id="150" w:name="_Hlk191916786"/>
            <w:r>
              <w:rPr>
                <w:rFonts w:asciiTheme="minorHAnsi" w:hAnsiTheme="minorHAnsi" w:cstheme="minorHAnsi"/>
                <w:b/>
                <w:sz w:val="20"/>
                <w:szCs w:val="20"/>
              </w:rPr>
              <w:t>Environmentální cíl</w:t>
            </w:r>
          </w:p>
        </w:tc>
        <w:tc>
          <w:tcPr>
            <w:tcW w:w="1150" w:type="pct"/>
            <w:shd w:val="clear" w:color="auto" w:fill="D0CECE" w:themeFill="background2" w:themeFillShade="E6"/>
          </w:tcPr>
          <w:p w14:paraId="52C7CBBF" w14:textId="77777777" w:rsidR="003D7C06" w:rsidRDefault="003D7C06">
            <w:pPr>
              <w:spacing w:after="0" w:line="240" w:lineRule="auto"/>
              <w:rPr>
                <w:rFonts w:asciiTheme="minorHAnsi" w:hAnsiTheme="minorHAnsi" w:cstheme="minorHAnsi"/>
                <w:b/>
                <w:sz w:val="20"/>
                <w:szCs w:val="20"/>
              </w:rPr>
            </w:pPr>
            <w:r>
              <w:rPr>
                <w:rFonts w:asciiTheme="minorHAnsi" w:hAnsiTheme="minorHAnsi" w:cstheme="minorHAnsi"/>
                <w:b/>
                <w:sz w:val="20"/>
                <w:szCs w:val="20"/>
              </w:rPr>
              <w:t>Podmínky DNSH</w:t>
            </w:r>
          </w:p>
          <w:p w14:paraId="55E048C9" w14:textId="77777777" w:rsidR="003D7C06" w:rsidRDefault="003D7C06">
            <w:pPr>
              <w:spacing w:after="0" w:line="240" w:lineRule="auto"/>
              <w:rPr>
                <w:rFonts w:asciiTheme="minorHAnsi" w:hAnsiTheme="minorHAnsi" w:cstheme="minorHAnsi"/>
                <w:b/>
                <w:sz w:val="20"/>
                <w:szCs w:val="20"/>
              </w:rPr>
            </w:pPr>
          </w:p>
        </w:tc>
        <w:tc>
          <w:tcPr>
            <w:tcW w:w="1114" w:type="pct"/>
            <w:shd w:val="clear" w:color="auto" w:fill="D0CECE" w:themeFill="background2" w:themeFillShade="E6"/>
          </w:tcPr>
          <w:p w14:paraId="182AE18C" w14:textId="77777777" w:rsidR="003D7C06" w:rsidRDefault="003D7C06">
            <w:pPr>
              <w:spacing w:after="0" w:line="240" w:lineRule="auto"/>
              <w:rPr>
                <w:rFonts w:asciiTheme="minorHAnsi" w:hAnsiTheme="minorHAnsi" w:cstheme="minorHAnsi"/>
                <w:b/>
                <w:sz w:val="20"/>
                <w:szCs w:val="20"/>
              </w:rPr>
            </w:pPr>
            <w:r>
              <w:rPr>
                <w:rFonts w:asciiTheme="minorHAnsi" w:hAnsiTheme="minorHAnsi" w:cstheme="minorHAnsi"/>
                <w:b/>
                <w:sz w:val="20"/>
                <w:szCs w:val="20"/>
              </w:rPr>
              <w:t>Implementace</w:t>
            </w:r>
          </w:p>
        </w:tc>
        <w:tc>
          <w:tcPr>
            <w:tcW w:w="1064" w:type="pct"/>
            <w:shd w:val="clear" w:color="auto" w:fill="D0CECE" w:themeFill="background2" w:themeFillShade="E6"/>
          </w:tcPr>
          <w:p w14:paraId="401B7899" w14:textId="77777777" w:rsidR="003D7C06" w:rsidRDefault="003D7C06">
            <w:pPr>
              <w:spacing w:after="0" w:line="240" w:lineRule="auto"/>
              <w:rPr>
                <w:rFonts w:asciiTheme="minorHAnsi" w:hAnsiTheme="minorHAnsi" w:cstheme="minorHAnsi"/>
                <w:b/>
                <w:sz w:val="20"/>
                <w:szCs w:val="20"/>
              </w:rPr>
            </w:pPr>
            <w:r>
              <w:rPr>
                <w:rFonts w:asciiTheme="minorHAnsi" w:hAnsiTheme="minorHAnsi" w:cstheme="minorHAnsi"/>
                <w:b/>
                <w:sz w:val="20"/>
                <w:szCs w:val="20"/>
              </w:rPr>
              <w:t>Monitoring a vykazování</w:t>
            </w:r>
          </w:p>
        </w:tc>
        <w:tc>
          <w:tcPr>
            <w:tcW w:w="1102" w:type="pct"/>
            <w:shd w:val="clear" w:color="auto" w:fill="D0CECE" w:themeFill="background2" w:themeFillShade="E6"/>
          </w:tcPr>
          <w:p w14:paraId="78EE5D05" w14:textId="77777777" w:rsidR="003D7C06" w:rsidRDefault="003D7C06">
            <w:pPr>
              <w:spacing w:after="0" w:line="240" w:lineRule="auto"/>
              <w:rPr>
                <w:rFonts w:asciiTheme="minorHAnsi" w:hAnsiTheme="minorHAnsi" w:cstheme="minorHAnsi"/>
                <w:b/>
                <w:sz w:val="20"/>
                <w:szCs w:val="20"/>
              </w:rPr>
            </w:pPr>
            <w:r>
              <w:rPr>
                <w:rFonts w:asciiTheme="minorHAnsi" w:hAnsiTheme="minorHAnsi" w:cstheme="minorHAnsi"/>
                <w:b/>
                <w:sz w:val="20"/>
                <w:szCs w:val="20"/>
              </w:rPr>
              <w:t>Podmínky taxonomie EU pro udržitelné investice 7.1 Výstavba nových budov</w:t>
            </w:r>
          </w:p>
        </w:tc>
      </w:tr>
      <w:tr w:rsidR="00EA4CB0" w14:paraId="347ACF6F" w14:textId="77777777" w:rsidTr="00FE7E4F">
        <w:tc>
          <w:tcPr>
            <w:tcW w:w="570" w:type="pct"/>
            <w:vMerge w:val="restart"/>
            <w:shd w:val="clear" w:color="auto" w:fill="FFF0FF"/>
          </w:tcPr>
          <w:p w14:paraId="4A36F852" w14:textId="77777777" w:rsidR="003D7C06" w:rsidRDefault="003D7C06" w:rsidP="003A4B0B">
            <w:pPr>
              <w:spacing w:after="0" w:line="240" w:lineRule="auto"/>
              <w:jc w:val="left"/>
              <w:rPr>
                <w:rFonts w:asciiTheme="minorHAnsi" w:hAnsiTheme="minorHAnsi" w:cstheme="minorHAnsi"/>
                <w:b/>
                <w:sz w:val="20"/>
                <w:szCs w:val="20"/>
              </w:rPr>
            </w:pPr>
            <w:r>
              <w:rPr>
                <w:rFonts w:asciiTheme="minorHAnsi" w:hAnsiTheme="minorHAnsi" w:cstheme="minorHAnsi"/>
                <w:b/>
                <w:sz w:val="20"/>
                <w:szCs w:val="20"/>
              </w:rPr>
              <w:t xml:space="preserve">Zmírňování změny klimatu </w:t>
            </w:r>
          </w:p>
        </w:tc>
        <w:tc>
          <w:tcPr>
            <w:tcW w:w="1150" w:type="pct"/>
            <w:shd w:val="clear" w:color="auto" w:fill="FFF0FF"/>
          </w:tcPr>
          <w:p w14:paraId="39E1320A" w14:textId="36655627" w:rsidR="003D7C06" w:rsidRDefault="00C85D77">
            <w:pPr>
              <w:spacing w:after="0" w:line="240" w:lineRule="auto"/>
              <w:rPr>
                <w:rFonts w:asciiTheme="minorHAnsi" w:hAnsiTheme="minorHAnsi" w:cstheme="minorHAnsi"/>
                <w:bCs/>
                <w:sz w:val="20"/>
                <w:szCs w:val="20"/>
              </w:rPr>
            </w:pPr>
            <w:r>
              <w:rPr>
                <w:rFonts w:asciiTheme="minorHAnsi" w:hAnsiTheme="minorHAnsi" w:cstheme="minorHAnsi"/>
                <w:bCs/>
                <w:sz w:val="20"/>
                <w:szCs w:val="20"/>
              </w:rPr>
              <w:t>P</w:t>
            </w:r>
            <w:r w:rsidR="003D7C06">
              <w:rPr>
                <w:rFonts w:asciiTheme="minorHAnsi" w:hAnsiTheme="minorHAnsi" w:cstheme="minorHAnsi"/>
                <w:bCs/>
                <w:sz w:val="20"/>
                <w:szCs w:val="20"/>
              </w:rPr>
              <w:t xml:space="preserve">otřeba primární energie </w:t>
            </w:r>
            <w:r w:rsidR="00F010A1">
              <w:rPr>
                <w:rFonts w:asciiTheme="minorHAnsi" w:hAnsiTheme="minorHAnsi" w:cstheme="minorHAnsi"/>
                <w:bCs/>
                <w:sz w:val="20"/>
                <w:szCs w:val="20"/>
              </w:rPr>
              <w:t xml:space="preserve">z neobnovitelných zdrojů </w:t>
            </w:r>
            <w:r w:rsidR="003D7C06">
              <w:rPr>
                <w:rFonts w:asciiTheme="minorHAnsi" w:hAnsiTheme="minorHAnsi" w:cstheme="minorHAnsi"/>
                <w:bCs/>
                <w:sz w:val="20"/>
                <w:szCs w:val="20"/>
              </w:rPr>
              <w:t xml:space="preserve">– </w:t>
            </w:r>
            <w:r w:rsidR="00EA4CB0">
              <w:rPr>
                <w:rFonts w:asciiTheme="minorHAnsi" w:hAnsiTheme="minorHAnsi" w:cstheme="minorHAnsi"/>
                <w:bCs/>
                <w:sz w:val="20"/>
                <w:szCs w:val="20"/>
              </w:rPr>
              <w:t>tři základní</w:t>
            </w:r>
            <w:r w:rsidR="003D7C06">
              <w:rPr>
                <w:rFonts w:asciiTheme="minorHAnsi" w:hAnsiTheme="minorHAnsi" w:cstheme="minorHAnsi"/>
                <w:bCs/>
                <w:sz w:val="20"/>
                <w:szCs w:val="20"/>
              </w:rPr>
              <w:t xml:space="preserve"> varianty:</w:t>
            </w:r>
          </w:p>
          <w:p w14:paraId="0F4971B8" w14:textId="4EA96EDB" w:rsidR="003D7C06" w:rsidRPr="00EA4CB0" w:rsidRDefault="00393BA0" w:rsidP="00A32A7E">
            <w:pPr>
              <w:pStyle w:val="Odstavecseseznamem"/>
              <w:numPr>
                <w:ilvl w:val="0"/>
                <w:numId w:val="25"/>
              </w:numPr>
              <w:spacing w:after="0" w:line="240" w:lineRule="auto"/>
              <w:rPr>
                <w:rFonts w:asciiTheme="minorHAnsi" w:hAnsiTheme="minorHAnsi" w:cstheme="minorHAnsi"/>
                <w:bCs/>
                <w:sz w:val="20"/>
                <w:szCs w:val="20"/>
              </w:rPr>
            </w:pPr>
            <w:r>
              <w:rPr>
                <w:rFonts w:asciiTheme="minorHAnsi" w:hAnsiTheme="minorHAnsi" w:cstheme="minorHAnsi"/>
                <w:bCs/>
                <w:sz w:val="20"/>
                <w:szCs w:val="20"/>
              </w:rPr>
              <w:t xml:space="preserve">Pro opatření podporující výstavbu nových </w:t>
            </w:r>
            <w:r w:rsidR="00EA4CB0">
              <w:rPr>
                <w:rFonts w:asciiTheme="minorHAnsi" w:hAnsiTheme="minorHAnsi" w:cstheme="minorHAnsi"/>
                <w:bCs/>
                <w:sz w:val="20"/>
                <w:szCs w:val="20"/>
              </w:rPr>
              <w:t>budov specificky rozvedených v kapitolách 5.</w:t>
            </w:r>
            <w:r w:rsidR="009830DC">
              <w:rPr>
                <w:rFonts w:asciiTheme="minorHAnsi" w:hAnsiTheme="minorHAnsi" w:cstheme="minorHAnsi"/>
                <w:bCs/>
                <w:sz w:val="20"/>
                <w:szCs w:val="20"/>
              </w:rPr>
              <w:t>2</w:t>
            </w:r>
            <w:r w:rsidR="00EA4CB0">
              <w:rPr>
                <w:rFonts w:asciiTheme="minorHAnsi" w:hAnsiTheme="minorHAnsi" w:cstheme="minorHAnsi"/>
                <w:bCs/>
                <w:sz w:val="20"/>
                <w:szCs w:val="20"/>
              </w:rPr>
              <w:t>.2</w:t>
            </w:r>
            <w:r>
              <w:rPr>
                <w:rFonts w:asciiTheme="minorHAnsi" w:hAnsiTheme="minorHAnsi" w:cstheme="minorHAnsi"/>
                <w:bCs/>
                <w:sz w:val="20"/>
                <w:szCs w:val="20"/>
              </w:rPr>
              <w:t>.</w:t>
            </w:r>
            <w:r w:rsidR="00F936E9">
              <w:rPr>
                <w:rFonts w:asciiTheme="minorHAnsi" w:hAnsiTheme="minorHAnsi" w:cstheme="minorHAnsi"/>
                <w:bCs/>
                <w:sz w:val="20"/>
                <w:szCs w:val="20"/>
              </w:rPr>
              <w:t>1</w:t>
            </w:r>
            <w:r>
              <w:rPr>
                <w:rFonts w:asciiTheme="minorHAnsi" w:hAnsiTheme="minorHAnsi" w:cstheme="minorHAnsi"/>
                <w:bCs/>
                <w:sz w:val="20"/>
                <w:szCs w:val="20"/>
              </w:rPr>
              <w:t xml:space="preserve"> a</w:t>
            </w:r>
            <w:r w:rsidR="00F936E9">
              <w:rPr>
                <w:rFonts w:asciiTheme="minorHAnsi" w:hAnsiTheme="minorHAnsi" w:cstheme="minorHAnsi"/>
                <w:bCs/>
                <w:sz w:val="20"/>
                <w:szCs w:val="20"/>
              </w:rPr>
              <w:t>ž</w:t>
            </w:r>
            <w:r>
              <w:rPr>
                <w:rFonts w:asciiTheme="minorHAnsi" w:hAnsiTheme="minorHAnsi" w:cstheme="minorHAnsi"/>
                <w:bCs/>
                <w:sz w:val="20"/>
                <w:szCs w:val="20"/>
              </w:rPr>
              <w:t xml:space="preserve"> 5.</w:t>
            </w:r>
            <w:r w:rsidR="009830DC">
              <w:rPr>
                <w:rFonts w:asciiTheme="minorHAnsi" w:hAnsiTheme="minorHAnsi" w:cstheme="minorHAnsi"/>
                <w:bCs/>
                <w:sz w:val="20"/>
                <w:szCs w:val="20"/>
              </w:rPr>
              <w:t>2</w:t>
            </w:r>
            <w:r>
              <w:rPr>
                <w:rFonts w:asciiTheme="minorHAnsi" w:hAnsiTheme="minorHAnsi" w:cstheme="minorHAnsi"/>
                <w:bCs/>
                <w:sz w:val="20"/>
                <w:szCs w:val="20"/>
              </w:rPr>
              <w:t>.2.3</w:t>
            </w:r>
            <w:r w:rsidR="00EA4CB0">
              <w:rPr>
                <w:rFonts w:asciiTheme="minorHAnsi" w:hAnsiTheme="minorHAnsi" w:cstheme="minorHAnsi"/>
                <w:bCs/>
                <w:sz w:val="20"/>
                <w:szCs w:val="20"/>
              </w:rPr>
              <w:t xml:space="preserve">, tzn. </w:t>
            </w:r>
            <w:r>
              <w:rPr>
                <w:rFonts w:asciiTheme="minorHAnsi" w:hAnsiTheme="minorHAnsi" w:cstheme="minorHAnsi"/>
                <w:bCs/>
                <w:sz w:val="20"/>
                <w:szCs w:val="20"/>
              </w:rPr>
              <w:t>rodinné domy</w:t>
            </w:r>
            <w:r w:rsidR="00F936E9">
              <w:rPr>
                <w:rFonts w:asciiTheme="minorHAnsi" w:hAnsiTheme="minorHAnsi" w:cstheme="minorHAnsi"/>
                <w:bCs/>
                <w:sz w:val="20"/>
                <w:szCs w:val="20"/>
              </w:rPr>
              <w:t>,</w:t>
            </w:r>
            <w:r>
              <w:rPr>
                <w:rFonts w:asciiTheme="minorHAnsi" w:hAnsiTheme="minorHAnsi" w:cstheme="minorHAnsi"/>
                <w:bCs/>
                <w:sz w:val="20"/>
                <w:szCs w:val="20"/>
              </w:rPr>
              <w:t xml:space="preserve"> bytové domy</w:t>
            </w:r>
            <w:r w:rsidR="00F936E9">
              <w:rPr>
                <w:rFonts w:asciiTheme="minorHAnsi" w:hAnsiTheme="minorHAnsi" w:cstheme="minorHAnsi"/>
                <w:bCs/>
                <w:sz w:val="20"/>
                <w:szCs w:val="20"/>
              </w:rPr>
              <w:t xml:space="preserve"> a veřejné budovy</w:t>
            </w:r>
            <w:r>
              <w:rPr>
                <w:rFonts w:asciiTheme="minorHAnsi" w:hAnsiTheme="minorHAnsi" w:cstheme="minorHAnsi"/>
                <w:bCs/>
                <w:sz w:val="20"/>
                <w:szCs w:val="20"/>
              </w:rPr>
              <w:t>, platí podmínky zde uvedené</w:t>
            </w:r>
            <w:r w:rsidR="003D7C06" w:rsidRPr="00EA4CB0">
              <w:rPr>
                <w:rFonts w:asciiTheme="minorHAnsi" w:hAnsiTheme="minorHAnsi" w:cstheme="minorHAnsi"/>
                <w:bCs/>
                <w:sz w:val="20"/>
                <w:szCs w:val="20"/>
              </w:rPr>
              <w:t>.</w:t>
            </w:r>
          </w:p>
          <w:p w14:paraId="1D1D8908" w14:textId="14941065" w:rsidR="00393BA0" w:rsidRPr="00F72866" w:rsidRDefault="00393BA0" w:rsidP="00393BA0">
            <w:pPr>
              <w:pStyle w:val="Odstavecseseznamem"/>
              <w:numPr>
                <w:ilvl w:val="0"/>
                <w:numId w:val="25"/>
              </w:numPr>
              <w:spacing w:after="0" w:line="240" w:lineRule="auto"/>
              <w:rPr>
                <w:rFonts w:asciiTheme="minorHAnsi" w:hAnsiTheme="minorHAnsi"/>
                <w:sz w:val="20"/>
              </w:rPr>
            </w:pPr>
            <w:r w:rsidRPr="00393BA0">
              <w:rPr>
                <w:rFonts w:asciiTheme="minorHAnsi" w:hAnsiTheme="minorHAnsi" w:cstheme="minorHAnsi"/>
                <w:bCs/>
                <w:sz w:val="20"/>
                <w:szCs w:val="20"/>
              </w:rPr>
              <w:t>Pro opatření podporující ostatní typy budov platí podmínky dle kapitoly 5.</w:t>
            </w:r>
            <w:r w:rsidR="009830DC">
              <w:rPr>
                <w:rFonts w:asciiTheme="minorHAnsi" w:hAnsiTheme="minorHAnsi" w:cstheme="minorHAnsi"/>
                <w:bCs/>
                <w:sz w:val="20"/>
                <w:szCs w:val="20"/>
              </w:rPr>
              <w:t>2</w:t>
            </w:r>
            <w:r w:rsidRPr="00393BA0">
              <w:rPr>
                <w:rFonts w:asciiTheme="minorHAnsi" w:hAnsiTheme="minorHAnsi" w:cstheme="minorHAnsi"/>
                <w:bCs/>
                <w:sz w:val="20"/>
                <w:szCs w:val="20"/>
              </w:rPr>
              <w:t xml:space="preserve">.2.4, tedy min. o 10 % </w:t>
            </w:r>
            <w:r w:rsidR="00F010A1">
              <w:rPr>
                <w:rFonts w:asciiTheme="minorHAnsi" w:hAnsiTheme="minorHAnsi" w:cstheme="minorHAnsi"/>
                <w:bCs/>
                <w:sz w:val="20"/>
                <w:szCs w:val="20"/>
              </w:rPr>
              <w:t xml:space="preserve">a optimálně o 20 % </w:t>
            </w:r>
            <w:r w:rsidRPr="00393BA0">
              <w:rPr>
                <w:rFonts w:asciiTheme="minorHAnsi" w:hAnsiTheme="minorHAnsi" w:cstheme="minorHAnsi"/>
                <w:bCs/>
                <w:sz w:val="20"/>
                <w:szCs w:val="20"/>
              </w:rPr>
              <w:t xml:space="preserve">nižší </w:t>
            </w:r>
            <w:r w:rsidR="00C85D77">
              <w:rPr>
                <w:rFonts w:asciiTheme="minorHAnsi" w:hAnsiTheme="minorHAnsi" w:cstheme="minorHAnsi"/>
                <w:bCs/>
                <w:sz w:val="20"/>
                <w:szCs w:val="20"/>
              </w:rPr>
              <w:t>p</w:t>
            </w:r>
            <w:r>
              <w:rPr>
                <w:rFonts w:asciiTheme="minorHAnsi" w:hAnsiTheme="minorHAnsi" w:cstheme="minorHAnsi"/>
                <w:bCs/>
                <w:sz w:val="20"/>
                <w:szCs w:val="20"/>
              </w:rPr>
              <w:t xml:space="preserve">otřeba primární energie </w:t>
            </w:r>
            <w:r w:rsidRPr="00393BA0">
              <w:rPr>
                <w:rFonts w:asciiTheme="minorHAnsi" w:hAnsiTheme="minorHAnsi" w:cstheme="minorHAnsi"/>
                <w:bCs/>
                <w:sz w:val="20"/>
                <w:szCs w:val="20"/>
              </w:rPr>
              <w:t>než prahová hodnota, kterou u požadavků na budovy s téměř nulovou potřebou energie stanoví vnitrostátní opatření provádějící směrnici Evropského parlamentu a Rady</w:t>
            </w:r>
            <w:r w:rsidR="00F0232E" w:rsidRPr="00DB1A0B">
              <w:rPr>
                <w:rFonts w:asciiTheme="minorHAnsi" w:hAnsiTheme="minorHAnsi" w:cstheme="minorHAnsi"/>
                <w:bCs/>
                <w:sz w:val="20"/>
                <w:szCs w:val="20"/>
              </w:rPr>
              <w:t xml:space="preserve"> 2024/1275/EU</w:t>
            </w:r>
            <w:r w:rsidRPr="00F72866">
              <w:rPr>
                <w:rFonts w:asciiTheme="minorHAnsi" w:hAnsiTheme="minorHAnsi"/>
                <w:sz w:val="20"/>
              </w:rPr>
              <w:t xml:space="preserve">. Tzn. ve smyslu zákona č. 406/2000 Sb. o hospodaření energií a vyhlášky </w:t>
            </w:r>
            <w:r w:rsidRPr="00F72866">
              <w:rPr>
                <w:rFonts w:asciiTheme="minorHAnsi" w:hAnsiTheme="minorHAnsi"/>
                <w:sz w:val="20"/>
              </w:rPr>
              <w:lastRenderedPageBreak/>
              <w:t>č. 264/2020 Sb. o energetické náročnosti budov.</w:t>
            </w:r>
          </w:p>
          <w:p w14:paraId="0F9C4948" w14:textId="64EB98BC" w:rsidR="003D7C06" w:rsidRDefault="00393BA0" w:rsidP="00A32A7E">
            <w:pPr>
              <w:pStyle w:val="Odstavecseseznamem"/>
              <w:numPr>
                <w:ilvl w:val="0"/>
                <w:numId w:val="25"/>
              </w:numPr>
              <w:spacing w:after="0" w:line="240" w:lineRule="auto"/>
              <w:rPr>
                <w:rFonts w:asciiTheme="minorHAnsi" w:hAnsiTheme="minorHAnsi" w:cstheme="minorHAnsi"/>
                <w:bCs/>
                <w:sz w:val="20"/>
                <w:szCs w:val="20"/>
                <w:lang w:eastAsia="cs-CZ"/>
              </w:rPr>
            </w:pPr>
            <w:r>
              <w:rPr>
                <w:rFonts w:asciiTheme="minorHAnsi" w:hAnsiTheme="minorHAnsi" w:cstheme="minorHAnsi"/>
                <w:bCs/>
                <w:sz w:val="20"/>
                <w:szCs w:val="20"/>
              </w:rPr>
              <w:t>V případě, kdy o</w:t>
            </w:r>
            <w:r w:rsidR="003D7C06">
              <w:rPr>
                <w:rFonts w:asciiTheme="minorHAnsi" w:hAnsiTheme="minorHAnsi" w:cstheme="minorHAnsi"/>
                <w:bCs/>
                <w:sz w:val="20"/>
                <w:szCs w:val="20"/>
              </w:rPr>
              <w:t xml:space="preserve">patření </w:t>
            </w:r>
            <w:r w:rsidR="003D7C06">
              <w:rPr>
                <w:rFonts w:asciiTheme="minorHAnsi" w:hAnsiTheme="minorHAnsi" w:cstheme="minorHAnsi"/>
                <w:bCs/>
                <w:sz w:val="20"/>
                <w:szCs w:val="20"/>
                <w:u w:val="single"/>
              </w:rPr>
              <w:t>má</w:t>
            </w:r>
            <w:r w:rsidR="003D7C06">
              <w:rPr>
                <w:rFonts w:asciiTheme="minorHAnsi" w:hAnsiTheme="minorHAnsi" w:cstheme="minorHAnsi"/>
                <w:bCs/>
                <w:sz w:val="20"/>
                <w:szCs w:val="20"/>
              </w:rPr>
              <w:t xml:space="preserve"> </w:t>
            </w:r>
            <w:r>
              <w:rPr>
                <w:rFonts w:asciiTheme="minorHAnsi" w:hAnsiTheme="minorHAnsi" w:cstheme="minorHAnsi"/>
                <w:bCs/>
                <w:sz w:val="20"/>
                <w:szCs w:val="20"/>
              </w:rPr>
              <w:t xml:space="preserve">100 % </w:t>
            </w:r>
            <w:r w:rsidR="003D7C06">
              <w:rPr>
                <w:rFonts w:asciiTheme="minorHAnsi" w:hAnsiTheme="minorHAnsi" w:cstheme="minorHAnsi"/>
                <w:bCs/>
                <w:sz w:val="20"/>
                <w:szCs w:val="20"/>
              </w:rPr>
              <w:t xml:space="preserve">klima </w:t>
            </w:r>
            <w:proofErr w:type="gramStart"/>
            <w:r w:rsidR="003D7C06">
              <w:rPr>
                <w:rFonts w:asciiTheme="minorHAnsi" w:hAnsiTheme="minorHAnsi" w:cstheme="minorHAnsi"/>
                <w:bCs/>
                <w:sz w:val="20"/>
                <w:szCs w:val="20"/>
              </w:rPr>
              <w:t xml:space="preserve">tag - </w:t>
            </w:r>
            <w:r w:rsidR="00C85D77">
              <w:rPr>
                <w:rFonts w:asciiTheme="minorHAnsi" w:hAnsiTheme="minorHAnsi" w:cstheme="minorHAnsi"/>
                <w:bCs/>
                <w:sz w:val="20"/>
                <w:szCs w:val="20"/>
              </w:rPr>
              <w:t>p</w:t>
            </w:r>
            <w:r w:rsidR="003D7C06">
              <w:rPr>
                <w:rFonts w:asciiTheme="minorHAnsi" w:hAnsiTheme="minorHAnsi" w:cstheme="minorHAnsi"/>
                <w:bCs/>
                <w:sz w:val="20"/>
                <w:szCs w:val="20"/>
              </w:rPr>
              <w:t>otřeba</w:t>
            </w:r>
            <w:proofErr w:type="gramEnd"/>
            <w:r w:rsidR="003D7C06">
              <w:rPr>
                <w:rFonts w:asciiTheme="minorHAnsi" w:hAnsiTheme="minorHAnsi" w:cstheme="minorHAnsi"/>
                <w:bCs/>
                <w:sz w:val="20"/>
                <w:szCs w:val="20"/>
              </w:rPr>
              <w:t xml:space="preserve"> primární energie, která je výsledkem výstavby, bude nejméně o 20 % nižší než prahová hodnota, kterou u požadavků na budovy s téměř nulovou potřebou energie stanoví vnitrostátní opatření provádějící směrnici Evropského parlamentu a Rady </w:t>
            </w:r>
            <w:r w:rsidR="00F0232E" w:rsidRPr="00F0232E">
              <w:rPr>
                <w:rFonts w:asciiTheme="minorHAnsi" w:hAnsiTheme="minorHAnsi" w:cstheme="minorHAnsi"/>
                <w:bCs/>
                <w:sz w:val="20"/>
                <w:szCs w:val="20"/>
              </w:rPr>
              <w:t>2024/1275/EU</w:t>
            </w:r>
            <w:r w:rsidR="003D7C06">
              <w:rPr>
                <w:rFonts w:asciiTheme="minorHAnsi" w:hAnsiTheme="minorHAnsi" w:cstheme="minorHAnsi"/>
                <w:bCs/>
                <w:sz w:val="20"/>
                <w:szCs w:val="20"/>
              </w:rPr>
              <w:t>.</w:t>
            </w:r>
            <w:r w:rsidR="00F010A1">
              <w:rPr>
                <w:rFonts w:asciiTheme="minorHAnsi" w:hAnsiTheme="minorHAnsi" w:cstheme="minorHAnsi"/>
                <w:bCs/>
                <w:sz w:val="20"/>
                <w:szCs w:val="20"/>
              </w:rPr>
              <w:t xml:space="preserve"> </w:t>
            </w:r>
            <w:r w:rsidR="00F010A1" w:rsidRPr="00F72866">
              <w:rPr>
                <w:rFonts w:asciiTheme="minorHAnsi" w:hAnsiTheme="minorHAnsi"/>
                <w:sz w:val="20"/>
              </w:rPr>
              <w:t>Tzn. ve smyslu zákona č. 406/2000 Sb. o hospodaření energií a vyhlášky č. 264/2020 Sb. o energetické náročnosti budov.</w:t>
            </w:r>
          </w:p>
        </w:tc>
        <w:tc>
          <w:tcPr>
            <w:tcW w:w="1114" w:type="pct"/>
            <w:shd w:val="clear" w:color="auto" w:fill="FFF0FF"/>
          </w:tcPr>
          <w:p w14:paraId="099BE350" w14:textId="77777777" w:rsidR="00393BA0" w:rsidRDefault="00393BA0" w:rsidP="00393BA0">
            <w:pPr>
              <w:spacing w:after="0" w:line="240" w:lineRule="auto"/>
              <w:rPr>
                <w:rFonts w:asciiTheme="minorHAnsi" w:hAnsiTheme="minorHAnsi" w:cstheme="minorHAnsi"/>
                <w:sz w:val="20"/>
                <w:szCs w:val="20"/>
              </w:rPr>
            </w:pPr>
            <w:r w:rsidRPr="00393BA0">
              <w:rPr>
                <w:rFonts w:asciiTheme="minorHAnsi" w:hAnsiTheme="minorHAnsi" w:cstheme="minorHAnsi"/>
                <w:sz w:val="20"/>
                <w:szCs w:val="20"/>
              </w:rPr>
              <w:lastRenderedPageBreak/>
              <w:t>Nastavení energetických parametrů podpory.</w:t>
            </w:r>
          </w:p>
          <w:p w14:paraId="5D97E33D" w14:textId="77777777" w:rsidR="00F936E9" w:rsidRPr="00393BA0" w:rsidRDefault="00F936E9" w:rsidP="00393BA0">
            <w:pPr>
              <w:spacing w:after="0" w:line="240" w:lineRule="auto"/>
              <w:rPr>
                <w:rFonts w:asciiTheme="minorHAnsi" w:hAnsiTheme="minorHAnsi" w:cstheme="minorHAnsi"/>
                <w:sz w:val="20"/>
                <w:szCs w:val="20"/>
              </w:rPr>
            </w:pPr>
          </w:p>
          <w:p w14:paraId="1AC0B459" w14:textId="58309C56" w:rsidR="003D7C06" w:rsidRPr="00393BA0" w:rsidRDefault="00C85D77" w:rsidP="00393BA0">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K výpočtu prahové </w:t>
            </w:r>
            <w:proofErr w:type="gramStart"/>
            <w:r>
              <w:rPr>
                <w:rFonts w:asciiTheme="minorHAnsi" w:hAnsiTheme="minorHAnsi" w:cstheme="minorHAnsi"/>
                <w:sz w:val="20"/>
                <w:szCs w:val="20"/>
              </w:rPr>
              <w:t>hodnoty - l</w:t>
            </w:r>
            <w:r w:rsidR="003D7C06" w:rsidRPr="00393BA0">
              <w:rPr>
                <w:rFonts w:asciiTheme="minorHAnsi" w:hAnsiTheme="minorHAnsi" w:cstheme="minorHAnsi"/>
                <w:sz w:val="20"/>
                <w:szCs w:val="20"/>
              </w:rPr>
              <w:t>egislativní</w:t>
            </w:r>
            <w:proofErr w:type="gramEnd"/>
            <w:r w:rsidR="003D7C06" w:rsidRPr="00393BA0">
              <w:rPr>
                <w:rFonts w:asciiTheme="minorHAnsi" w:hAnsiTheme="minorHAnsi" w:cstheme="minorHAnsi"/>
                <w:sz w:val="20"/>
                <w:szCs w:val="20"/>
              </w:rPr>
              <w:t xml:space="preserve"> požadavky na potřebu primární energie (PED) na úrovni budovy s téměř nulovou spotřebou energie stanoví vyhláška č. 264/2020 Sb., o energetické náročnosti budov, ve znění pozdějších předpisů. </w:t>
            </w:r>
          </w:p>
          <w:p w14:paraId="6DD386C2" w14:textId="2DBCF2F1" w:rsidR="003D7C06" w:rsidRDefault="00393BA0" w:rsidP="00393BA0">
            <w:pPr>
              <w:spacing w:after="0" w:line="240" w:lineRule="auto"/>
              <w:rPr>
                <w:rFonts w:asciiTheme="minorHAnsi" w:hAnsiTheme="minorHAnsi" w:cstheme="minorHAnsi"/>
                <w:b/>
                <w:bCs/>
                <w:sz w:val="20"/>
                <w:szCs w:val="20"/>
              </w:rPr>
            </w:pPr>
            <w:r>
              <w:rPr>
                <w:rFonts w:asciiTheme="minorHAnsi" w:hAnsiTheme="minorHAnsi" w:cstheme="minorHAnsi"/>
                <w:b/>
                <w:bCs/>
                <w:sz w:val="20"/>
                <w:szCs w:val="20"/>
              </w:rPr>
              <w:t>D</w:t>
            </w:r>
            <w:r w:rsidR="003D7C06" w:rsidRPr="00393BA0">
              <w:rPr>
                <w:rFonts w:asciiTheme="minorHAnsi" w:hAnsiTheme="minorHAnsi" w:cstheme="minorHAnsi"/>
                <w:b/>
                <w:bCs/>
                <w:sz w:val="20"/>
                <w:szCs w:val="20"/>
              </w:rPr>
              <w:t xml:space="preserve">oporučuje se v souladu se zásadou energetická účinnost </w:t>
            </w:r>
            <w:r w:rsidR="000C6976">
              <w:rPr>
                <w:rFonts w:asciiTheme="minorHAnsi" w:hAnsiTheme="minorHAnsi" w:cstheme="minorHAnsi"/>
                <w:b/>
                <w:bCs/>
                <w:sz w:val="20"/>
                <w:szCs w:val="20"/>
              </w:rPr>
              <w:t>v první řadě</w:t>
            </w:r>
            <w:r w:rsidR="00FB2A0F">
              <w:rPr>
                <w:rFonts w:asciiTheme="minorHAnsi" w:hAnsiTheme="minorHAnsi" w:cstheme="minorHAnsi"/>
                <w:b/>
                <w:bCs/>
                <w:sz w:val="20"/>
                <w:szCs w:val="20"/>
              </w:rPr>
              <w:t xml:space="preserve"> </w:t>
            </w:r>
            <w:r w:rsidR="003D7C06" w:rsidRPr="00393BA0">
              <w:rPr>
                <w:rFonts w:asciiTheme="minorHAnsi" w:hAnsiTheme="minorHAnsi" w:cstheme="minorHAnsi"/>
                <w:b/>
                <w:bCs/>
                <w:sz w:val="20"/>
                <w:szCs w:val="20"/>
              </w:rPr>
              <w:t>v rámci hodnocení projektů zvýhodnit energetickou účinnost a žadatele k těmto krokům motivovat.</w:t>
            </w:r>
          </w:p>
          <w:p w14:paraId="79695E97" w14:textId="77777777" w:rsidR="00F936E9" w:rsidRPr="00393BA0" w:rsidRDefault="00F936E9" w:rsidP="00393BA0">
            <w:pPr>
              <w:spacing w:after="0" w:line="240" w:lineRule="auto"/>
              <w:rPr>
                <w:rFonts w:asciiTheme="minorHAnsi" w:hAnsiTheme="minorHAnsi" w:cstheme="minorHAnsi"/>
                <w:b/>
                <w:bCs/>
                <w:sz w:val="20"/>
                <w:szCs w:val="20"/>
              </w:rPr>
            </w:pPr>
          </w:p>
          <w:p w14:paraId="6EFAF177" w14:textId="46B4D08D" w:rsidR="003D7C06" w:rsidRPr="00393BA0" w:rsidRDefault="003D7C06" w:rsidP="00393BA0">
            <w:pPr>
              <w:spacing w:after="0" w:line="240" w:lineRule="auto"/>
              <w:rPr>
                <w:rFonts w:asciiTheme="minorHAnsi" w:hAnsiTheme="minorHAnsi" w:cstheme="minorHAnsi"/>
                <w:sz w:val="20"/>
                <w:szCs w:val="20"/>
              </w:rPr>
            </w:pPr>
            <w:r w:rsidRPr="00393BA0">
              <w:rPr>
                <w:rFonts w:asciiTheme="minorHAnsi" w:hAnsiTheme="minorHAnsi" w:cstheme="minorHAnsi"/>
                <w:sz w:val="20"/>
                <w:szCs w:val="20"/>
              </w:rPr>
              <w:t>Mezi opatření zvyšující energetickou účinnost budov (</w:t>
            </w:r>
            <w:proofErr w:type="spellStart"/>
            <w:r w:rsidRPr="00393BA0">
              <w:rPr>
                <w:rFonts w:asciiTheme="minorHAnsi" w:hAnsiTheme="minorHAnsi" w:cstheme="minorHAnsi"/>
                <w:sz w:val="20"/>
                <w:szCs w:val="20"/>
              </w:rPr>
              <w:t>mitigační</w:t>
            </w:r>
            <w:proofErr w:type="spellEnd"/>
            <w:r w:rsidRPr="00393BA0">
              <w:rPr>
                <w:rFonts w:asciiTheme="minorHAnsi" w:hAnsiTheme="minorHAnsi" w:cstheme="minorHAnsi"/>
                <w:sz w:val="20"/>
                <w:szCs w:val="20"/>
              </w:rPr>
              <w:t xml:space="preserve"> opatření) patří například pasivní návrh budov pro snížení spotřeby energie, využití OZE, rekuperace, zelené střechy/fasády nebo použití ekologických chladiv.</w:t>
            </w:r>
            <w:r>
              <w:rPr>
                <w:rStyle w:val="Znakapoznpodarou"/>
                <w:rFonts w:asciiTheme="minorHAnsi" w:hAnsiTheme="minorHAnsi" w:cstheme="minorHAnsi"/>
                <w:sz w:val="20"/>
                <w:szCs w:val="20"/>
              </w:rPr>
              <w:footnoteReference w:id="116"/>
            </w:r>
          </w:p>
          <w:p w14:paraId="12F05512" w14:textId="77777777" w:rsidR="003D7C06" w:rsidRDefault="003D7C06">
            <w:pPr>
              <w:spacing w:after="0" w:line="240" w:lineRule="auto"/>
              <w:rPr>
                <w:rFonts w:asciiTheme="minorHAnsi" w:hAnsiTheme="minorHAnsi" w:cstheme="minorHAnsi"/>
                <w:sz w:val="20"/>
                <w:szCs w:val="20"/>
              </w:rPr>
            </w:pPr>
          </w:p>
          <w:p w14:paraId="28FC4C09" w14:textId="77777777" w:rsidR="003D7C06" w:rsidRDefault="003D7C06">
            <w:pPr>
              <w:spacing w:after="0" w:line="240" w:lineRule="auto"/>
              <w:rPr>
                <w:rFonts w:asciiTheme="minorHAnsi" w:hAnsiTheme="minorHAnsi" w:cstheme="minorHAnsi"/>
                <w:sz w:val="20"/>
                <w:szCs w:val="20"/>
              </w:rPr>
            </w:pPr>
          </w:p>
        </w:tc>
        <w:tc>
          <w:tcPr>
            <w:tcW w:w="1064" w:type="pct"/>
            <w:shd w:val="clear" w:color="auto" w:fill="FFF0FF"/>
          </w:tcPr>
          <w:p w14:paraId="4FDABC43" w14:textId="48F38579" w:rsidR="003D7C06" w:rsidRPr="00393BA0" w:rsidRDefault="003D7C06" w:rsidP="00393BA0">
            <w:pPr>
              <w:spacing w:after="0" w:line="240" w:lineRule="auto"/>
              <w:rPr>
                <w:rFonts w:asciiTheme="minorHAnsi" w:hAnsiTheme="minorHAnsi" w:cstheme="minorHAnsi"/>
                <w:sz w:val="20"/>
                <w:szCs w:val="20"/>
              </w:rPr>
            </w:pPr>
            <w:r w:rsidRPr="00393BA0">
              <w:rPr>
                <w:rFonts w:asciiTheme="minorHAnsi" w:hAnsiTheme="minorHAnsi" w:cstheme="minorHAnsi"/>
                <w:sz w:val="20"/>
                <w:szCs w:val="20"/>
              </w:rPr>
              <w:t>Vykazování energetické náročnosti budovy, sledování těchto úspor u realizovaných projektů. Energetická náročnost je potvrzena průkazem energetické náročnosti skutečného stavu budovy</w:t>
            </w:r>
            <w:r w:rsidR="00F0232E">
              <w:rPr>
                <w:rFonts w:asciiTheme="minorHAnsi" w:hAnsiTheme="minorHAnsi" w:cstheme="minorHAnsi"/>
                <w:sz w:val="20"/>
                <w:szCs w:val="20"/>
              </w:rPr>
              <w:t xml:space="preserve"> (PENB)</w:t>
            </w:r>
            <w:r w:rsidRPr="00393BA0">
              <w:rPr>
                <w:rFonts w:asciiTheme="minorHAnsi" w:hAnsiTheme="minorHAnsi" w:cstheme="minorHAnsi"/>
                <w:sz w:val="20"/>
                <w:szCs w:val="20"/>
              </w:rPr>
              <w:t>.</w:t>
            </w:r>
          </w:p>
        </w:tc>
        <w:tc>
          <w:tcPr>
            <w:tcW w:w="1102" w:type="pct"/>
            <w:shd w:val="clear" w:color="auto" w:fill="FFF0FF"/>
          </w:tcPr>
          <w:p w14:paraId="4E8C2670" w14:textId="77777777" w:rsidR="003D7C06" w:rsidRDefault="003D7C06">
            <w:pPr>
              <w:spacing w:after="0" w:line="240" w:lineRule="auto"/>
              <w:rPr>
                <w:rFonts w:asciiTheme="minorHAnsi" w:hAnsiTheme="minorHAnsi" w:cstheme="minorHAnsi"/>
                <w:sz w:val="20"/>
                <w:szCs w:val="20"/>
              </w:rPr>
            </w:pPr>
            <w:r>
              <w:rPr>
                <w:rFonts w:asciiTheme="minorHAnsi" w:hAnsiTheme="minorHAnsi" w:cstheme="minorHAnsi"/>
                <w:sz w:val="20"/>
                <w:szCs w:val="20"/>
              </w:rPr>
              <w:t>Potřeba primární energie (PED)</w:t>
            </w:r>
            <w:r>
              <w:rPr>
                <w:rFonts w:asciiTheme="minorHAnsi" w:hAnsiTheme="minorHAnsi" w:cstheme="minorHAnsi"/>
                <w:sz w:val="20"/>
                <w:szCs w:val="20"/>
                <w:vertAlign w:val="superscript"/>
              </w:rPr>
              <w:footnoteReference w:id="117"/>
            </w:r>
            <w:r>
              <w:rPr>
                <w:rFonts w:asciiTheme="minorHAnsi" w:hAnsiTheme="minorHAnsi" w:cstheme="minorHAnsi"/>
                <w:sz w:val="20"/>
                <w:szCs w:val="20"/>
              </w:rPr>
              <w:t xml:space="preserve"> definující energetickou náročnost budovy na základě její konstrukce, kterou u požadavků na budovy s téměř nulovou spotřebou energie stanoví vnitrostátní předpisy provádějící směrnici 2010/31/EU. Energetická náročnost je potvrzena průkazem energetické náročnosti skutečného stavu budovy.</w:t>
            </w:r>
          </w:p>
          <w:p w14:paraId="71AB81FB" w14:textId="77777777" w:rsidR="003D7C06" w:rsidRDefault="003D7C06">
            <w:pPr>
              <w:spacing w:after="0" w:line="240" w:lineRule="auto"/>
              <w:rPr>
                <w:rFonts w:asciiTheme="minorHAnsi" w:hAnsiTheme="minorHAnsi" w:cstheme="minorHAnsi"/>
                <w:sz w:val="20"/>
                <w:szCs w:val="20"/>
              </w:rPr>
            </w:pPr>
          </w:p>
          <w:p w14:paraId="5BA67E95" w14:textId="13B4C350" w:rsidR="003D7C06" w:rsidRDefault="003D7C06" w:rsidP="00393BA0">
            <w:pPr>
              <w:spacing w:after="0" w:line="240" w:lineRule="auto"/>
              <w:rPr>
                <w:rFonts w:asciiTheme="minorHAnsi" w:hAnsiTheme="minorHAnsi" w:cstheme="minorHAnsi"/>
                <w:b/>
                <w:i/>
                <w:sz w:val="20"/>
                <w:szCs w:val="20"/>
              </w:rPr>
            </w:pPr>
            <w:r>
              <w:rPr>
                <w:rFonts w:asciiTheme="minorHAnsi" w:hAnsiTheme="minorHAnsi" w:cstheme="minorHAnsi"/>
                <w:b/>
                <w:i/>
                <w:sz w:val="20"/>
                <w:szCs w:val="20"/>
              </w:rPr>
              <w:t>DNSH zmírňování změny klimatu (</w:t>
            </w:r>
            <w:proofErr w:type="spellStart"/>
            <w:r>
              <w:rPr>
                <w:rFonts w:asciiTheme="minorHAnsi" w:hAnsiTheme="minorHAnsi" w:cstheme="minorHAnsi"/>
                <w:b/>
                <w:i/>
                <w:sz w:val="20"/>
                <w:szCs w:val="20"/>
              </w:rPr>
              <w:t>mitigace</w:t>
            </w:r>
            <w:proofErr w:type="spellEnd"/>
            <w:r>
              <w:rPr>
                <w:rFonts w:asciiTheme="minorHAnsi" w:hAnsiTheme="minorHAnsi" w:cstheme="minorHAnsi"/>
                <w:b/>
                <w:i/>
                <w:sz w:val="20"/>
                <w:szCs w:val="20"/>
              </w:rPr>
              <w:t>) dle přílohy II nařízení EU 2021/2139 je splněn</w:t>
            </w:r>
            <w:r w:rsidR="00393BA0">
              <w:rPr>
                <w:rFonts w:asciiTheme="minorHAnsi" w:hAnsiTheme="minorHAnsi" w:cstheme="minorHAnsi"/>
                <w:b/>
                <w:i/>
                <w:sz w:val="20"/>
                <w:szCs w:val="20"/>
              </w:rPr>
              <w:t xml:space="preserve"> – resp. s ohledem na nutný soulad s Vnitrostátním plánem ČR v oblasti energetiky a klimatu a s připravovanou implementací směrnice EU 2</w:t>
            </w:r>
            <w:r w:rsidR="00393BA0" w:rsidRPr="00393BA0">
              <w:rPr>
                <w:rFonts w:asciiTheme="minorHAnsi" w:hAnsiTheme="minorHAnsi" w:cstheme="minorHAnsi"/>
                <w:b/>
                <w:i/>
                <w:sz w:val="20"/>
                <w:szCs w:val="20"/>
              </w:rPr>
              <w:t>024/1275</w:t>
            </w:r>
            <w:r w:rsidR="00393BA0">
              <w:rPr>
                <w:rFonts w:asciiTheme="minorHAnsi" w:hAnsiTheme="minorHAnsi" w:cstheme="minorHAnsi"/>
                <w:b/>
                <w:i/>
                <w:sz w:val="20"/>
                <w:szCs w:val="20"/>
              </w:rPr>
              <w:t xml:space="preserve"> </w:t>
            </w:r>
            <w:r w:rsidR="00393BA0" w:rsidRPr="00393BA0">
              <w:rPr>
                <w:rFonts w:asciiTheme="minorHAnsi" w:hAnsiTheme="minorHAnsi" w:cstheme="minorHAnsi"/>
                <w:b/>
                <w:i/>
                <w:sz w:val="20"/>
                <w:szCs w:val="20"/>
              </w:rPr>
              <w:t>o energetické náročnosti budov</w:t>
            </w:r>
            <w:r w:rsidR="00393BA0">
              <w:rPr>
                <w:rFonts w:asciiTheme="minorHAnsi" w:hAnsiTheme="minorHAnsi" w:cstheme="minorHAnsi"/>
                <w:b/>
                <w:i/>
                <w:sz w:val="20"/>
                <w:szCs w:val="20"/>
              </w:rPr>
              <w:t xml:space="preserve"> </w:t>
            </w:r>
            <w:r w:rsidR="00C85D77">
              <w:rPr>
                <w:rFonts w:asciiTheme="minorHAnsi" w:hAnsiTheme="minorHAnsi" w:cstheme="minorHAnsi"/>
                <w:b/>
                <w:i/>
                <w:sz w:val="20"/>
                <w:szCs w:val="20"/>
              </w:rPr>
              <w:t xml:space="preserve">(EPBD) </w:t>
            </w:r>
            <w:r w:rsidR="00393BA0">
              <w:rPr>
                <w:rFonts w:asciiTheme="minorHAnsi" w:hAnsiTheme="minorHAnsi" w:cstheme="minorHAnsi"/>
                <w:b/>
                <w:i/>
                <w:sz w:val="20"/>
                <w:szCs w:val="20"/>
              </w:rPr>
              <w:t>jsou podmínky pro podporu nových budov z EU zdrojů navýšeny.</w:t>
            </w:r>
          </w:p>
          <w:p w14:paraId="1D52F279" w14:textId="77777777" w:rsidR="003D7C06" w:rsidRDefault="003D7C06">
            <w:pPr>
              <w:spacing w:after="0" w:line="240" w:lineRule="auto"/>
              <w:rPr>
                <w:rFonts w:asciiTheme="minorHAnsi" w:hAnsiTheme="minorHAnsi" w:cstheme="minorHAnsi"/>
                <w:i/>
                <w:sz w:val="20"/>
                <w:szCs w:val="20"/>
              </w:rPr>
            </w:pPr>
          </w:p>
          <w:p w14:paraId="5A9BECC7" w14:textId="77777777" w:rsidR="003D7C06" w:rsidRDefault="003D7C06">
            <w:pPr>
              <w:spacing w:after="0" w:line="240" w:lineRule="auto"/>
              <w:rPr>
                <w:rFonts w:asciiTheme="minorHAnsi" w:hAnsiTheme="minorHAnsi" w:cstheme="minorHAnsi"/>
                <w:sz w:val="20"/>
                <w:szCs w:val="20"/>
              </w:rPr>
            </w:pPr>
            <w:r>
              <w:rPr>
                <w:rFonts w:asciiTheme="minorHAnsi" w:hAnsiTheme="minorHAnsi" w:cstheme="minorHAnsi"/>
                <w:sz w:val="20"/>
                <w:szCs w:val="20"/>
              </w:rPr>
              <w:t>U budov do 5 000 m</w:t>
            </w:r>
            <w:r>
              <w:rPr>
                <w:rFonts w:asciiTheme="minorHAnsi" w:hAnsiTheme="minorHAnsi" w:cstheme="minorHAnsi"/>
                <w:sz w:val="20"/>
                <w:szCs w:val="20"/>
                <w:vertAlign w:val="superscript"/>
              </w:rPr>
              <w:t xml:space="preserve">2 </w:t>
            </w:r>
            <w:r>
              <w:rPr>
                <w:rFonts w:asciiTheme="minorHAnsi" w:hAnsiTheme="minorHAnsi" w:cstheme="minorHAnsi"/>
                <w:sz w:val="20"/>
                <w:szCs w:val="20"/>
                <w:vertAlign w:val="superscript"/>
              </w:rPr>
              <w:footnoteReference w:id="118"/>
            </w:r>
            <w:r>
              <w:rPr>
                <w:rFonts w:asciiTheme="minorHAnsi" w:hAnsiTheme="minorHAnsi" w:cstheme="minorHAnsi"/>
                <w:sz w:val="20"/>
                <w:szCs w:val="20"/>
              </w:rPr>
              <w:t>: Potřeba primární energie</w:t>
            </w:r>
            <w:r>
              <w:rPr>
                <w:vertAlign w:val="superscript"/>
              </w:rPr>
              <w:footnoteReference w:id="119"/>
            </w:r>
            <w:r>
              <w:rPr>
                <w:rFonts w:asciiTheme="minorHAnsi" w:hAnsiTheme="minorHAnsi" w:cstheme="minorHAnsi"/>
                <w:sz w:val="20"/>
                <w:szCs w:val="20"/>
              </w:rPr>
              <w:t xml:space="preserve"> definující energetickou náročnost budovy, která </w:t>
            </w:r>
            <w:r>
              <w:rPr>
                <w:rFonts w:asciiTheme="minorHAnsi" w:hAnsiTheme="minorHAnsi" w:cstheme="minorHAnsi"/>
                <w:sz w:val="20"/>
                <w:szCs w:val="20"/>
              </w:rPr>
              <w:lastRenderedPageBreak/>
              <w:t>je výsledkem výstavby, je nejméně o 10 % nižší než prahová hodnota, kterou u požadavků na budovy s téměř nulovou spotřebou energie stanoví vnitrostátní opatření provádějící směrnici Evropského parlamentu a Rady 2010/31/EU</w:t>
            </w:r>
            <w:r>
              <w:rPr>
                <w:vertAlign w:val="superscript"/>
              </w:rPr>
              <w:footnoteReference w:id="120"/>
            </w:r>
            <w:r>
              <w:rPr>
                <w:rFonts w:asciiTheme="minorHAnsi" w:hAnsiTheme="minorHAnsi" w:cstheme="minorHAnsi"/>
                <w:sz w:val="20"/>
                <w:szCs w:val="20"/>
              </w:rPr>
              <w:t>. Energetická náročnost je potvrzena průkazem energetické náročnosti skutečného stavu budovy.</w:t>
            </w:r>
          </w:p>
          <w:p w14:paraId="2AD77B64" w14:textId="77777777" w:rsidR="003D7C06" w:rsidRDefault="003D7C06">
            <w:pPr>
              <w:spacing w:after="0" w:line="240" w:lineRule="auto"/>
              <w:rPr>
                <w:rFonts w:asciiTheme="minorHAnsi" w:hAnsiTheme="minorHAnsi" w:cstheme="minorHAnsi"/>
                <w:sz w:val="20"/>
                <w:szCs w:val="20"/>
              </w:rPr>
            </w:pPr>
          </w:p>
          <w:p w14:paraId="27A570CA" w14:textId="3C5323D5" w:rsidR="003D7C06" w:rsidRDefault="003D7C06">
            <w:pPr>
              <w:spacing w:after="0" w:line="240" w:lineRule="auto"/>
              <w:rPr>
                <w:rFonts w:asciiTheme="minorHAnsi" w:hAnsiTheme="minorHAnsi" w:cstheme="minorHAnsi"/>
                <w:b/>
                <w:i/>
                <w:sz w:val="20"/>
                <w:szCs w:val="20"/>
              </w:rPr>
            </w:pPr>
            <w:r>
              <w:rPr>
                <w:rFonts w:asciiTheme="minorHAnsi" w:hAnsiTheme="minorHAnsi" w:cstheme="minorHAnsi"/>
                <w:b/>
                <w:i/>
                <w:sz w:val="20"/>
                <w:szCs w:val="20"/>
              </w:rPr>
              <w:t>Významný přínos ke zmírňování změny klimatu dle přílohy I nařízení EU 2021/2139 je splněn</w:t>
            </w:r>
            <w:r w:rsidR="00393BA0">
              <w:rPr>
                <w:rFonts w:asciiTheme="minorHAnsi" w:hAnsiTheme="minorHAnsi" w:cstheme="minorHAnsi"/>
                <w:b/>
                <w:i/>
                <w:sz w:val="20"/>
                <w:szCs w:val="20"/>
              </w:rPr>
              <w:t xml:space="preserve"> či překročen.</w:t>
            </w:r>
          </w:p>
          <w:p w14:paraId="10E4B779" w14:textId="77777777" w:rsidR="003D7C06" w:rsidRDefault="003D7C06">
            <w:pPr>
              <w:spacing w:after="0" w:line="240" w:lineRule="auto"/>
              <w:rPr>
                <w:rFonts w:asciiTheme="minorHAnsi" w:hAnsiTheme="minorHAnsi" w:cstheme="minorHAnsi"/>
                <w:sz w:val="20"/>
                <w:szCs w:val="20"/>
              </w:rPr>
            </w:pPr>
          </w:p>
          <w:p w14:paraId="315F5860" w14:textId="77777777" w:rsidR="003D7C06" w:rsidRDefault="003D7C06">
            <w:pPr>
              <w:spacing w:after="0" w:line="240" w:lineRule="auto"/>
              <w:rPr>
                <w:rFonts w:asciiTheme="minorHAnsi" w:hAnsiTheme="minorHAnsi" w:cstheme="minorHAnsi"/>
                <w:sz w:val="20"/>
                <w:szCs w:val="20"/>
              </w:rPr>
            </w:pPr>
            <w:r>
              <w:rPr>
                <w:rFonts w:asciiTheme="minorHAnsi" w:hAnsiTheme="minorHAnsi" w:cstheme="minorHAnsi"/>
                <w:sz w:val="20"/>
                <w:szCs w:val="20"/>
              </w:rPr>
              <w:t>U budov nad 5 000 m</w:t>
            </w:r>
            <w:r>
              <w:rPr>
                <w:rFonts w:asciiTheme="minorHAnsi" w:hAnsiTheme="minorHAnsi" w:cstheme="minorHAnsi"/>
                <w:sz w:val="20"/>
                <w:szCs w:val="20"/>
                <w:vertAlign w:val="superscript"/>
              </w:rPr>
              <w:t xml:space="preserve">2 </w:t>
            </w:r>
            <w:r>
              <w:rPr>
                <w:rFonts w:asciiTheme="minorHAnsi" w:hAnsiTheme="minorHAnsi" w:cstheme="minorHAnsi"/>
                <w:sz w:val="20"/>
                <w:szCs w:val="20"/>
                <w:vertAlign w:val="superscript"/>
              </w:rPr>
              <w:footnoteReference w:id="121"/>
            </w:r>
            <w:r>
              <w:rPr>
                <w:rFonts w:asciiTheme="minorHAnsi" w:hAnsiTheme="minorHAnsi" w:cstheme="minorHAnsi"/>
                <w:sz w:val="20"/>
                <w:szCs w:val="20"/>
              </w:rPr>
              <w:t xml:space="preserve"> prochází po dokončení budova, která je výsledkem výstavby, zkouškou vzduchotěsnosti a tepelné integrity</w:t>
            </w:r>
            <w:r>
              <w:rPr>
                <w:rFonts w:asciiTheme="minorHAnsi" w:hAnsiTheme="minorHAnsi" w:cstheme="minorHAnsi"/>
                <w:sz w:val="20"/>
                <w:szCs w:val="20"/>
                <w:vertAlign w:val="superscript"/>
              </w:rPr>
              <w:footnoteReference w:id="122"/>
            </w:r>
            <w:r>
              <w:rPr>
                <w:rFonts w:asciiTheme="minorHAnsi" w:hAnsiTheme="minorHAnsi" w:cstheme="minorHAnsi"/>
                <w:sz w:val="20"/>
                <w:szCs w:val="20"/>
              </w:rPr>
              <w:t>, přičemž veškeré odchylky od úrovní náročnosti stanovených ve fázi návrhu nebo vady pláště budovy jsou sděleny investorům a klientům. Alternativní postup: pokud jsou během stavebního procesu zavedeny robustní a sledovatelné postupy řízení kvality, jedná se o přijatelnou alternativu ke zkouškám tepelné integrity.</w:t>
            </w:r>
          </w:p>
          <w:p w14:paraId="31CE364A" w14:textId="77777777" w:rsidR="003D7C06" w:rsidRDefault="003D7C06">
            <w:pPr>
              <w:spacing w:after="0" w:line="240" w:lineRule="auto"/>
              <w:rPr>
                <w:rFonts w:asciiTheme="minorHAnsi" w:hAnsiTheme="minorHAnsi" w:cstheme="minorHAnsi"/>
                <w:sz w:val="20"/>
                <w:szCs w:val="20"/>
              </w:rPr>
            </w:pPr>
            <w:r>
              <w:rPr>
                <w:rFonts w:asciiTheme="minorHAnsi" w:hAnsiTheme="minorHAnsi" w:cstheme="minorHAnsi"/>
                <w:sz w:val="20"/>
                <w:szCs w:val="20"/>
              </w:rPr>
              <w:t>U budov nad 5 000 m</w:t>
            </w:r>
            <w:r>
              <w:rPr>
                <w:rFonts w:asciiTheme="minorHAnsi" w:hAnsiTheme="minorHAnsi" w:cstheme="minorHAnsi"/>
                <w:sz w:val="20"/>
                <w:szCs w:val="20"/>
                <w:vertAlign w:val="superscript"/>
              </w:rPr>
              <w:t xml:space="preserve">2 </w:t>
            </w:r>
            <w:r>
              <w:rPr>
                <w:rFonts w:asciiTheme="minorHAnsi" w:hAnsiTheme="minorHAnsi" w:cstheme="minorHAnsi"/>
                <w:sz w:val="20"/>
                <w:szCs w:val="20"/>
                <w:vertAlign w:val="superscript"/>
              </w:rPr>
              <w:footnoteReference w:id="123"/>
            </w:r>
            <w:r>
              <w:rPr>
                <w:rFonts w:asciiTheme="minorHAnsi" w:hAnsiTheme="minorHAnsi" w:cstheme="minorHAnsi"/>
                <w:sz w:val="20"/>
                <w:szCs w:val="20"/>
              </w:rPr>
              <w:t xml:space="preserve"> je vypočten potenciál globálního oteplování</w:t>
            </w:r>
            <w:r>
              <w:rPr>
                <w:rFonts w:asciiTheme="minorHAnsi" w:hAnsiTheme="minorHAnsi" w:cstheme="minorHAnsi"/>
                <w:sz w:val="20"/>
                <w:szCs w:val="20"/>
                <w:vertAlign w:val="superscript"/>
              </w:rPr>
              <w:footnoteReference w:id="124"/>
            </w:r>
            <w:r>
              <w:rPr>
                <w:rFonts w:asciiTheme="minorHAnsi" w:hAnsiTheme="minorHAnsi" w:cstheme="minorHAnsi"/>
                <w:sz w:val="20"/>
                <w:szCs w:val="20"/>
              </w:rPr>
              <w:t xml:space="preserve"> </w:t>
            </w:r>
            <w:r>
              <w:rPr>
                <w:rFonts w:asciiTheme="minorHAnsi" w:hAnsiTheme="minorHAnsi" w:cstheme="minorHAnsi"/>
                <w:sz w:val="20"/>
                <w:szCs w:val="20"/>
              </w:rPr>
              <w:lastRenderedPageBreak/>
              <w:t>během životního cyklu budovy, která je výsledkem výstavby, pro každou fázi životního cyklu a je na požádání sdělen investorům a klientům.</w:t>
            </w:r>
          </w:p>
          <w:p w14:paraId="4F057F70" w14:textId="77777777" w:rsidR="003D7C06" w:rsidRDefault="003D7C06">
            <w:pPr>
              <w:spacing w:after="0" w:line="240" w:lineRule="auto"/>
              <w:rPr>
                <w:rFonts w:asciiTheme="minorHAnsi" w:hAnsiTheme="minorHAnsi" w:cstheme="minorHAnsi"/>
                <w:sz w:val="20"/>
                <w:szCs w:val="20"/>
              </w:rPr>
            </w:pPr>
          </w:p>
          <w:p w14:paraId="20F6BB43" w14:textId="77777777" w:rsidR="003D7C06" w:rsidRDefault="003D7C06">
            <w:pPr>
              <w:spacing w:after="0" w:line="240" w:lineRule="auto"/>
              <w:rPr>
                <w:rFonts w:asciiTheme="minorHAnsi" w:hAnsiTheme="minorHAnsi" w:cstheme="minorHAnsi"/>
                <w:sz w:val="20"/>
                <w:szCs w:val="20"/>
              </w:rPr>
            </w:pPr>
            <w:r>
              <w:rPr>
                <w:rFonts w:asciiTheme="minorHAnsi" w:hAnsiTheme="minorHAnsi" w:cstheme="minorHAnsi"/>
                <w:b/>
                <w:i/>
                <w:sz w:val="20"/>
                <w:szCs w:val="20"/>
              </w:rPr>
              <w:t>Významný přínos ke zmírňování změny klimatu dle přílohy I nařízení EU 2021/2139 – pro soulad s taxonomií by bylo nutné v rámci fondů zohlednit tyto podmínky u budov nad 5 000 m</w:t>
            </w:r>
            <w:r>
              <w:rPr>
                <w:rFonts w:asciiTheme="minorHAnsi" w:hAnsiTheme="minorHAnsi" w:cstheme="minorHAnsi"/>
                <w:b/>
                <w:i/>
                <w:sz w:val="20"/>
                <w:szCs w:val="20"/>
                <w:vertAlign w:val="superscript"/>
              </w:rPr>
              <w:t>2</w:t>
            </w:r>
          </w:p>
        </w:tc>
      </w:tr>
      <w:tr w:rsidR="00EA4CB0" w14:paraId="1303219F" w14:textId="77777777" w:rsidTr="00FE7E4F">
        <w:tc>
          <w:tcPr>
            <w:tcW w:w="570" w:type="pct"/>
            <w:vMerge/>
            <w:shd w:val="clear" w:color="auto" w:fill="FFF0FF"/>
          </w:tcPr>
          <w:p w14:paraId="6674A3D9" w14:textId="77777777" w:rsidR="003D7C06" w:rsidRDefault="003D7C06">
            <w:pPr>
              <w:spacing w:after="0" w:line="240" w:lineRule="auto"/>
              <w:rPr>
                <w:rFonts w:asciiTheme="minorHAnsi" w:hAnsiTheme="minorHAnsi" w:cstheme="minorHAnsi"/>
                <w:b/>
                <w:sz w:val="20"/>
                <w:szCs w:val="20"/>
              </w:rPr>
            </w:pPr>
          </w:p>
        </w:tc>
        <w:tc>
          <w:tcPr>
            <w:tcW w:w="1150" w:type="pct"/>
            <w:shd w:val="clear" w:color="auto" w:fill="FFF0FF"/>
          </w:tcPr>
          <w:p w14:paraId="23BEA376" w14:textId="77777777" w:rsidR="003D7C06" w:rsidRDefault="003D7C06">
            <w:pPr>
              <w:spacing w:after="0" w:line="240" w:lineRule="auto"/>
              <w:rPr>
                <w:rFonts w:asciiTheme="minorHAnsi" w:hAnsiTheme="minorHAnsi" w:cstheme="minorHAnsi"/>
                <w:bCs/>
                <w:sz w:val="20"/>
                <w:szCs w:val="20"/>
                <w:lang w:eastAsia="cs-CZ"/>
              </w:rPr>
            </w:pPr>
            <w:r>
              <w:rPr>
                <w:rFonts w:asciiTheme="minorHAnsi" w:hAnsiTheme="minorHAnsi" w:cstheme="minorHAnsi"/>
                <w:bCs/>
                <w:sz w:val="20"/>
                <w:szCs w:val="20"/>
              </w:rPr>
              <w:t>Budova není určena k těžbě, skladování, přepravě nebo výrobě fosilních paliv.</w:t>
            </w:r>
          </w:p>
        </w:tc>
        <w:tc>
          <w:tcPr>
            <w:tcW w:w="1114" w:type="pct"/>
            <w:shd w:val="clear" w:color="auto" w:fill="FFF0FF"/>
          </w:tcPr>
          <w:p w14:paraId="39722D45" w14:textId="77777777" w:rsidR="003D7C06" w:rsidRDefault="003D7C06">
            <w:pPr>
              <w:spacing w:after="0" w:line="240" w:lineRule="auto"/>
              <w:rPr>
                <w:rFonts w:asciiTheme="minorHAnsi" w:hAnsiTheme="minorHAnsi" w:cstheme="minorHAnsi"/>
                <w:sz w:val="20"/>
                <w:szCs w:val="20"/>
              </w:rPr>
            </w:pPr>
            <w:r>
              <w:rPr>
                <w:rFonts w:asciiTheme="minorHAnsi" w:hAnsiTheme="minorHAnsi" w:cstheme="minorHAnsi"/>
                <w:sz w:val="20"/>
                <w:szCs w:val="20"/>
              </w:rPr>
              <w:t>Nastavení předmětu podpory.</w:t>
            </w:r>
          </w:p>
        </w:tc>
        <w:tc>
          <w:tcPr>
            <w:tcW w:w="1064" w:type="pct"/>
            <w:shd w:val="clear" w:color="auto" w:fill="FFF0FF"/>
          </w:tcPr>
          <w:p w14:paraId="6C3F8003" w14:textId="7005B6A1" w:rsidR="003D7C06" w:rsidRDefault="00FE7E4F">
            <w:pPr>
              <w:spacing w:after="0" w:line="240" w:lineRule="auto"/>
              <w:rPr>
                <w:rFonts w:asciiTheme="minorHAnsi" w:hAnsiTheme="minorHAnsi" w:cstheme="minorHAnsi"/>
                <w:sz w:val="20"/>
                <w:szCs w:val="20"/>
              </w:rPr>
            </w:pPr>
            <w:r>
              <w:rPr>
                <w:rFonts w:asciiTheme="minorHAnsi" w:hAnsiTheme="minorHAnsi" w:cstheme="minorHAnsi"/>
                <w:sz w:val="20"/>
                <w:szCs w:val="20"/>
              </w:rPr>
              <w:t>Kontrola v rámci projektové žádosti.</w:t>
            </w:r>
          </w:p>
        </w:tc>
        <w:tc>
          <w:tcPr>
            <w:tcW w:w="1102" w:type="pct"/>
            <w:shd w:val="clear" w:color="auto" w:fill="FFF0FF"/>
          </w:tcPr>
          <w:p w14:paraId="5B1EEC06" w14:textId="77777777" w:rsidR="003D7C06" w:rsidRDefault="003D7C06">
            <w:pPr>
              <w:spacing w:after="0" w:line="240" w:lineRule="auto"/>
              <w:rPr>
                <w:rFonts w:asciiTheme="minorHAnsi" w:hAnsiTheme="minorHAnsi" w:cstheme="minorHAnsi"/>
                <w:sz w:val="20"/>
                <w:szCs w:val="20"/>
              </w:rPr>
            </w:pPr>
            <w:r>
              <w:rPr>
                <w:rFonts w:asciiTheme="minorHAnsi" w:hAnsiTheme="minorHAnsi" w:cstheme="minorHAnsi"/>
                <w:sz w:val="20"/>
                <w:szCs w:val="20"/>
              </w:rPr>
              <w:t>Budova není určena k těžbě, skladování, přepravě nebo výrobě fosilních paliv.</w:t>
            </w:r>
          </w:p>
          <w:p w14:paraId="4C51829D" w14:textId="77777777" w:rsidR="003D7C06" w:rsidRDefault="003D7C06">
            <w:pPr>
              <w:spacing w:after="0" w:line="240" w:lineRule="auto"/>
              <w:rPr>
                <w:rFonts w:asciiTheme="minorHAnsi" w:hAnsiTheme="minorHAnsi" w:cstheme="minorHAnsi"/>
                <w:i/>
                <w:sz w:val="20"/>
                <w:szCs w:val="20"/>
              </w:rPr>
            </w:pPr>
          </w:p>
          <w:p w14:paraId="6E0C921B" w14:textId="77777777" w:rsidR="003D7C06" w:rsidRDefault="003D7C06">
            <w:pPr>
              <w:spacing w:after="0" w:line="240" w:lineRule="auto"/>
              <w:rPr>
                <w:rFonts w:asciiTheme="minorHAnsi" w:hAnsiTheme="minorHAnsi" w:cstheme="minorHAnsi"/>
                <w:b/>
                <w:i/>
                <w:sz w:val="20"/>
                <w:szCs w:val="20"/>
              </w:rPr>
            </w:pPr>
            <w:r>
              <w:rPr>
                <w:rFonts w:asciiTheme="minorHAnsi" w:hAnsiTheme="minorHAnsi" w:cstheme="minorHAnsi"/>
                <w:b/>
                <w:i/>
                <w:sz w:val="20"/>
                <w:szCs w:val="20"/>
              </w:rPr>
              <w:t>DNSH zmírňování změny klimatu (</w:t>
            </w:r>
            <w:proofErr w:type="spellStart"/>
            <w:r>
              <w:rPr>
                <w:rFonts w:asciiTheme="minorHAnsi" w:hAnsiTheme="minorHAnsi" w:cstheme="minorHAnsi"/>
                <w:b/>
                <w:i/>
                <w:sz w:val="20"/>
                <w:szCs w:val="20"/>
              </w:rPr>
              <w:t>mitigace</w:t>
            </w:r>
            <w:proofErr w:type="spellEnd"/>
            <w:r>
              <w:rPr>
                <w:rFonts w:asciiTheme="minorHAnsi" w:hAnsiTheme="minorHAnsi" w:cstheme="minorHAnsi"/>
                <w:b/>
                <w:i/>
                <w:sz w:val="20"/>
                <w:szCs w:val="20"/>
              </w:rPr>
              <w:t>) dle přílohy II nařízení EU 2021/2139 je splněn</w:t>
            </w:r>
          </w:p>
          <w:p w14:paraId="734E042D" w14:textId="77777777" w:rsidR="003D7C06" w:rsidRDefault="003D7C06">
            <w:pPr>
              <w:spacing w:after="0" w:line="240" w:lineRule="auto"/>
              <w:rPr>
                <w:rFonts w:asciiTheme="minorHAnsi" w:hAnsiTheme="minorHAnsi" w:cstheme="minorHAnsi"/>
                <w:sz w:val="20"/>
                <w:szCs w:val="20"/>
              </w:rPr>
            </w:pPr>
          </w:p>
        </w:tc>
      </w:tr>
      <w:tr w:rsidR="00EA4CB0" w14:paraId="5514CC9E" w14:textId="77777777" w:rsidTr="00FE7E4F">
        <w:tc>
          <w:tcPr>
            <w:tcW w:w="570" w:type="pct"/>
            <w:vMerge/>
            <w:shd w:val="clear" w:color="auto" w:fill="FFF0FF"/>
          </w:tcPr>
          <w:p w14:paraId="7A2D7A32" w14:textId="77777777" w:rsidR="003D7C06" w:rsidRDefault="003D7C06">
            <w:pPr>
              <w:spacing w:after="0" w:line="240" w:lineRule="auto"/>
              <w:rPr>
                <w:rFonts w:asciiTheme="minorHAnsi" w:hAnsiTheme="minorHAnsi" w:cstheme="minorHAnsi"/>
                <w:b/>
                <w:sz w:val="20"/>
                <w:szCs w:val="20"/>
              </w:rPr>
            </w:pPr>
          </w:p>
        </w:tc>
        <w:tc>
          <w:tcPr>
            <w:tcW w:w="1150" w:type="pct"/>
            <w:shd w:val="clear" w:color="auto" w:fill="FFF0FF"/>
          </w:tcPr>
          <w:p w14:paraId="3DB5BB2A" w14:textId="4D870FC7" w:rsidR="00FE7E4F" w:rsidRDefault="00A15CB7" w:rsidP="00FE7E4F">
            <w:pPr>
              <w:spacing w:after="0" w:line="240" w:lineRule="auto"/>
              <w:rPr>
                <w:rFonts w:asciiTheme="minorHAnsi" w:hAnsiTheme="minorHAnsi" w:cstheme="minorHAnsi"/>
                <w:bCs/>
                <w:sz w:val="20"/>
                <w:szCs w:val="20"/>
                <w:lang w:eastAsia="cs-CZ"/>
              </w:rPr>
            </w:pPr>
            <w:r>
              <w:rPr>
                <w:rFonts w:asciiTheme="minorHAnsi" w:hAnsiTheme="minorHAnsi" w:cstheme="minorHAnsi"/>
                <w:bCs/>
                <w:sz w:val="20"/>
                <w:szCs w:val="20"/>
              </w:rPr>
              <w:t>Výrobky označené energetickými štítky budou</w:t>
            </w:r>
            <w:r w:rsidDel="00A15CB7">
              <w:rPr>
                <w:rFonts w:asciiTheme="minorHAnsi" w:hAnsiTheme="minorHAnsi" w:cstheme="minorHAnsi"/>
                <w:bCs/>
                <w:sz w:val="20"/>
                <w:szCs w:val="20"/>
              </w:rPr>
              <w:t xml:space="preserve"> </w:t>
            </w:r>
            <w:r w:rsidR="003D7C06">
              <w:rPr>
                <w:rFonts w:asciiTheme="minorHAnsi" w:hAnsiTheme="minorHAnsi" w:cstheme="minorHAnsi"/>
                <w:bCs/>
                <w:sz w:val="20"/>
                <w:szCs w:val="20"/>
              </w:rPr>
              <w:t xml:space="preserve">splňovat požadavky na ekodesign (tj. požadavky směrnice Evropského parlamentu a Rady </w:t>
            </w:r>
            <w:r w:rsidR="00F0232E" w:rsidRPr="00F0232E">
              <w:rPr>
                <w:rFonts w:asciiTheme="minorHAnsi" w:hAnsiTheme="minorHAnsi" w:cstheme="minorHAnsi"/>
                <w:bCs/>
                <w:sz w:val="20"/>
                <w:szCs w:val="20"/>
              </w:rPr>
              <w:t>2024/1781</w:t>
            </w:r>
            <w:r w:rsidR="003D7C06">
              <w:rPr>
                <w:rFonts w:asciiTheme="minorHAnsi" w:hAnsiTheme="minorHAnsi" w:cstheme="minorHAnsi"/>
                <w:bCs/>
                <w:sz w:val="20"/>
                <w:szCs w:val="20"/>
              </w:rPr>
              <w:t>) a budou zařazeny do jedné ze dvou nejvyšších významně zastoupených tříd energetické účinnosti ve smyslu čl. 7 odst. 2 nařízení Evropského parlamentu a Rady (EU) 2017/1369 (zastoupení na trhu)</w:t>
            </w:r>
            <w:r w:rsidR="003B795A">
              <w:rPr>
                <w:rStyle w:val="Znakapoznpodarou"/>
                <w:rFonts w:asciiTheme="minorHAnsi" w:hAnsiTheme="minorHAnsi" w:cstheme="minorHAnsi"/>
                <w:bCs/>
                <w:sz w:val="20"/>
                <w:szCs w:val="20"/>
              </w:rPr>
              <w:footnoteReference w:id="125"/>
            </w:r>
            <w:r w:rsidR="003B795A">
              <w:rPr>
                <w:rFonts w:asciiTheme="minorHAnsi" w:hAnsiTheme="minorHAnsi" w:cstheme="minorHAnsi"/>
                <w:bCs/>
                <w:sz w:val="20"/>
                <w:szCs w:val="20"/>
              </w:rPr>
              <w:t xml:space="preserve">. </w:t>
            </w:r>
            <w:r w:rsidR="00023E18" w:rsidRPr="00D77C59">
              <w:rPr>
                <w:rFonts w:asciiTheme="minorHAnsi" w:hAnsiTheme="minorHAnsi" w:cstheme="minorHAnsi"/>
                <w:bCs/>
                <w:sz w:val="20"/>
                <w:szCs w:val="20"/>
              </w:rPr>
              <w:t>V případě produktů bez označování energetickými štítky lze zvýhodnit výrobky s jinou certifikací energetické účinnosti.</w:t>
            </w:r>
          </w:p>
        </w:tc>
        <w:tc>
          <w:tcPr>
            <w:tcW w:w="1114" w:type="pct"/>
            <w:shd w:val="clear" w:color="auto" w:fill="FFF0FF"/>
          </w:tcPr>
          <w:p w14:paraId="15A11435" w14:textId="44C0E1EA" w:rsidR="003D7C06" w:rsidRDefault="003D7C06">
            <w:pPr>
              <w:spacing w:after="0" w:line="240" w:lineRule="auto"/>
              <w:rPr>
                <w:rFonts w:asciiTheme="minorHAnsi" w:hAnsiTheme="minorHAnsi" w:cstheme="minorHAnsi"/>
                <w:sz w:val="20"/>
                <w:szCs w:val="20"/>
              </w:rPr>
            </w:pPr>
            <w:r>
              <w:rPr>
                <w:rFonts w:asciiTheme="minorHAnsi" w:hAnsiTheme="minorHAnsi" w:cstheme="minorHAnsi"/>
                <w:sz w:val="20"/>
                <w:szCs w:val="20"/>
              </w:rPr>
              <w:t>Nastavení podmínek podpory – jedná se legislativní požadavek pro poskytování veřejné podpory.</w:t>
            </w:r>
          </w:p>
          <w:p w14:paraId="0A477AC8" w14:textId="77777777" w:rsidR="003D7C06" w:rsidRDefault="003D7C06">
            <w:pPr>
              <w:spacing w:after="0" w:line="240" w:lineRule="auto"/>
              <w:rPr>
                <w:rFonts w:asciiTheme="minorHAnsi" w:hAnsiTheme="minorHAnsi" w:cstheme="minorHAnsi"/>
                <w:sz w:val="20"/>
                <w:szCs w:val="20"/>
              </w:rPr>
            </w:pPr>
          </w:p>
          <w:p w14:paraId="5F90E7C1" w14:textId="59720706" w:rsidR="00FE7E4F" w:rsidRDefault="00FE7E4F">
            <w:pPr>
              <w:spacing w:after="0" w:line="240" w:lineRule="auto"/>
              <w:rPr>
                <w:rFonts w:asciiTheme="minorHAnsi" w:hAnsiTheme="minorHAnsi" w:cstheme="minorHAnsi"/>
                <w:sz w:val="20"/>
                <w:szCs w:val="20"/>
              </w:rPr>
            </w:pPr>
            <w:r>
              <w:rPr>
                <w:rFonts w:asciiTheme="minorHAnsi" w:hAnsiTheme="minorHAnsi" w:cstheme="minorHAnsi"/>
                <w:sz w:val="20"/>
                <w:szCs w:val="20"/>
              </w:rPr>
              <w:t>Konkretizované min. požadavky na energetickou účinnost zdrojů energie a případné další podmínky jsou rozvedeny v podkapitolách kapitoly 5.</w:t>
            </w:r>
            <w:r w:rsidR="009830DC">
              <w:rPr>
                <w:rFonts w:asciiTheme="minorHAnsi" w:hAnsiTheme="minorHAnsi" w:cstheme="minorHAnsi"/>
                <w:sz w:val="20"/>
                <w:szCs w:val="20"/>
              </w:rPr>
              <w:t>2</w:t>
            </w:r>
            <w:r>
              <w:rPr>
                <w:rFonts w:asciiTheme="minorHAnsi" w:hAnsiTheme="minorHAnsi" w:cstheme="minorHAnsi"/>
                <w:sz w:val="20"/>
                <w:szCs w:val="20"/>
              </w:rPr>
              <w:t>.</w:t>
            </w:r>
          </w:p>
        </w:tc>
        <w:tc>
          <w:tcPr>
            <w:tcW w:w="1064" w:type="pct"/>
            <w:shd w:val="clear" w:color="auto" w:fill="FFF0FF"/>
          </w:tcPr>
          <w:p w14:paraId="5517C149" w14:textId="3DDD9128" w:rsidR="003D7C06" w:rsidRDefault="00FE7E4F">
            <w:pPr>
              <w:spacing w:after="0" w:line="240" w:lineRule="auto"/>
              <w:rPr>
                <w:rFonts w:asciiTheme="minorHAnsi" w:hAnsiTheme="minorHAnsi" w:cstheme="minorHAnsi"/>
                <w:sz w:val="20"/>
                <w:szCs w:val="20"/>
              </w:rPr>
            </w:pPr>
            <w:r>
              <w:rPr>
                <w:rFonts w:asciiTheme="minorHAnsi" w:hAnsiTheme="minorHAnsi" w:cstheme="minorHAnsi"/>
                <w:sz w:val="20"/>
                <w:szCs w:val="20"/>
              </w:rPr>
              <w:t>Kontrola v rámci projektové žádosti.</w:t>
            </w:r>
          </w:p>
        </w:tc>
        <w:tc>
          <w:tcPr>
            <w:tcW w:w="1102" w:type="pct"/>
            <w:shd w:val="clear" w:color="auto" w:fill="FFF0FF"/>
          </w:tcPr>
          <w:p w14:paraId="0B5EF61F" w14:textId="77777777" w:rsidR="003D7C06" w:rsidRDefault="003D7C06">
            <w:pPr>
              <w:spacing w:after="0" w:line="240" w:lineRule="auto"/>
              <w:rPr>
                <w:rFonts w:asciiTheme="minorHAnsi" w:hAnsiTheme="minorHAnsi" w:cstheme="minorHAnsi"/>
                <w:sz w:val="20"/>
                <w:szCs w:val="20"/>
              </w:rPr>
            </w:pPr>
          </w:p>
        </w:tc>
      </w:tr>
      <w:tr w:rsidR="00FE7E4F" w14:paraId="05C76E0F" w14:textId="77777777" w:rsidTr="00FE7E4F">
        <w:tc>
          <w:tcPr>
            <w:tcW w:w="570" w:type="pct"/>
            <w:vMerge/>
            <w:shd w:val="clear" w:color="auto" w:fill="FFF0FF"/>
          </w:tcPr>
          <w:p w14:paraId="19FA9C92" w14:textId="77777777" w:rsidR="00FE7E4F" w:rsidRDefault="00FE7E4F" w:rsidP="00FE7E4F">
            <w:pPr>
              <w:spacing w:after="0" w:line="240" w:lineRule="auto"/>
              <w:rPr>
                <w:rFonts w:asciiTheme="minorHAnsi" w:hAnsiTheme="minorHAnsi" w:cstheme="minorHAnsi"/>
                <w:b/>
                <w:sz w:val="20"/>
                <w:szCs w:val="20"/>
              </w:rPr>
            </w:pPr>
          </w:p>
        </w:tc>
        <w:tc>
          <w:tcPr>
            <w:tcW w:w="1150" w:type="pct"/>
            <w:shd w:val="clear" w:color="auto" w:fill="FFF0FF"/>
          </w:tcPr>
          <w:p w14:paraId="2BD6C482" w14:textId="496170EC" w:rsidR="00FE7E4F" w:rsidRDefault="00A37B2E" w:rsidP="00FE7E4F">
            <w:pPr>
              <w:spacing w:after="0" w:line="240" w:lineRule="auto"/>
              <w:rPr>
                <w:rFonts w:asciiTheme="minorHAnsi" w:hAnsiTheme="minorHAnsi" w:cstheme="minorHAnsi"/>
                <w:bCs/>
                <w:sz w:val="20"/>
                <w:szCs w:val="20"/>
              </w:rPr>
            </w:pPr>
            <w:r>
              <w:rPr>
                <w:rFonts w:asciiTheme="minorHAnsi" w:hAnsiTheme="minorHAnsi" w:cstheme="minorHAnsi"/>
                <w:bCs/>
                <w:sz w:val="20"/>
                <w:szCs w:val="20"/>
              </w:rPr>
              <w:t>Zdroje energie budou v souladu s možnostmi dle kapitoly 5.2.1.2 a technickými parametry pro vybrané zdroje dle kapitol 5.2.3.2.1 až 5.2.3.2.8</w:t>
            </w:r>
            <w:r w:rsidR="00FE7E4F">
              <w:rPr>
                <w:rFonts w:asciiTheme="minorHAnsi" w:hAnsiTheme="minorHAnsi" w:cstheme="minorHAnsi"/>
                <w:bCs/>
                <w:sz w:val="20"/>
                <w:szCs w:val="20"/>
              </w:rPr>
              <w:t>.</w:t>
            </w:r>
          </w:p>
          <w:p w14:paraId="695931BE" w14:textId="77777777" w:rsidR="00FE7E4F" w:rsidRDefault="00FE7E4F" w:rsidP="00FE7E4F">
            <w:pPr>
              <w:spacing w:after="0" w:line="240" w:lineRule="auto"/>
              <w:rPr>
                <w:rFonts w:asciiTheme="minorHAnsi" w:hAnsiTheme="minorHAnsi" w:cstheme="minorHAnsi"/>
                <w:bCs/>
                <w:color w:val="A6A6A6" w:themeColor="background1" w:themeShade="A6"/>
                <w:sz w:val="20"/>
                <w:szCs w:val="20"/>
              </w:rPr>
            </w:pPr>
          </w:p>
        </w:tc>
        <w:tc>
          <w:tcPr>
            <w:tcW w:w="1114" w:type="pct"/>
            <w:shd w:val="clear" w:color="auto" w:fill="FFF0FF"/>
          </w:tcPr>
          <w:p w14:paraId="68AF2558" w14:textId="17C648A2" w:rsidR="00FE7E4F" w:rsidRDefault="00FE7E4F" w:rsidP="00FE7E4F">
            <w:pPr>
              <w:spacing w:after="0" w:line="240" w:lineRule="auto"/>
              <w:rPr>
                <w:rFonts w:asciiTheme="minorHAnsi" w:hAnsiTheme="minorHAnsi" w:cstheme="minorHAnsi"/>
                <w:color w:val="A6A6A6" w:themeColor="background1" w:themeShade="A6"/>
                <w:sz w:val="20"/>
                <w:szCs w:val="20"/>
              </w:rPr>
            </w:pPr>
            <w:r>
              <w:rPr>
                <w:rFonts w:asciiTheme="minorHAnsi" w:hAnsiTheme="minorHAnsi" w:cstheme="minorHAnsi"/>
                <w:sz w:val="20"/>
                <w:szCs w:val="20"/>
              </w:rPr>
              <w:t xml:space="preserve">Nastavení předmětu podpory a </w:t>
            </w:r>
            <w:r w:rsidR="00C85D77">
              <w:rPr>
                <w:rFonts w:asciiTheme="minorHAnsi" w:hAnsiTheme="minorHAnsi" w:cstheme="minorHAnsi"/>
                <w:sz w:val="20"/>
                <w:szCs w:val="20"/>
              </w:rPr>
              <w:t xml:space="preserve">podmínek </w:t>
            </w:r>
            <w:r>
              <w:rPr>
                <w:rFonts w:asciiTheme="minorHAnsi" w:hAnsiTheme="minorHAnsi" w:cstheme="minorHAnsi"/>
                <w:sz w:val="20"/>
                <w:szCs w:val="20"/>
              </w:rPr>
              <w:t>podpory.</w:t>
            </w:r>
          </w:p>
        </w:tc>
        <w:tc>
          <w:tcPr>
            <w:tcW w:w="1064" w:type="pct"/>
            <w:shd w:val="clear" w:color="auto" w:fill="FFF0FF"/>
          </w:tcPr>
          <w:p w14:paraId="22389675" w14:textId="7E579ED0" w:rsidR="00FE7E4F" w:rsidRDefault="00FE7E4F" w:rsidP="00FE7E4F">
            <w:pPr>
              <w:spacing w:after="0" w:line="240" w:lineRule="auto"/>
              <w:rPr>
                <w:rFonts w:asciiTheme="minorHAnsi" w:hAnsiTheme="minorHAnsi" w:cstheme="minorHAnsi"/>
                <w:sz w:val="20"/>
                <w:szCs w:val="20"/>
              </w:rPr>
            </w:pPr>
            <w:r>
              <w:rPr>
                <w:rFonts w:asciiTheme="minorHAnsi" w:hAnsiTheme="minorHAnsi" w:cstheme="minorHAnsi"/>
                <w:sz w:val="20"/>
                <w:szCs w:val="20"/>
              </w:rPr>
              <w:t>Kontrola v rámci projektové žádosti.</w:t>
            </w:r>
          </w:p>
        </w:tc>
        <w:tc>
          <w:tcPr>
            <w:tcW w:w="1102" w:type="pct"/>
            <w:shd w:val="clear" w:color="auto" w:fill="FFF0FF"/>
          </w:tcPr>
          <w:p w14:paraId="6FF0D926" w14:textId="77777777" w:rsidR="00FE7E4F" w:rsidRDefault="00FE7E4F" w:rsidP="00FE7E4F">
            <w:pPr>
              <w:spacing w:after="0" w:line="240" w:lineRule="auto"/>
              <w:rPr>
                <w:rFonts w:asciiTheme="minorHAnsi" w:hAnsiTheme="minorHAnsi" w:cstheme="minorHAnsi"/>
                <w:sz w:val="20"/>
                <w:szCs w:val="20"/>
              </w:rPr>
            </w:pPr>
          </w:p>
        </w:tc>
      </w:tr>
      <w:tr w:rsidR="00FE7E4F" w14:paraId="015AD7D0" w14:textId="77777777" w:rsidTr="00FE7E4F">
        <w:tc>
          <w:tcPr>
            <w:tcW w:w="570" w:type="pct"/>
            <w:shd w:val="clear" w:color="auto" w:fill="E7FFE8"/>
          </w:tcPr>
          <w:p w14:paraId="4ED5F49D" w14:textId="2847EE38" w:rsidR="00FE7E4F" w:rsidRDefault="00FE7E4F" w:rsidP="00443663">
            <w:pPr>
              <w:spacing w:after="0" w:line="240" w:lineRule="auto"/>
              <w:jc w:val="left"/>
              <w:rPr>
                <w:rFonts w:asciiTheme="minorHAnsi" w:hAnsiTheme="minorHAnsi" w:cstheme="minorHAnsi"/>
                <w:b/>
                <w:sz w:val="20"/>
                <w:szCs w:val="20"/>
              </w:rPr>
            </w:pPr>
            <w:r>
              <w:rPr>
                <w:rFonts w:asciiTheme="minorHAnsi" w:hAnsiTheme="minorHAnsi" w:cstheme="minorHAnsi"/>
                <w:b/>
                <w:sz w:val="20"/>
                <w:szCs w:val="20"/>
              </w:rPr>
              <w:lastRenderedPageBreak/>
              <w:t xml:space="preserve">Přizpůsobování se změně klimatu </w:t>
            </w:r>
          </w:p>
        </w:tc>
        <w:tc>
          <w:tcPr>
            <w:tcW w:w="1150" w:type="pct"/>
            <w:shd w:val="clear" w:color="auto" w:fill="E7FFE8"/>
          </w:tcPr>
          <w:p w14:paraId="01160999" w14:textId="77777777" w:rsidR="00FE7E4F" w:rsidRDefault="00FE7E4F" w:rsidP="00FE7E4F">
            <w:pPr>
              <w:spacing w:after="0" w:line="240" w:lineRule="auto"/>
              <w:rPr>
                <w:rFonts w:asciiTheme="minorHAnsi" w:hAnsiTheme="minorHAnsi" w:cstheme="minorHAnsi"/>
                <w:bCs/>
                <w:sz w:val="20"/>
                <w:szCs w:val="20"/>
              </w:rPr>
            </w:pPr>
            <w:r>
              <w:rPr>
                <w:rFonts w:asciiTheme="minorHAnsi" w:hAnsiTheme="minorHAnsi" w:cstheme="minorHAnsi"/>
                <w:bCs/>
                <w:sz w:val="20"/>
                <w:szCs w:val="20"/>
              </w:rPr>
              <w:t>Identifikace a popis řešení fyzických klimatických rizik:</w:t>
            </w:r>
          </w:p>
          <w:p w14:paraId="457AEEE6" w14:textId="77777777" w:rsidR="00FE7E4F" w:rsidRDefault="00FE7E4F" w:rsidP="00FE7E4F">
            <w:pPr>
              <w:spacing w:after="0" w:line="240" w:lineRule="auto"/>
              <w:rPr>
                <w:rFonts w:asciiTheme="minorHAnsi" w:hAnsiTheme="minorHAnsi" w:cstheme="minorHAnsi"/>
                <w:bCs/>
                <w:sz w:val="20"/>
                <w:szCs w:val="20"/>
              </w:rPr>
            </w:pPr>
            <w:r>
              <w:rPr>
                <w:rFonts w:asciiTheme="minorHAnsi" w:hAnsiTheme="minorHAnsi" w:cstheme="minorHAnsi"/>
                <w:bCs/>
                <w:sz w:val="20"/>
                <w:szCs w:val="20"/>
              </w:rPr>
              <w:t xml:space="preserve">- Dlouhodobé sucho </w:t>
            </w:r>
          </w:p>
          <w:p w14:paraId="182BCFDD" w14:textId="77777777" w:rsidR="00FE7E4F" w:rsidRDefault="00FE7E4F" w:rsidP="00FE7E4F">
            <w:pPr>
              <w:spacing w:after="0" w:line="240" w:lineRule="auto"/>
              <w:rPr>
                <w:rFonts w:asciiTheme="minorHAnsi" w:hAnsiTheme="minorHAnsi" w:cstheme="minorHAnsi"/>
                <w:bCs/>
                <w:sz w:val="20"/>
                <w:szCs w:val="20"/>
              </w:rPr>
            </w:pPr>
            <w:r>
              <w:rPr>
                <w:rFonts w:asciiTheme="minorHAnsi" w:hAnsiTheme="minorHAnsi" w:cstheme="minorHAnsi"/>
                <w:bCs/>
                <w:sz w:val="20"/>
                <w:szCs w:val="20"/>
              </w:rPr>
              <w:t xml:space="preserve">- Povodně a přívalové povodně </w:t>
            </w:r>
          </w:p>
          <w:p w14:paraId="63D21C36" w14:textId="77777777" w:rsidR="00FE7E4F" w:rsidRDefault="00FE7E4F" w:rsidP="00FE7E4F">
            <w:pPr>
              <w:spacing w:after="0" w:line="240" w:lineRule="auto"/>
              <w:rPr>
                <w:rFonts w:asciiTheme="minorHAnsi" w:hAnsiTheme="minorHAnsi" w:cstheme="minorHAnsi"/>
                <w:bCs/>
                <w:sz w:val="20"/>
                <w:szCs w:val="20"/>
              </w:rPr>
            </w:pPr>
            <w:r>
              <w:rPr>
                <w:rFonts w:asciiTheme="minorHAnsi" w:hAnsiTheme="minorHAnsi" w:cstheme="minorHAnsi"/>
                <w:bCs/>
                <w:sz w:val="20"/>
                <w:szCs w:val="20"/>
              </w:rPr>
              <w:t xml:space="preserve">- Vydatné srážky </w:t>
            </w:r>
          </w:p>
          <w:p w14:paraId="0E913609" w14:textId="77777777" w:rsidR="00FE7E4F" w:rsidRDefault="00FE7E4F" w:rsidP="00FE7E4F">
            <w:pPr>
              <w:spacing w:after="0" w:line="240" w:lineRule="auto"/>
              <w:rPr>
                <w:rFonts w:asciiTheme="minorHAnsi" w:hAnsiTheme="minorHAnsi" w:cstheme="minorHAnsi"/>
                <w:bCs/>
                <w:sz w:val="20"/>
                <w:szCs w:val="20"/>
              </w:rPr>
            </w:pPr>
            <w:r>
              <w:rPr>
                <w:rFonts w:asciiTheme="minorHAnsi" w:hAnsiTheme="minorHAnsi" w:cstheme="minorHAnsi"/>
                <w:bCs/>
                <w:sz w:val="20"/>
                <w:szCs w:val="20"/>
              </w:rPr>
              <w:t xml:space="preserve">- Zvyšování teplot </w:t>
            </w:r>
          </w:p>
          <w:p w14:paraId="73D2B8C1" w14:textId="77777777" w:rsidR="00FE7E4F" w:rsidRDefault="00FE7E4F" w:rsidP="00FE7E4F">
            <w:pPr>
              <w:spacing w:after="0" w:line="240" w:lineRule="auto"/>
              <w:rPr>
                <w:rFonts w:asciiTheme="minorHAnsi" w:hAnsiTheme="minorHAnsi" w:cstheme="minorHAnsi"/>
                <w:bCs/>
                <w:sz w:val="20"/>
                <w:szCs w:val="20"/>
              </w:rPr>
            </w:pPr>
            <w:r>
              <w:rPr>
                <w:rFonts w:asciiTheme="minorHAnsi" w:hAnsiTheme="minorHAnsi" w:cstheme="minorHAnsi"/>
                <w:bCs/>
                <w:sz w:val="20"/>
                <w:szCs w:val="20"/>
              </w:rPr>
              <w:t xml:space="preserve">- Extrémně vysoké teploty </w:t>
            </w:r>
          </w:p>
          <w:p w14:paraId="7606BADF" w14:textId="77777777" w:rsidR="00FE7E4F" w:rsidRDefault="00FE7E4F" w:rsidP="00FE7E4F">
            <w:pPr>
              <w:spacing w:after="0" w:line="240" w:lineRule="auto"/>
              <w:rPr>
                <w:rFonts w:asciiTheme="minorHAnsi" w:hAnsiTheme="minorHAnsi" w:cstheme="minorHAnsi"/>
                <w:bCs/>
                <w:sz w:val="20"/>
                <w:szCs w:val="20"/>
              </w:rPr>
            </w:pPr>
            <w:r>
              <w:rPr>
                <w:rFonts w:asciiTheme="minorHAnsi" w:hAnsiTheme="minorHAnsi" w:cstheme="minorHAnsi"/>
                <w:bCs/>
                <w:sz w:val="20"/>
                <w:szCs w:val="20"/>
              </w:rPr>
              <w:t xml:space="preserve">- Extrémní vítr </w:t>
            </w:r>
          </w:p>
          <w:p w14:paraId="7B3BF977" w14:textId="77777777" w:rsidR="00FE7E4F" w:rsidRDefault="00FE7E4F" w:rsidP="00FE7E4F">
            <w:pPr>
              <w:spacing w:after="0" w:line="240" w:lineRule="auto"/>
              <w:rPr>
                <w:rFonts w:asciiTheme="minorHAnsi" w:hAnsiTheme="minorHAnsi" w:cstheme="minorHAnsi"/>
                <w:bCs/>
                <w:sz w:val="20"/>
                <w:szCs w:val="20"/>
              </w:rPr>
            </w:pPr>
            <w:r>
              <w:rPr>
                <w:rFonts w:asciiTheme="minorHAnsi" w:hAnsiTheme="minorHAnsi" w:cstheme="minorHAnsi"/>
                <w:bCs/>
                <w:sz w:val="20"/>
                <w:szCs w:val="20"/>
              </w:rPr>
              <w:t xml:space="preserve">- Požáry vegetace </w:t>
            </w:r>
          </w:p>
          <w:p w14:paraId="46DE3F32" w14:textId="77777777" w:rsidR="00FE7E4F" w:rsidRDefault="00FE7E4F" w:rsidP="00FE7E4F">
            <w:pPr>
              <w:spacing w:after="0" w:line="240" w:lineRule="auto"/>
              <w:rPr>
                <w:rFonts w:asciiTheme="minorHAnsi" w:hAnsiTheme="minorHAnsi" w:cstheme="minorHAnsi"/>
                <w:bCs/>
                <w:sz w:val="20"/>
                <w:szCs w:val="20"/>
              </w:rPr>
            </w:pPr>
            <w:r>
              <w:rPr>
                <w:rFonts w:asciiTheme="minorHAnsi" w:hAnsiTheme="minorHAnsi" w:cstheme="minorHAnsi"/>
                <w:bCs/>
                <w:sz w:val="20"/>
                <w:szCs w:val="20"/>
              </w:rPr>
              <w:t>- Místně specifické dopady</w:t>
            </w:r>
          </w:p>
        </w:tc>
        <w:tc>
          <w:tcPr>
            <w:tcW w:w="1114" w:type="pct"/>
            <w:shd w:val="clear" w:color="auto" w:fill="E7FFE8"/>
          </w:tcPr>
          <w:p w14:paraId="6F4F48B4" w14:textId="77777777" w:rsidR="00FE7E4F" w:rsidRDefault="00FE7E4F" w:rsidP="00FE7E4F">
            <w:pPr>
              <w:spacing w:after="0" w:line="240" w:lineRule="auto"/>
              <w:rPr>
                <w:rFonts w:asciiTheme="minorHAnsi" w:hAnsiTheme="minorHAnsi" w:cstheme="minorHAnsi"/>
                <w:bCs/>
                <w:sz w:val="20"/>
                <w:szCs w:val="20"/>
              </w:rPr>
            </w:pPr>
            <w:r w:rsidRPr="00C81CB9">
              <w:rPr>
                <w:rFonts w:asciiTheme="minorHAnsi" w:hAnsiTheme="minorHAnsi" w:cstheme="minorHAnsi"/>
                <w:bCs/>
                <w:sz w:val="20"/>
                <w:szCs w:val="20"/>
              </w:rPr>
              <w:t>Po provedení analýzy zranitelnosti a identifikaci rizik, které jsou pro danou výzvu relevantní, stanoví ŘO/VK povinná a / nebo doporučující adaptační opatření pro malé projekty či tam, kde lze ve vazbě na podporované typy projektů technologicky vymezit adaptační opatření.</w:t>
            </w:r>
            <w:r>
              <w:rPr>
                <w:rFonts w:asciiTheme="minorHAnsi" w:hAnsiTheme="minorHAnsi" w:cstheme="minorHAnsi"/>
                <w:bCs/>
                <w:sz w:val="20"/>
                <w:szCs w:val="20"/>
              </w:rPr>
              <w:t xml:space="preserve"> </w:t>
            </w:r>
          </w:p>
          <w:p w14:paraId="6FB7D33E" w14:textId="263C3879" w:rsidR="00FE7E4F" w:rsidRDefault="00FE7E4F" w:rsidP="00FE7E4F">
            <w:pPr>
              <w:spacing w:after="0" w:line="240" w:lineRule="auto"/>
              <w:rPr>
                <w:rFonts w:asciiTheme="minorHAnsi" w:hAnsiTheme="minorHAnsi" w:cstheme="minorHAnsi"/>
                <w:bCs/>
                <w:sz w:val="20"/>
                <w:szCs w:val="20"/>
              </w:rPr>
            </w:pPr>
            <w:r>
              <w:rPr>
                <w:rFonts w:asciiTheme="minorHAnsi" w:hAnsiTheme="minorHAnsi" w:cstheme="minorHAnsi"/>
                <w:bCs/>
                <w:sz w:val="20"/>
                <w:szCs w:val="20"/>
              </w:rPr>
              <w:t>Bližší postup je dostupný v kapitole 4.2.5.</w:t>
            </w:r>
          </w:p>
          <w:p w14:paraId="7A2FDB2B" w14:textId="77777777" w:rsidR="00FE7E4F" w:rsidRDefault="00FE7E4F" w:rsidP="00FE7E4F">
            <w:pPr>
              <w:spacing w:after="0" w:line="240" w:lineRule="auto"/>
              <w:rPr>
                <w:rFonts w:asciiTheme="minorHAnsi" w:hAnsiTheme="minorHAnsi" w:cstheme="minorHAnsi"/>
                <w:sz w:val="20"/>
                <w:szCs w:val="20"/>
              </w:rPr>
            </w:pPr>
          </w:p>
          <w:p w14:paraId="18F80552" w14:textId="13C55DB6" w:rsidR="00FE7E4F" w:rsidRDefault="00FE7E4F" w:rsidP="00FE7E4F">
            <w:pPr>
              <w:spacing w:after="0" w:line="240" w:lineRule="auto"/>
              <w:rPr>
                <w:rFonts w:asciiTheme="minorHAnsi" w:hAnsiTheme="minorHAnsi" w:cstheme="minorHAnsi"/>
                <w:sz w:val="20"/>
                <w:szCs w:val="20"/>
              </w:rPr>
            </w:pPr>
            <w:r>
              <w:rPr>
                <w:rFonts w:asciiTheme="minorHAnsi" w:hAnsiTheme="minorHAnsi" w:cstheme="minorHAnsi"/>
                <w:sz w:val="20"/>
                <w:szCs w:val="20"/>
              </w:rPr>
              <w:t>Popis opatření, která minimalizují klimatická rizika, bude povinnou součástí projektové dokumentace předkládané v rámci žádosti o podporu.</w:t>
            </w:r>
          </w:p>
          <w:p w14:paraId="38B095F5" w14:textId="77777777" w:rsidR="00FE7E4F" w:rsidRDefault="00FE7E4F" w:rsidP="00FE7E4F">
            <w:pPr>
              <w:spacing w:after="0" w:line="240" w:lineRule="auto"/>
              <w:rPr>
                <w:rFonts w:asciiTheme="minorHAnsi" w:hAnsiTheme="minorHAnsi" w:cstheme="minorHAnsi"/>
                <w:sz w:val="20"/>
                <w:szCs w:val="20"/>
              </w:rPr>
            </w:pPr>
          </w:p>
          <w:p w14:paraId="1E19AADB" w14:textId="48B57A97" w:rsidR="00FE7E4F" w:rsidRDefault="00FE7E4F" w:rsidP="00FE7E4F">
            <w:pPr>
              <w:spacing w:after="0" w:line="240" w:lineRule="auto"/>
              <w:rPr>
                <w:rFonts w:asciiTheme="minorHAnsi" w:hAnsiTheme="minorHAnsi" w:cstheme="minorHAnsi"/>
                <w:sz w:val="20"/>
                <w:szCs w:val="20"/>
              </w:rPr>
            </w:pPr>
          </w:p>
        </w:tc>
        <w:tc>
          <w:tcPr>
            <w:tcW w:w="1064" w:type="pct"/>
            <w:shd w:val="clear" w:color="auto" w:fill="E7FFE8"/>
          </w:tcPr>
          <w:p w14:paraId="59BC4DED" w14:textId="15A8BCAD" w:rsidR="00FE7E4F" w:rsidRPr="00ED5B33" w:rsidRDefault="00FE7E4F" w:rsidP="00FE7E4F">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Sledování plnění této povinnosti při </w:t>
            </w:r>
            <w:r w:rsidRPr="00ED5B33">
              <w:rPr>
                <w:rFonts w:asciiTheme="minorHAnsi" w:hAnsiTheme="minorHAnsi" w:cstheme="minorHAnsi"/>
                <w:sz w:val="20"/>
                <w:szCs w:val="20"/>
              </w:rPr>
              <w:t>kontrole projektové dokumentace předkládané v rámci žádosti o podporu.</w:t>
            </w:r>
          </w:p>
          <w:p w14:paraId="430C51FE" w14:textId="77777777" w:rsidR="00FE7E4F" w:rsidRDefault="00FE7E4F" w:rsidP="00FE7E4F">
            <w:pPr>
              <w:spacing w:after="0" w:line="240" w:lineRule="auto"/>
              <w:rPr>
                <w:rFonts w:asciiTheme="minorHAnsi" w:hAnsiTheme="minorHAnsi" w:cstheme="minorHAnsi"/>
                <w:sz w:val="20"/>
                <w:szCs w:val="20"/>
              </w:rPr>
            </w:pPr>
          </w:p>
        </w:tc>
        <w:tc>
          <w:tcPr>
            <w:tcW w:w="1102" w:type="pct"/>
            <w:shd w:val="clear" w:color="auto" w:fill="E7FFE8"/>
          </w:tcPr>
          <w:p w14:paraId="4AB25FBB" w14:textId="77777777" w:rsidR="00FE7E4F" w:rsidRDefault="00FE7E4F" w:rsidP="00FE7E4F">
            <w:pPr>
              <w:spacing w:after="0" w:line="240" w:lineRule="auto"/>
              <w:rPr>
                <w:rFonts w:asciiTheme="minorHAnsi" w:hAnsiTheme="minorHAnsi" w:cstheme="minorHAnsi"/>
                <w:b/>
                <w:i/>
                <w:sz w:val="20"/>
                <w:szCs w:val="20"/>
              </w:rPr>
            </w:pPr>
            <w:r>
              <w:rPr>
                <w:rFonts w:asciiTheme="minorHAnsi" w:hAnsiTheme="minorHAnsi" w:cstheme="minorHAnsi"/>
                <w:b/>
                <w:i/>
                <w:sz w:val="20"/>
                <w:szCs w:val="20"/>
              </w:rPr>
              <w:t>Soulad s taxonomií v zásadě odpovídá provedení CP pro přizpůsobování se změně klimatu (adaptace) (tzn. pouze v případě, kdy je CP proveden na úrovni individuálního projektu) s tím, že:</w:t>
            </w:r>
          </w:p>
          <w:p w14:paraId="380F5656" w14:textId="77777777" w:rsidR="00FE7E4F" w:rsidRDefault="00FE7E4F" w:rsidP="00FE7E4F">
            <w:pPr>
              <w:pStyle w:val="Odstavecseseznamem"/>
              <w:numPr>
                <w:ilvl w:val="0"/>
                <w:numId w:val="51"/>
              </w:numPr>
              <w:spacing w:after="0" w:line="240" w:lineRule="auto"/>
              <w:rPr>
                <w:rFonts w:asciiTheme="minorHAnsi" w:hAnsiTheme="minorHAnsi" w:cstheme="minorHAnsi"/>
                <w:b/>
                <w:i/>
                <w:sz w:val="20"/>
                <w:szCs w:val="20"/>
              </w:rPr>
            </w:pPr>
            <w:r>
              <w:rPr>
                <w:rFonts w:asciiTheme="minorHAnsi" w:hAnsiTheme="minorHAnsi" w:cstheme="minorHAnsi"/>
                <w:b/>
                <w:i/>
                <w:sz w:val="20"/>
                <w:szCs w:val="20"/>
              </w:rPr>
              <w:t>CP do fáze 1 odpovídá DNSH dle přílohy I nařízení EU 2021/2139</w:t>
            </w:r>
          </w:p>
          <w:p w14:paraId="3F6FED12" w14:textId="77777777" w:rsidR="00FE7E4F" w:rsidRDefault="00FE7E4F" w:rsidP="00FE7E4F">
            <w:pPr>
              <w:pStyle w:val="Odstavecseseznamem"/>
              <w:numPr>
                <w:ilvl w:val="0"/>
                <w:numId w:val="51"/>
              </w:numPr>
              <w:spacing w:after="0" w:line="240" w:lineRule="auto"/>
              <w:rPr>
                <w:rFonts w:asciiTheme="minorHAnsi" w:hAnsiTheme="minorHAnsi" w:cstheme="minorHAnsi"/>
                <w:b/>
                <w:i/>
                <w:sz w:val="20"/>
                <w:szCs w:val="20"/>
              </w:rPr>
            </w:pPr>
            <w:r>
              <w:rPr>
                <w:rFonts w:asciiTheme="minorHAnsi" w:hAnsiTheme="minorHAnsi" w:cstheme="minorHAnsi"/>
                <w:b/>
                <w:i/>
                <w:sz w:val="20"/>
                <w:szCs w:val="20"/>
              </w:rPr>
              <w:t>CP do fáze 2 odpovídá významnému přínosu přizpůsobování se změně klimatu (adaptace) dle přílohy II nařízení EU 2021/2139. Pro soulad s významným přínosem je nutné provést CP vždy do fáze 2, tzn. včetně stanovení podmínek např. pro monitoring.</w:t>
            </w:r>
          </w:p>
          <w:p w14:paraId="43E69E7C" w14:textId="77777777" w:rsidR="00FE7E4F" w:rsidRDefault="00FE7E4F" w:rsidP="00FE7E4F">
            <w:pPr>
              <w:spacing w:after="0" w:line="240" w:lineRule="auto"/>
              <w:rPr>
                <w:rFonts w:asciiTheme="minorHAnsi" w:hAnsiTheme="minorHAnsi" w:cstheme="minorHAnsi"/>
                <w:b/>
                <w:i/>
                <w:sz w:val="20"/>
                <w:szCs w:val="20"/>
              </w:rPr>
            </w:pPr>
          </w:p>
        </w:tc>
      </w:tr>
      <w:tr w:rsidR="00FE7E4F" w14:paraId="4179D8D3" w14:textId="77777777" w:rsidTr="00FE7E4F">
        <w:tc>
          <w:tcPr>
            <w:tcW w:w="570" w:type="pct"/>
            <w:vMerge w:val="restart"/>
            <w:shd w:val="clear" w:color="auto" w:fill="DEEAF6" w:themeFill="accent5" w:themeFillTint="33"/>
          </w:tcPr>
          <w:p w14:paraId="1515F519" w14:textId="77777777" w:rsidR="00FE7E4F" w:rsidRDefault="00FE7E4F" w:rsidP="00443663">
            <w:pPr>
              <w:spacing w:after="0" w:line="240" w:lineRule="auto"/>
              <w:jc w:val="left"/>
              <w:rPr>
                <w:rFonts w:asciiTheme="minorHAnsi" w:hAnsiTheme="minorHAnsi" w:cstheme="minorHAnsi"/>
                <w:b/>
                <w:sz w:val="20"/>
                <w:szCs w:val="20"/>
              </w:rPr>
            </w:pPr>
            <w:r>
              <w:rPr>
                <w:rFonts w:asciiTheme="minorHAnsi" w:hAnsiTheme="minorHAnsi" w:cstheme="minorHAnsi"/>
                <w:b/>
                <w:sz w:val="20"/>
                <w:szCs w:val="20"/>
              </w:rPr>
              <w:t>Udržitelné využívání a ochrana vodních a mořských zdrojů</w:t>
            </w:r>
          </w:p>
        </w:tc>
        <w:tc>
          <w:tcPr>
            <w:tcW w:w="1150" w:type="pct"/>
            <w:shd w:val="clear" w:color="auto" w:fill="DEEAF6" w:themeFill="accent5" w:themeFillTint="33"/>
          </w:tcPr>
          <w:p w14:paraId="06686BD8" w14:textId="08C3DEA5" w:rsidR="00FE7E4F" w:rsidRDefault="00FE7E4F" w:rsidP="00FE7E4F">
            <w:pPr>
              <w:spacing w:after="0" w:line="240" w:lineRule="auto"/>
              <w:rPr>
                <w:rFonts w:asciiTheme="minorHAnsi" w:hAnsiTheme="minorHAnsi" w:cstheme="minorHAnsi"/>
                <w:bCs/>
                <w:sz w:val="20"/>
                <w:szCs w:val="20"/>
              </w:rPr>
            </w:pPr>
            <w:r>
              <w:rPr>
                <w:rFonts w:asciiTheme="minorHAnsi" w:hAnsiTheme="minorHAnsi" w:cstheme="minorHAnsi"/>
                <w:bCs/>
                <w:sz w:val="20"/>
                <w:szCs w:val="20"/>
              </w:rPr>
              <w:t>Jsou-li instalován</w:t>
            </w:r>
            <w:r w:rsidR="00A758AE">
              <w:rPr>
                <w:rFonts w:asciiTheme="minorHAnsi" w:hAnsiTheme="minorHAnsi" w:cstheme="minorHAnsi"/>
                <w:bCs/>
                <w:sz w:val="20"/>
                <w:szCs w:val="20"/>
              </w:rPr>
              <w:t>a</w:t>
            </w:r>
            <w:r>
              <w:rPr>
                <w:rFonts w:asciiTheme="minorHAnsi" w:hAnsiTheme="minorHAnsi" w:cstheme="minorHAnsi"/>
                <w:bCs/>
                <w:sz w:val="20"/>
                <w:szCs w:val="20"/>
              </w:rPr>
              <w:t xml:space="preserve"> </w:t>
            </w:r>
            <w:r w:rsidR="00A758AE">
              <w:rPr>
                <w:rFonts w:asciiTheme="minorHAnsi" w:hAnsiTheme="minorHAnsi" w:cstheme="minorHAnsi"/>
                <w:bCs/>
                <w:sz w:val="20"/>
                <w:szCs w:val="20"/>
              </w:rPr>
              <w:t xml:space="preserve">zařízení k využívání </w:t>
            </w:r>
            <w:r w:rsidR="000557A3" w:rsidRPr="000557A3">
              <w:rPr>
                <w:rFonts w:asciiTheme="minorHAnsi" w:hAnsiTheme="minorHAnsi" w:cstheme="minorHAnsi"/>
                <w:bCs/>
                <w:sz w:val="20"/>
                <w:szCs w:val="20"/>
              </w:rPr>
              <w:t>vody</w:t>
            </w:r>
            <w:r>
              <w:rPr>
                <w:rFonts w:asciiTheme="minorHAnsi" w:hAnsiTheme="minorHAnsi" w:cstheme="minorHAnsi"/>
                <w:bCs/>
                <w:sz w:val="20"/>
                <w:szCs w:val="20"/>
              </w:rPr>
              <w:t>, kromě instalace v bytových jednotkách, je pro ně uvedená spotřeba vody doložena technickými listy výrobku, stavební certifikací nebo stávajícím štítkem výrobku v Unii v souladu s technickými specifikacemi níže:</w:t>
            </w:r>
          </w:p>
          <w:p w14:paraId="6EFDFF71" w14:textId="77777777" w:rsidR="00FE7E4F" w:rsidRDefault="00FE7E4F" w:rsidP="00FE7E4F">
            <w:pPr>
              <w:spacing w:after="0" w:line="240" w:lineRule="auto"/>
              <w:rPr>
                <w:rFonts w:asciiTheme="minorHAnsi" w:hAnsiTheme="minorHAnsi" w:cstheme="minorHAnsi"/>
                <w:bCs/>
                <w:sz w:val="20"/>
                <w:szCs w:val="20"/>
              </w:rPr>
            </w:pPr>
            <w:r>
              <w:rPr>
                <w:rFonts w:asciiTheme="minorHAnsi" w:hAnsiTheme="minorHAnsi" w:cstheme="minorHAnsi"/>
                <w:bCs/>
                <w:sz w:val="20"/>
                <w:szCs w:val="20"/>
              </w:rPr>
              <w:t>- umyvadlové baterie a kuchyňské baterie mají maximální průtok vody 6 litrů/min;</w:t>
            </w:r>
          </w:p>
          <w:p w14:paraId="213D7C90" w14:textId="77777777" w:rsidR="00FE7E4F" w:rsidRDefault="00FE7E4F" w:rsidP="00FE7E4F">
            <w:pPr>
              <w:spacing w:after="0" w:line="240" w:lineRule="auto"/>
              <w:rPr>
                <w:rFonts w:asciiTheme="minorHAnsi" w:hAnsiTheme="minorHAnsi" w:cstheme="minorHAnsi"/>
                <w:bCs/>
                <w:sz w:val="20"/>
                <w:szCs w:val="20"/>
              </w:rPr>
            </w:pPr>
            <w:r>
              <w:rPr>
                <w:rFonts w:asciiTheme="minorHAnsi" w:hAnsiTheme="minorHAnsi" w:cstheme="minorHAnsi"/>
                <w:bCs/>
                <w:sz w:val="20"/>
                <w:szCs w:val="20"/>
              </w:rPr>
              <w:t>- sprchy mají maximální průtok vody 8 litrů/min;</w:t>
            </w:r>
          </w:p>
          <w:p w14:paraId="4EE06EC3" w14:textId="77777777" w:rsidR="00FE7E4F" w:rsidRDefault="00FE7E4F" w:rsidP="00FE7E4F">
            <w:pPr>
              <w:spacing w:after="0" w:line="240" w:lineRule="auto"/>
              <w:rPr>
                <w:rFonts w:asciiTheme="minorHAnsi" w:hAnsiTheme="minorHAnsi" w:cstheme="minorHAnsi"/>
                <w:bCs/>
                <w:sz w:val="20"/>
                <w:szCs w:val="20"/>
              </w:rPr>
            </w:pPr>
            <w:r>
              <w:rPr>
                <w:rFonts w:asciiTheme="minorHAnsi" w:hAnsiTheme="minorHAnsi" w:cstheme="minorHAnsi"/>
                <w:bCs/>
                <w:sz w:val="20"/>
                <w:szCs w:val="20"/>
              </w:rPr>
              <w:t>- WC, zahrnující soupravy, mísy a splachovací nádrže, mají úplný objem splachovací vody maximálně 6 litrů a maximální průměrný objem splachovací vody 3,5 litru;</w:t>
            </w:r>
          </w:p>
          <w:p w14:paraId="13060F80" w14:textId="77777777" w:rsidR="00FE7E4F" w:rsidRDefault="00FE7E4F" w:rsidP="00FE7E4F">
            <w:pPr>
              <w:spacing w:after="0" w:line="240" w:lineRule="auto"/>
              <w:rPr>
                <w:rFonts w:asciiTheme="minorHAnsi" w:hAnsiTheme="minorHAnsi" w:cstheme="minorHAnsi"/>
                <w:bCs/>
                <w:sz w:val="20"/>
                <w:szCs w:val="20"/>
              </w:rPr>
            </w:pPr>
            <w:r>
              <w:rPr>
                <w:rFonts w:asciiTheme="minorHAnsi" w:hAnsiTheme="minorHAnsi" w:cstheme="minorHAnsi"/>
                <w:bCs/>
                <w:sz w:val="20"/>
                <w:szCs w:val="20"/>
              </w:rPr>
              <w:t xml:space="preserve">- pisoáry spotřebují maximálně 2 litry/mísu/hodinu. Splachovací pisoáry </w:t>
            </w:r>
            <w:r>
              <w:rPr>
                <w:rFonts w:asciiTheme="minorHAnsi" w:hAnsiTheme="minorHAnsi" w:cstheme="minorHAnsi"/>
                <w:bCs/>
                <w:sz w:val="20"/>
                <w:szCs w:val="20"/>
              </w:rPr>
              <w:lastRenderedPageBreak/>
              <w:t>mají maximální úplný objem splachovací vody 1 litr.</w:t>
            </w:r>
          </w:p>
          <w:p w14:paraId="6A8D611D" w14:textId="77777777" w:rsidR="00FE7E4F" w:rsidRDefault="00FE7E4F" w:rsidP="00FE7E4F">
            <w:pPr>
              <w:spacing w:after="0" w:line="240" w:lineRule="auto"/>
              <w:rPr>
                <w:rFonts w:asciiTheme="minorHAnsi" w:hAnsiTheme="minorHAnsi" w:cstheme="minorHAnsi"/>
                <w:bCs/>
                <w:sz w:val="20"/>
                <w:szCs w:val="20"/>
              </w:rPr>
            </w:pPr>
          </w:p>
          <w:p w14:paraId="4CD3778A" w14:textId="24FA3CE4" w:rsidR="00FE7E4F" w:rsidRDefault="00FE7E4F" w:rsidP="00FE7E4F">
            <w:pPr>
              <w:keepNext/>
              <w:spacing w:after="0" w:line="240" w:lineRule="auto"/>
              <w:rPr>
                <w:rFonts w:asciiTheme="minorHAnsi" w:hAnsiTheme="minorHAnsi" w:cstheme="minorHAnsi"/>
                <w:b/>
                <w:bCs/>
                <w:sz w:val="20"/>
                <w:szCs w:val="20"/>
              </w:rPr>
            </w:pPr>
            <w:r>
              <w:rPr>
                <w:rFonts w:asciiTheme="minorHAnsi" w:hAnsiTheme="minorHAnsi" w:cstheme="minorHAnsi"/>
                <w:b/>
                <w:bCs/>
                <w:sz w:val="20"/>
                <w:szCs w:val="20"/>
              </w:rPr>
              <w:t>Technické specifikace</w:t>
            </w:r>
            <w:r>
              <w:rPr>
                <w:rFonts w:asciiTheme="minorHAnsi" w:hAnsiTheme="minorHAnsi" w:cstheme="minorHAnsi"/>
                <w:b/>
                <w:bCs/>
                <w:sz w:val="20"/>
                <w:szCs w:val="20"/>
                <w:vertAlign w:val="superscript"/>
              </w:rPr>
              <w:footnoteReference w:id="126"/>
            </w:r>
            <w:r>
              <w:rPr>
                <w:rFonts w:asciiTheme="minorHAnsi" w:hAnsiTheme="minorHAnsi" w:cstheme="minorHAnsi"/>
                <w:b/>
                <w:bCs/>
                <w:sz w:val="20"/>
                <w:szCs w:val="20"/>
              </w:rPr>
              <w:t xml:space="preserve"> pro </w:t>
            </w:r>
            <w:r w:rsidR="00A758AE" w:rsidRPr="00A758AE">
              <w:rPr>
                <w:rFonts w:asciiTheme="minorHAnsi" w:hAnsiTheme="minorHAnsi" w:cstheme="minorHAnsi"/>
                <w:b/>
                <w:bCs/>
                <w:sz w:val="20"/>
                <w:szCs w:val="20"/>
              </w:rPr>
              <w:t xml:space="preserve">zařízení k využívání </w:t>
            </w:r>
            <w:r w:rsidR="000557A3" w:rsidRPr="000557A3">
              <w:rPr>
                <w:rFonts w:asciiTheme="minorHAnsi" w:hAnsiTheme="minorHAnsi" w:cstheme="minorHAnsi"/>
                <w:b/>
                <w:bCs/>
                <w:sz w:val="20"/>
                <w:szCs w:val="20"/>
              </w:rPr>
              <w:t>vody</w:t>
            </w:r>
            <w:r>
              <w:rPr>
                <w:rFonts w:asciiTheme="minorHAnsi" w:hAnsiTheme="minorHAnsi" w:cstheme="minorHAnsi"/>
                <w:b/>
                <w:bCs/>
                <w:sz w:val="20"/>
                <w:szCs w:val="20"/>
              </w:rPr>
              <w:t xml:space="preserve"> </w:t>
            </w:r>
          </w:p>
          <w:p w14:paraId="679DD973" w14:textId="77777777" w:rsidR="00FE7E4F" w:rsidRDefault="00FE7E4F" w:rsidP="00FE7E4F">
            <w:pPr>
              <w:spacing w:after="0" w:line="240" w:lineRule="auto"/>
              <w:rPr>
                <w:rFonts w:asciiTheme="minorHAnsi" w:hAnsiTheme="minorHAnsi" w:cstheme="minorHAnsi"/>
                <w:bCs/>
                <w:sz w:val="20"/>
                <w:szCs w:val="20"/>
              </w:rPr>
            </w:pPr>
            <w:r>
              <w:rPr>
                <w:rFonts w:asciiTheme="minorHAnsi" w:hAnsiTheme="minorHAnsi" w:cstheme="minorHAnsi"/>
                <w:bCs/>
                <w:sz w:val="20"/>
                <w:szCs w:val="20"/>
              </w:rPr>
              <w:t xml:space="preserve">1. Průtok se zaznamenává při standardním referenčním tlaku </w:t>
            </w:r>
            <w:proofErr w:type="gramStart"/>
            <w:r>
              <w:rPr>
                <w:rFonts w:asciiTheme="minorHAnsi" w:hAnsiTheme="minorHAnsi" w:cstheme="minorHAnsi"/>
                <w:bCs/>
                <w:sz w:val="20"/>
                <w:szCs w:val="20"/>
              </w:rPr>
              <w:t>3 –0</w:t>
            </w:r>
            <w:proofErr w:type="gramEnd"/>
            <w:r>
              <w:rPr>
                <w:rFonts w:asciiTheme="minorHAnsi" w:hAnsiTheme="minorHAnsi" w:cstheme="minorHAnsi"/>
                <w:bCs/>
                <w:sz w:val="20"/>
                <w:szCs w:val="20"/>
              </w:rPr>
              <w:t>/+0,2 bar nebo 0,1 –0/+0,02 u výrobků omezených na nízký tlak.</w:t>
            </w:r>
          </w:p>
          <w:p w14:paraId="2DABF555" w14:textId="77777777" w:rsidR="00FE7E4F" w:rsidRDefault="00FE7E4F" w:rsidP="00FE7E4F">
            <w:pPr>
              <w:spacing w:after="0" w:line="240" w:lineRule="auto"/>
              <w:rPr>
                <w:rFonts w:asciiTheme="minorHAnsi" w:hAnsiTheme="minorHAnsi" w:cstheme="minorHAnsi"/>
                <w:bCs/>
                <w:sz w:val="20"/>
                <w:szCs w:val="20"/>
              </w:rPr>
            </w:pPr>
            <w:r>
              <w:rPr>
                <w:rFonts w:asciiTheme="minorHAnsi" w:hAnsiTheme="minorHAnsi" w:cstheme="minorHAnsi"/>
                <w:bCs/>
                <w:sz w:val="20"/>
                <w:szCs w:val="20"/>
              </w:rPr>
              <w:t>2. Průtok při nižším tlaku 1,5 –0/+0,2 bar je ≥ 60 % maximálního dostupného průtoku.</w:t>
            </w:r>
          </w:p>
          <w:p w14:paraId="38EF8E94" w14:textId="77777777" w:rsidR="00FE7E4F" w:rsidRDefault="00FE7E4F" w:rsidP="00FE7E4F">
            <w:pPr>
              <w:spacing w:after="0" w:line="240" w:lineRule="auto"/>
              <w:rPr>
                <w:rFonts w:asciiTheme="minorHAnsi" w:hAnsiTheme="minorHAnsi" w:cstheme="minorHAnsi"/>
                <w:bCs/>
                <w:sz w:val="20"/>
                <w:szCs w:val="20"/>
              </w:rPr>
            </w:pPr>
            <w:r>
              <w:rPr>
                <w:rFonts w:asciiTheme="minorHAnsi" w:hAnsiTheme="minorHAnsi" w:cstheme="minorHAnsi"/>
                <w:bCs/>
                <w:sz w:val="20"/>
                <w:szCs w:val="20"/>
              </w:rPr>
              <w:t>3. U směšovacích sprch je referenční teplota 38 ±1 °C.</w:t>
            </w:r>
          </w:p>
          <w:p w14:paraId="593D8F4B" w14:textId="77777777" w:rsidR="00FE7E4F" w:rsidRDefault="00FE7E4F" w:rsidP="00FE7E4F">
            <w:pPr>
              <w:spacing w:after="0" w:line="240" w:lineRule="auto"/>
              <w:rPr>
                <w:rFonts w:asciiTheme="minorHAnsi" w:hAnsiTheme="minorHAnsi" w:cstheme="minorHAnsi"/>
                <w:bCs/>
                <w:sz w:val="20"/>
                <w:szCs w:val="20"/>
              </w:rPr>
            </w:pPr>
            <w:r>
              <w:rPr>
                <w:rFonts w:asciiTheme="minorHAnsi" w:hAnsiTheme="minorHAnsi" w:cstheme="minorHAnsi"/>
                <w:bCs/>
                <w:sz w:val="20"/>
                <w:szCs w:val="20"/>
              </w:rPr>
              <w:t>4. Pokud musí být průtok nižší než 6 l/min, je v souladu s pravidlem stanoveným v bodě 2.</w:t>
            </w:r>
          </w:p>
          <w:p w14:paraId="29AF0DAF" w14:textId="77777777" w:rsidR="00FE7E4F" w:rsidRDefault="00FE7E4F" w:rsidP="00FE7E4F">
            <w:pPr>
              <w:spacing w:after="0" w:line="240" w:lineRule="auto"/>
              <w:rPr>
                <w:rFonts w:asciiTheme="minorHAnsi" w:hAnsiTheme="minorHAnsi" w:cstheme="minorHAnsi"/>
                <w:bCs/>
                <w:sz w:val="20"/>
                <w:szCs w:val="20"/>
              </w:rPr>
            </w:pPr>
            <w:r>
              <w:rPr>
                <w:rFonts w:asciiTheme="minorHAnsi" w:hAnsiTheme="minorHAnsi" w:cstheme="minorHAnsi"/>
                <w:bCs/>
                <w:sz w:val="20"/>
                <w:szCs w:val="20"/>
              </w:rPr>
              <w:t xml:space="preserve">5. U výtokových ventilů se postupuje podle bodu 10.2.3 normy EN 200 s těmito výjimkami: </w:t>
            </w:r>
          </w:p>
          <w:p w14:paraId="3BACB975" w14:textId="77777777" w:rsidR="00FE7E4F" w:rsidRDefault="00FE7E4F" w:rsidP="00FE7E4F">
            <w:pPr>
              <w:spacing w:after="0" w:line="240" w:lineRule="auto"/>
              <w:rPr>
                <w:rFonts w:asciiTheme="minorHAnsi" w:hAnsiTheme="minorHAnsi" w:cstheme="minorHAnsi"/>
                <w:bCs/>
                <w:sz w:val="20"/>
                <w:szCs w:val="20"/>
              </w:rPr>
            </w:pPr>
            <w:r>
              <w:rPr>
                <w:rFonts w:asciiTheme="minorHAnsi" w:hAnsiTheme="minorHAnsi" w:cstheme="minorHAnsi"/>
                <w:bCs/>
                <w:sz w:val="20"/>
                <w:szCs w:val="20"/>
              </w:rPr>
              <w:t xml:space="preserve">a) u výtokových ventilů, které nejsou určeny pouze pro nízkotlaké použití: použijte tlak </w:t>
            </w:r>
            <w:proofErr w:type="gramStart"/>
            <w:r>
              <w:rPr>
                <w:rFonts w:asciiTheme="minorHAnsi" w:hAnsiTheme="minorHAnsi" w:cstheme="minorHAnsi"/>
                <w:bCs/>
                <w:sz w:val="20"/>
                <w:szCs w:val="20"/>
              </w:rPr>
              <w:t>3 –0</w:t>
            </w:r>
            <w:proofErr w:type="gramEnd"/>
            <w:r>
              <w:rPr>
                <w:rFonts w:asciiTheme="minorHAnsi" w:hAnsiTheme="minorHAnsi" w:cstheme="minorHAnsi"/>
                <w:bCs/>
                <w:sz w:val="20"/>
                <w:szCs w:val="20"/>
              </w:rPr>
              <w:t>/+0,2 bar střídavě do ventilu na teplou a studenou vodu;</w:t>
            </w:r>
          </w:p>
          <w:p w14:paraId="6C5390E6" w14:textId="77777777" w:rsidR="00FE7E4F" w:rsidRDefault="00FE7E4F" w:rsidP="00FE7E4F">
            <w:pPr>
              <w:spacing w:after="0" w:line="240" w:lineRule="auto"/>
              <w:rPr>
                <w:rFonts w:asciiTheme="minorHAnsi" w:hAnsiTheme="minorHAnsi" w:cstheme="minorHAnsi"/>
                <w:bCs/>
                <w:sz w:val="20"/>
                <w:szCs w:val="20"/>
              </w:rPr>
            </w:pPr>
            <w:r>
              <w:rPr>
                <w:rFonts w:asciiTheme="minorHAnsi" w:hAnsiTheme="minorHAnsi" w:cstheme="minorHAnsi"/>
                <w:bCs/>
                <w:sz w:val="20"/>
                <w:szCs w:val="20"/>
              </w:rPr>
              <w:t>b) u výtokových ventilů, které jsou určeny pouze pro nízkotlaké použití: použijte tlak 0,4 –0/+0,02 bar do ventilu na teplou i studenou vodu a zcela otevřete regulátor průtoku.</w:t>
            </w:r>
          </w:p>
        </w:tc>
        <w:tc>
          <w:tcPr>
            <w:tcW w:w="1114" w:type="pct"/>
            <w:shd w:val="clear" w:color="auto" w:fill="DEEAF6" w:themeFill="accent5" w:themeFillTint="33"/>
          </w:tcPr>
          <w:p w14:paraId="487D1871" w14:textId="77777777" w:rsidR="004B4A6B" w:rsidRDefault="00FE7E4F" w:rsidP="00FE7E4F">
            <w:pPr>
              <w:spacing w:after="0" w:line="240" w:lineRule="auto"/>
              <w:rPr>
                <w:rFonts w:asciiTheme="minorHAnsi" w:hAnsiTheme="minorHAnsi" w:cstheme="minorHAnsi"/>
                <w:sz w:val="20"/>
                <w:szCs w:val="20"/>
              </w:rPr>
            </w:pPr>
            <w:r>
              <w:rPr>
                <w:rFonts w:asciiTheme="minorHAnsi" w:hAnsiTheme="minorHAnsi" w:cstheme="minorHAnsi"/>
                <w:sz w:val="20"/>
                <w:szCs w:val="20"/>
              </w:rPr>
              <w:lastRenderedPageBreak/>
              <w:t>Nastavení podmínek podpory.</w:t>
            </w:r>
            <w:r w:rsidR="004B4A6B">
              <w:rPr>
                <w:rFonts w:asciiTheme="minorHAnsi" w:hAnsiTheme="minorHAnsi" w:cstheme="minorHAnsi"/>
                <w:sz w:val="20"/>
                <w:szCs w:val="20"/>
              </w:rPr>
              <w:t xml:space="preserve"> Přípustné výjimky z plnění podmínek: </w:t>
            </w:r>
          </w:p>
          <w:p w14:paraId="68B4B7DE" w14:textId="77777777" w:rsidR="004B4A6B" w:rsidRDefault="004B4A6B" w:rsidP="004B4A6B">
            <w:pPr>
              <w:pStyle w:val="Odstavecseseznamem"/>
              <w:numPr>
                <w:ilvl w:val="0"/>
                <w:numId w:val="167"/>
              </w:numPr>
              <w:spacing w:after="0" w:line="240" w:lineRule="auto"/>
              <w:rPr>
                <w:rFonts w:asciiTheme="minorHAnsi" w:hAnsiTheme="minorHAnsi" w:cstheme="minorHAnsi"/>
                <w:sz w:val="20"/>
                <w:szCs w:val="20"/>
              </w:rPr>
            </w:pPr>
            <w:r w:rsidRPr="00DB1A0B">
              <w:rPr>
                <w:rFonts w:asciiTheme="minorHAnsi" w:hAnsiTheme="minorHAnsi" w:cstheme="minorHAnsi"/>
                <w:sz w:val="20"/>
                <w:szCs w:val="20"/>
              </w:rPr>
              <w:t>Architektonicky a historicky významn</w:t>
            </w:r>
            <w:r>
              <w:rPr>
                <w:rFonts w:asciiTheme="minorHAnsi" w:hAnsiTheme="minorHAnsi" w:cstheme="minorHAnsi"/>
                <w:sz w:val="20"/>
                <w:szCs w:val="20"/>
              </w:rPr>
              <w:t>é</w:t>
            </w:r>
            <w:r w:rsidRPr="00DB1A0B">
              <w:rPr>
                <w:rFonts w:asciiTheme="minorHAnsi" w:hAnsiTheme="minorHAnsi" w:cstheme="minorHAnsi"/>
                <w:sz w:val="20"/>
                <w:szCs w:val="20"/>
              </w:rPr>
              <w:t xml:space="preserve"> budov</w:t>
            </w:r>
            <w:r>
              <w:rPr>
                <w:rFonts w:asciiTheme="minorHAnsi" w:hAnsiTheme="minorHAnsi" w:cstheme="minorHAnsi"/>
                <w:sz w:val="20"/>
                <w:szCs w:val="20"/>
              </w:rPr>
              <w:t>y</w:t>
            </w:r>
            <w:r w:rsidRPr="00DB1A0B">
              <w:rPr>
                <w:rFonts w:asciiTheme="minorHAnsi" w:hAnsiTheme="minorHAnsi" w:cstheme="minorHAnsi"/>
                <w:sz w:val="20"/>
                <w:szCs w:val="20"/>
              </w:rPr>
              <w:t xml:space="preserve">, kde by se tyto postupy dostaly do rozporu s právním režimem ochrany těchto budov. </w:t>
            </w:r>
          </w:p>
          <w:p w14:paraId="03F0FEE3" w14:textId="6FCD49A3" w:rsidR="00FE7E4F" w:rsidRPr="00DB1A0B" w:rsidRDefault="004B4A6B" w:rsidP="00DB1A0B">
            <w:pPr>
              <w:pStyle w:val="Odstavecseseznamem"/>
              <w:numPr>
                <w:ilvl w:val="0"/>
                <w:numId w:val="167"/>
              </w:numPr>
              <w:spacing w:after="0" w:line="240" w:lineRule="auto"/>
              <w:rPr>
                <w:rFonts w:asciiTheme="minorHAnsi" w:hAnsiTheme="minorHAnsi" w:cstheme="minorHAnsi"/>
                <w:sz w:val="20"/>
                <w:szCs w:val="20"/>
              </w:rPr>
            </w:pPr>
            <w:r>
              <w:rPr>
                <w:rFonts w:asciiTheme="minorHAnsi" w:hAnsiTheme="minorHAnsi" w:cstheme="minorHAnsi"/>
                <w:sz w:val="20"/>
                <w:szCs w:val="20"/>
              </w:rPr>
              <w:t>Z</w:t>
            </w:r>
            <w:r w:rsidRPr="00DB1A0B">
              <w:rPr>
                <w:rFonts w:asciiTheme="minorHAnsi" w:hAnsiTheme="minorHAnsi" w:cstheme="minorHAnsi"/>
                <w:sz w:val="20"/>
                <w:szCs w:val="20"/>
              </w:rPr>
              <w:t>dravotnic</w:t>
            </w:r>
            <w:r>
              <w:rPr>
                <w:rFonts w:asciiTheme="minorHAnsi" w:hAnsiTheme="minorHAnsi" w:cstheme="minorHAnsi"/>
                <w:sz w:val="20"/>
                <w:szCs w:val="20"/>
              </w:rPr>
              <w:t>ká zařízení</w:t>
            </w:r>
            <w:r w:rsidRPr="00DB1A0B">
              <w:rPr>
                <w:rFonts w:asciiTheme="minorHAnsi" w:hAnsiTheme="minorHAnsi" w:cstheme="minorHAnsi"/>
                <w:sz w:val="20"/>
                <w:szCs w:val="20"/>
              </w:rPr>
              <w:t xml:space="preserve"> v případě specializované péče, ne však při nákupu běžných spotřebičů.</w:t>
            </w:r>
          </w:p>
          <w:p w14:paraId="4F6EEBCF" w14:textId="77777777" w:rsidR="00FE7E4F" w:rsidRDefault="00FE7E4F" w:rsidP="00FE7E4F">
            <w:pPr>
              <w:spacing w:after="0" w:line="240" w:lineRule="auto"/>
              <w:rPr>
                <w:rFonts w:asciiTheme="minorHAnsi" w:hAnsiTheme="minorHAnsi" w:cstheme="minorHAnsi"/>
                <w:sz w:val="20"/>
                <w:szCs w:val="20"/>
              </w:rPr>
            </w:pPr>
          </w:p>
          <w:p w14:paraId="5C5BF23E" w14:textId="5353F1CF" w:rsidR="00FC16A3" w:rsidRDefault="00FC16A3" w:rsidP="00FE7E4F">
            <w:pPr>
              <w:spacing w:after="0" w:line="240" w:lineRule="auto"/>
              <w:rPr>
                <w:rFonts w:asciiTheme="minorHAnsi" w:hAnsiTheme="minorHAnsi" w:cstheme="minorHAnsi"/>
                <w:sz w:val="20"/>
                <w:szCs w:val="20"/>
              </w:rPr>
            </w:pPr>
            <w:r>
              <w:rPr>
                <w:rFonts w:asciiTheme="minorHAnsi" w:hAnsiTheme="minorHAnsi" w:cstheme="minorHAnsi"/>
                <w:sz w:val="20"/>
                <w:szCs w:val="20"/>
              </w:rPr>
              <w:t>Technické upřesnění WC a pisoárů:</w:t>
            </w:r>
          </w:p>
          <w:p w14:paraId="6A1D76AF" w14:textId="77777777" w:rsidR="00FC16A3" w:rsidRPr="00FC16A3" w:rsidRDefault="00FC16A3" w:rsidP="00FC16A3">
            <w:pPr>
              <w:pStyle w:val="Odstavecseseznamem"/>
              <w:numPr>
                <w:ilvl w:val="0"/>
                <w:numId w:val="145"/>
              </w:numPr>
              <w:spacing w:after="0" w:line="240" w:lineRule="auto"/>
              <w:rPr>
                <w:rFonts w:asciiTheme="minorHAnsi" w:hAnsiTheme="minorHAnsi" w:cstheme="minorHAnsi"/>
                <w:sz w:val="20"/>
                <w:szCs w:val="20"/>
              </w:rPr>
            </w:pPr>
            <w:r w:rsidRPr="00FC16A3">
              <w:rPr>
                <w:rFonts w:asciiTheme="minorHAnsi" w:hAnsiTheme="minorHAnsi" w:cstheme="minorHAnsi"/>
                <w:sz w:val="20"/>
                <w:szCs w:val="20"/>
              </w:rPr>
              <w:t xml:space="preserve">Doporučuje se aplikovat </w:t>
            </w:r>
            <w:proofErr w:type="spellStart"/>
            <w:r w:rsidRPr="00FC16A3">
              <w:rPr>
                <w:rFonts w:asciiTheme="minorHAnsi" w:hAnsiTheme="minorHAnsi" w:cstheme="minorHAnsi"/>
                <w:sz w:val="20"/>
                <w:szCs w:val="20"/>
              </w:rPr>
              <w:t>European</w:t>
            </w:r>
            <w:proofErr w:type="spellEnd"/>
            <w:r w:rsidRPr="00FC16A3">
              <w:rPr>
                <w:rFonts w:asciiTheme="minorHAnsi" w:hAnsiTheme="minorHAnsi" w:cstheme="minorHAnsi"/>
                <w:sz w:val="20"/>
                <w:szCs w:val="20"/>
              </w:rPr>
              <w:t xml:space="preserve"> </w:t>
            </w:r>
            <w:proofErr w:type="spellStart"/>
            <w:r w:rsidRPr="00FC16A3">
              <w:rPr>
                <w:rFonts w:asciiTheme="minorHAnsi" w:hAnsiTheme="minorHAnsi" w:cstheme="minorHAnsi"/>
                <w:sz w:val="20"/>
                <w:szCs w:val="20"/>
              </w:rPr>
              <w:t>unified</w:t>
            </w:r>
            <w:proofErr w:type="spellEnd"/>
            <w:r w:rsidRPr="00FC16A3">
              <w:rPr>
                <w:rFonts w:asciiTheme="minorHAnsi" w:hAnsiTheme="minorHAnsi" w:cstheme="minorHAnsi"/>
                <w:sz w:val="20"/>
                <w:szCs w:val="20"/>
              </w:rPr>
              <w:t xml:space="preserve"> </w:t>
            </w:r>
            <w:proofErr w:type="spellStart"/>
            <w:r w:rsidRPr="00FC16A3">
              <w:rPr>
                <w:rFonts w:asciiTheme="minorHAnsi" w:hAnsiTheme="minorHAnsi" w:cstheme="minorHAnsi"/>
                <w:sz w:val="20"/>
                <w:szCs w:val="20"/>
              </w:rPr>
              <w:t>Water</w:t>
            </w:r>
            <w:proofErr w:type="spellEnd"/>
            <w:r w:rsidRPr="00FC16A3">
              <w:rPr>
                <w:rFonts w:asciiTheme="minorHAnsi" w:hAnsiTheme="minorHAnsi" w:cstheme="minorHAnsi"/>
                <w:sz w:val="20"/>
                <w:szCs w:val="20"/>
              </w:rPr>
              <w:t xml:space="preserve"> </w:t>
            </w:r>
            <w:proofErr w:type="gramStart"/>
            <w:r w:rsidRPr="00FC16A3">
              <w:rPr>
                <w:rFonts w:asciiTheme="minorHAnsi" w:hAnsiTheme="minorHAnsi" w:cstheme="minorHAnsi"/>
                <w:sz w:val="20"/>
                <w:szCs w:val="20"/>
              </w:rPr>
              <w:t xml:space="preserve">label - </w:t>
            </w:r>
            <w:proofErr w:type="spellStart"/>
            <w:r w:rsidRPr="00FC16A3">
              <w:rPr>
                <w:rFonts w:asciiTheme="minorHAnsi" w:hAnsiTheme="minorHAnsi" w:cstheme="minorHAnsi"/>
                <w:sz w:val="20"/>
                <w:szCs w:val="20"/>
              </w:rPr>
              <w:t>class</w:t>
            </w:r>
            <w:proofErr w:type="spellEnd"/>
            <w:proofErr w:type="gramEnd"/>
            <w:r w:rsidRPr="00FC16A3">
              <w:rPr>
                <w:rFonts w:asciiTheme="minorHAnsi" w:hAnsiTheme="minorHAnsi" w:cstheme="minorHAnsi"/>
                <w:sz w:val="20"/>
                <w:szCs w:val="20"/>
              </w:rPr>
              <w:t xml:space="preserve"> A odpovídá požadavku </w:t>
            </w:r>
            <w:proofErr w:type="gramStart"/>
            <w:r w:rsidRPr="00FC16A3">
              <w:rPr>
                <w:rFonts w:asciiTheme="minorHAnsi" w:hAnsiTheme="minorHAnsi" w:cstheme="minorHAnsi"/>
                <w:sz w:val="20"/>
                <w:szCs w:val="20"/>
              </w:rPr>
              <w:t>5-6l</w:t>
            </w:r>
            <w:proofErr w:type="gramEnd"/>
            <w:r w:rsidRPr="00FC16A3">
              <w:rPr>
                <w:rFonts w:asciiTheme="minorHAnsi" w:hAnsiTheme="minorHAnsi" w:cstheme="minorHAnsi"/>
                <w:sz w:val="20"/>
                <w:szCs w:val="20"/>
              </w:rPr>
              <w:t>/min. Label má velké množství evropských výrobců a výrobků a umožňuje aplikaci výběrových kritérií na výrobky.</w:t>
            </w:r>
          </w:p>
          <w:p w14:paraId="63402012" w14:textId="072AC5E0" w:rsidR="00FC16A3" w:rsidRPr="00FC16A3" w:rsidRDefault="00FC16A3" w:rsidP="00FC16A3">
            <w:pPr>
              <w:pStyle w:val="Odstavecseseznamem"/>
              <w:numPr>
                <w:ilvl w:val="0"/>
                <w:numId w:val="145"/>
              </w:numPr>
              <w:spacing w:after="0" w:line="240" w:lineRule="auto"/>
              <w:rPr>
                <w:rFonts w:asciiTheme="minorHAnsi" w:hAnsiTheme="minorHAnsi" w:cstheme="minorHAnsi"/>
                <w:sz w:val="20"/>
                <w:szCs w:val="20"/>
              </w:rPr>
            </w:pPr>
            <w:r w:rsidRPr="00FC16A3">
              <w:rPr>
                <w:rFonts w:asciiTheme="minorHAnsi" w:hAnsiTheme="minorHAnsi" w:cstheme="minorHAnsi"/>
                <w:sz w:val="20"/>
                <w:szCs w:val="20"/>
              </w:rPr>
              <w:lastRenderedPageBreak/>
              <w:t xml:space="preserve">Výpočet průměrného průtoku WC dle </w:t>
            </w:r>
            <w:r w:rsidRPr="00FC16A3">
              <w:rPr>
                <w:rFonts w:asciiTheme="minorHAnsi" w:hAnsiTheme="minorHAnsi" w:cstheme="minorHAnsi"/>
                <w:sz w:val="20"/>
                <w:szCs w:val="20"/>
                <w:u w:val="single"/>
              </w:rPr>
              <w:t>metodiky BREEAM</w:t>
            </w:r>
            <w:r w:rsidRPr="00FC16A3">
              <w:rPr>
                <w:rFonts w:asciiTheme="minorHAnsi" w:hAnsiTheme="minorHAnsi" w:cstheme="minorHAnsi"/>
                <w:sz w:val="20"/>
                <w:szCs w:val="20"/>
              </w:rPr>
              <w:t>: WC, zahrnující soupra</w:t>
            </w:r>
            <w:r w:rsidRPr="00FC16A3">
              <w:rPr>
                <w:rFonts w:asciiTheme="minorHAnsi" w:hAnsiTheme="minorHAnsi" w:cstheme="minorHAnsi"/>
                <w:sz w:val="20"/>
                <w:szCs w:val="20"/>
              </w:rPr>
              <w:softHyphen/>
              <w:t>vy, mísy a splachovací nádrže, mají úplný objem splachovací vody maximálně 6 lit</w:t>
            </w:r>
            <w:r w:rsidRPr="00FC16A3">
              <w:rPr>
                <w:rFonts w:asciiTheme="minorHAnsi" w:hAnsiTheme="minorHAnsi" w:cstheme="minorHAnsi"/>
                <w:sz w:val="20"/>
                <w:szCs w:val="20"/>
              </w:rPr>
              <w:softHyphen/>
              <w:t>rů a maximální průměrný objem splachovací vody 3,5 litru. Průměrná spotřeba se vykládá jako kombinované užití velkého spláchnutí a malého spláchnutí.</w:t>
            </w:r>
            <w:r>
              <w:rPr>
                <w:rStyle w:val="Znakapoznpodarou"/>
                <w:rFonts w:asciiTheme="minorHAnsi" w:hAnsiTheme="minorHAnsi" w:cstheme="minorHAnsi"/>
                <w:sz w:val="20"/>
                <w:szCs w:val="20"/>
              </w:rPr>
              <w:footnoteReference w:id="127"/>
            </w:r>
            <w:r>
              <w:rPr>
                <w:rFonts w:asciiTheme="minorHAnsi" w:hAnsiTheme="minorHAnsi" w:cstheme="minorHAnsi"/>
                <w:sz w:val="20"/>
                <w:szCs w:val="20"/>
              </w:rPr>
              <w:t xml:space="preserve"> Podmínku lze splnit nastavením ventilu spláchnutí.</w:t>
            </w:r>
          </w:p>
          <w:p w14:paraId="778E042D" w14:textId="44E2E7AA" w:rsidR="00FC16A3" w:rsidRPr="00FC16A3" w:rsidRDefault="00FC16A3" w:rsidP="00FC16A3">
            <w:pPr>
              <w:pStyle w:val="Odstavecseseznamem"/>
              <w:numPr>
                <w:ilvl w:val="0"/>
                <w:numId w:val="133"/>
              </w:numPr>
              <w:spacing w:after="0" w:line="240" w:lineRule="auto"/>
              <w:rPr>
                <w:rFonts w:asciiTheme="minorHAnsi" w:hAnsiTheme="minorHAnsi" w:cstheme="minorHAnsi"/>
                <w:sz w:val="20"/>
                <w:szCs w:val="20"/>
              </w:rPr>
            </w:pPr>
            <w:r w:rsidRPr="00FC16A3">
              <w:rPr>
                <w:rFonts w:asciiTheme="minorHAnsi" w:hAnsiTheme="minorHAnsi" w:cstheme="minorHAnsi"/>
                <w:sz w:val="20"/>
                <w:szCs w:val="20"/>
              </w:rPr>
              <w:t>Ustanovení ke spotřebě vody za hodinu se týká pisoárů, které nemají čidlo / individuální splachování, včetně pisoárů v provedení žlabu</w:t>
            </w:r>
          </w:p>
          <w:p w14:paraId="4533E56B" w14:textId="4F97086C" w:rsidR="00FC16A3" w:rsidRPr="00FC16A3" w:rsidRDefault="00FC16A3" w:rsidP="00FC16A3">
            <w:pPr>
              <w:pStyle w:val="Odstavecseseznamem"/>
              <w:numPr>
                <w:ilvl w:val="0"/>
                <w:numId w:val="133"/>
              </w:numPr>
              <w:spacing w:after="0" w:line="240" w:lineRule="auto"/>
              <w:rPr>
                <w:rFonts w:asciiTheme="minorHAnsi" w:hAnsiTheme="minorHAnsi" w:cstheme="minorHAnsi"/>
                <w:sz w:val="20"/>
                <w:szCs w:val="20"/>
              </w:rPr>
            </w:pPr>
            <w:r w:rsidRPr="00FC16A3">
              <w:rPr>
                <w:rFonts w:asciiTheme="minorHAnsi" w:hAnsiTheme="minorHAnsi" w:cstheme="minorHAnsi"/>
                <w:sz w:val="20"/>
                <w:szCs w:val="20"/>
              </w:rPr>
              <w:t xml:space="preserve">Ustanovení k </w:t>
            </w:r>
            <w:proofErr w:type="gramStart"/>
            <w:r w:rsidRPr="00FC16A3">
              <w:rPr>
                <w:rFonts w:asciiTheme="minorHAnsi" w:hAnsiTheme="minorHAnsi" w:cstheme="minorHAnsi"/>
                <w:sz w:val="20"/>
                <w:szCs w:val="20"/>
              </w:rPr>
              <w:t>1l</w:t>
            </w:r>
            <w:proofErr w:type="gramEnd"/>
            <w:r w:rsidRPr="00FC16A3">
              <w:rPr>
                <w:rFonts w:asciiTheme="minorHAnsi" w:hAnsiTheme="minorHAnsi" w:cstheme="minorHAnsi"/>
                <w:sz w:val="20"/>
                <w:szCs w:val="20"/>
              </w:rPr>
              <w:t xml:space="preserve"> ke splachovacím pisoárům s čidlem / </w:t>
            </w:r>
            <w:r>
              <w:rPr>
                <w:rFonts w:asciiTheme="minorHAnsi" w:hAnsiTheme="minorHAnsi" w:cstheme="minorHAnsi"/>
                <w:sz w:val="20"/>
                <w:szCs w:val="20"/>
              </w:rPr>
              <w:t>pisoárům s </w:t>
            </w:r>
            <w:r w:rsidRPr="00FC16A3">
              <w:rPr>
                <w:rFonts w:asciiTheme="minorHAnsi" w:hAnsiTheme="minorHAnsi" w:cstheme="minorHAnsi"/>
                <w:sz w:val="20"/>
                <w:szCs w:val="20"/>
              </w:rPr>
              <w:t xml:space="preserve">individuálním splachováním je praktičtější a vztahuje se na jedno spláchnutí, což </w:t>
            </w:r>
            <w:r>
              <w:rPr>
                <w:rFonts w:asciiTheme="minorHAnsi" w:hAnsiTheme="minorHAnsi" w:cstheme="minorHAnsi"/>
                <w:sz w:val="20"/>
                <w:szCs w:val="20"/>
              </w:rPr>
              <w:t xml:space="preserve">splňují </w:t>
            </w:r>
            <w:r w:rsidRPr="00FC16A3">
              <w:rPr>
                <w:rFonts w:asciiTheme="minorHAnsi" w:hAnsiTheme="minorHAnsi" w:cstheme="minorHAnsi"/>
                <w:sz w:val="20"/>
                <w:szCs w:val="20"/>
              </w:rPr>
              <w:t>běžně dostupn</w:t>
            </w:r>
            <w:r>
              <w:rPr>
                <w:rFonts w:asciiTheme="minorHAnsi" w:hAnsiTheme="minorHAnsi" w:cstheme="minorHAnsi"/>
                <w:sz w:val="20"/>
                <w:szCs w:val="20"/>
              </w:rPr>
              <w:t>é</w:t>
            </w:r>
            <w:r w:rsidRPr="00FC16A3">
              <w:rPr>
                <w:rFonts w:asciiTheme="minorHAnsi" w:hAnsiTheme="minorHAnsi" w:cstheme="minorHAnsi"/>
                <w:sz w:val="20"/>
                <w:szCs w:val="20"/>
              </w:rPr>
              <w:t xml:space="preserve"> produkty, většinou se jedná o odsávací modely</w:t>
            </w:r>
            <w:r>
              <w:rPr>
                <w:rFonts w:asciiTheme="minorHAnsi" w:hAnsiTheme="minorHAnsi" w:cstheme="minorHAnsi"/>
                <w:sz w:val="20"/>
                <w:szCs w:val="20"/>
              </w:rPr>
              <w:t xml:space="preserve"> – podmínku lze splnit nastavením ventilu spláchnutí.</w:t>
            </w:r>
          </w:p>
          <w:p w14:paraId="12B3C28F" w14:textId="2B7505C5" w:rsidR="00FE7E4F" w:rsidRDefault="00FE7E4F" w:rsidP="00FE7E4F">
            <w:pPr>
              <w:spacing w:after="0" w:line="240" w:lineRule="auto"/>
              <w:rPr>
                <w:rFonts w:asciiTheme="minorHAnsi" w:hAnsiTheme="minorHAnsi" w:cstheme="minorHAnsi"/>
                <w:sz w:val="20"/>
                <w:szCs w:val="20"/>
              </w:rPr>
            </w:pPr>
          </w:p>
          <w:p w14:paraId="153BA851" w14:textId="77777777" w:rsidR="00FE7E4F" w:rsidRDefault="00FE7E4F" w:rsidP="00FE7E4F">
            <w:pPr>
              <w:spacing w:after="0" w:line="240" w:lineRule="auto"/>
              <w:rPr>
                <w:rFonts w:asciiTheme="minorHAnsi" w:hAnsiTheme="minorHAnsi" w:cstheme="minorHAnsi"/>
                <w:sz w:val="20"/>
                <w:szCs w:val="20"/>
              </w:rPr>
            </w:pPr>
          </w:p>
        </w:tc>
        <w:tc>
          <w:tcPr>
            <w:tcW w:w="1064" w:type="pct"/>
            <w:shd w:val="clear" w:color="auto" w:fill="DEEAF6" w:themeFill="accent5" w:themeFillTint="33"/>
          </w:tcPr>
          <w:p w14:paraId="2CB4E007" w14:textId="3ECF32A6" w:rsidR="00FE7E4F" w:rsidRDefault="00FE7E4F" w:rsidP="00FE7E4F">
            <w:pPr>
              <w:spacing w:after="0" w:line="240" w:lineRule="auto"/>
              <w:rPr>
                <w:rFonts w:asciiTheme="minorHAnsi" w:hAnsiTheme="minorHAnsi" w:cstheme="minorHAnsi"/>
                <w:sz w:val="20"/>
                <w:szCs w:val="20"/>
              </w:rPr>
            </w:pPr>
            <w:r>
              <w:rPr>
                <w:rFonts w:asciiTheme="minorHAnsi" w:hAnsiTheme="minorHAnsi" w:cstheme="minorHAnsi"/>
                <w:sz w:val="20"/>
                <w:szCs w:val="20"/>
              </w:rPr>
              <w:lastRenderedPageBreak/>
              <w:t>Vykazování typu a parametrů nové vodovodní výtokové armatury v rámci žádosti o podporu, sledování tohoto parametru u realizovaných projektů v rámci kontrolní činnosti</w:t>
            </w:r>
            <w:r w:rsidR="00FC16A3">
              <w:rPr>
                <w:rFonts w:asciiTheme="minorHAnsi" w:hAnsiTheme="minorHAnsi" w:cstheme="minorHAnsi"/>
                <w:sz w:val="20"/>
                <w:szCs w:val="20"/>
              </w:rPr>
              <w:t>, případně doložení čestného prohlášení žadatele</w:t>
            </w:r>
            <w:r>
              <w:rPr>
                <w:rFonts w:asciiTheme="minorHAnsi" w:hAnsiTheme="minorHAnsi" w:cstheme="minorHAnsi"/>
                <w:sz w:val="20"/>
                <w:szCs w:val="20"/>
              </w:rPr>
              <w:t>.</w:t>
            </w:r>
          </w:p>
          <w:p w14:paraId="320333A7" w14:textId="77777777" w:rsidR="00FE7E4F" w:rsidRDefault="00FE7E4F" w:rsidP="00FE7E4F">
            <w:pPr>
              <w:spacing w:after="0" w:line="240" w:lineRule="auto"/>
              <w:rPr>
                <w:rFonts w:asciiTheme="minorHAnsi" w:hAnsiTheme="minorHAnsi" w:cstheme="minorHAnsi"/>
                <w:sz w:val="20"/>
                <w:szCs w:val="20"/>
              </w:rPr>
            </w:pPr>
          </w:p>
          <w:p w14:paraId="349A171E" w14:textId="77777777" w:rsidR="00FE7E4F" w:rsidRDefault="00FE7E4F" w:rsidP="00FE7E4F">
            <w:pPr>
              <w:spacing w:after="0" w:line="240" w:lineRule="auto"/>
              <w:rPr>
                <w:rFonts w:asciiTheme="minorHAnsi" w:hAnsiTheme="minorHAnsi" w:cstheme="minorHAnsi"/>
                <w:sz w:val="20"/>
                <w:szCs w:val="20"/>
              </w:rPr>
            </w:pPr>
          </w:p>
          <w:p w14:paraId="3FE14F9B" w14:textId="012FE2D7" w:rsidR="00FE7E4F" w:rsidRDefault="00FE7E4F" w:rsidP="00FE7E4F">
            <w:pPr>
              <w:spacing w:after="0" w:line="240" w:lineRule="auto"/>
              <w:rPr>
                <w:rFonts w:asciiTheme="minorHAnsi" w:hAnsiTheme="minorHAnsi" w:cstheme="minorHAnsi"/>
                <w:sz w:val="20"/>
                <w:szCs w:val="20"/>
              </w:rPr>
            </w:pPr>
          </w:p>
        </w:tc>
        <w:tc>
          <w:tcPr>
            <w:tcW w:w="1102" w:type="pct"/>
            <w:shd w:val="clear" w:color="auto" w:fill="DEEAF6" w:themeFill="accent5" w:themeFillTint="33"/>
          </w:tcPr>
          <w:p w14:paraId="41B7C127" w14:textId="77777777" w:rsidR="00FE7E4F" w:rsidRDefault="00FE7E4F" w:rsidP="00FE7E4F">
            <w:pPr>
              <w:spacing w:after="0" w:line="240" w:lineRule="auto"/>
              <w:rPr>
                <w:rFonts w:asciiTheme="minorHAnsi" w:hAnsiTheme="minorHAnsi" w:cstheme="minorHAnsi"/>
                <w:b/>
                <w:i/>
                <w:sz w:val="20"/>
                <w:szCs w:val="20"/>
              </w:rPr>
            </w:pPr>
            <w:r>
              <w:rPr>
                <w:rFonts w:asciiTheme="minorHAnsi" w:hAnsiTheme="minorHAnsi" w:cstheme="minorHAnsi"/>
                <w:b/>
                <w:i/>
                <w:sz w:val="20"/>
                <w:szCs w:val="20"/>
              </w:rPr>
              <w:t>Podmínky jsou přímo podmínkami DNSH dle přílohy I a přílohy II nařízení EU 2021/2139 a jsou tímto ve fondech splněny</w:t>
            </w:r>
          </w:p>
        </w:tc>
      </w:tr>
      <w:tr w:rsidR="00FE7E4F" w14:paraId="6B913AEE" w14:textId="77777777" w:rsidTr="00FE7E4F">
        <w:tc>
          <w:tcPr>
            <w:tcW w:w="570" w:type="pct"/>
            <w:vMerge/>
            <w:shd w:val="clear" w:color="auto" w:fill="DEEAF6" w:themeFill="accent5" w:themeFillTint="33"/>
          </w:tcPr>
          <w:p w14:paraId="7A7FE074" w14:textId="77777777" w:rsidR="00FE7E4F" w:rsidRDefault="00FE7E4F" w:rsidP="00FE7E4F">
            <w:pPr>
              <w:spacing w:after="0" w:line="240" w:lineRule="auto"/>
              <w:rPr>
                <w:rFonts w:asciiTheme="minorHAnsi" w:hAnsiTheme="minorHAnsi" w:cstheme="minorHAnsi"/>
                <w:b/>
                <w:sz w:val="20"/>
                <w:szCs w:val="20"/>
              </w:rPr>
            </w:pPr>
          </w:p>
        </w:tc>
        <w:tc>
          <w:tcPr>
            <w:tcW w:w="1150" w:type="pct"/>
            <w:shd w:val="clear" w:color="auto" w:fill="DEEAF6" w:themeFill="accent5" w:themeFillTint="33"/>
          </w:tcPr>
          <w:p w14:paraId="16D2BF20" w14:textId="251DF027" w:rsidR="00FE7E4F" w:rsidRDefault="00FE7E4F" w:rsidP="00FE7E4F">
            <w:pPr>
              <w:rPr>
                <w:rFonts w:asciiTheme="minorHAnsi" w:hAnsiTheme="minorHAnsi" w:cstheme="minorHAnsi"/>
                <w:bCs/>
                <w:sz w:val="20"/>
                <w:szCs w:val="20"/>
              </w:rPr>
            </w:pPr>
            <w:r>
              <w:rPr>
                <w:rFonts w:asciiTheme="minorHAnsi" w:hAnsiTheme="minorHAnsi" w:cstheme="minorHAnsi"/>
                <w:bCs/>
                <w:sz w:val="20"/>
                <w:szCs w:val="20"/>
              </w:rPr>
              <w:t>Projekt zohlední efektivní hospodaření s vodou, jako je využívání dešťové vody, využívání šedé a recyklované vody atd.</w:t>
            </w:r>
          </w:p>
          <w:p w14:paraId="2DFAE134" w14:textId="0892DBCB" w:rsidR="00FE7E4F" w:rsidRDefault="00FE7E4F" w:rsidP="00FE7E4F">
            <w:pPr>
              <w:rPr>
                <w:rFonts w:asciiTheme="minorHAnsi" w:hAnsiTheme="minorHAnsi" w:cstheme="minorHAnsi"/>
                <w:bCs/>
                <w:sz w:val="20"/>
                <w:szCs w:val="20"/>
              </w:rPr>
            </w:pPr>
          </w:p>
        </w:tc>
        <w:tc>
          <w:tcPr>
            <w:tcW w:w="1114" w:type="pct"/>
            <w:shd w:val="clear" w:color="auto" w:fill="DEEAF6" w:themeFill="accent5" w:themeFillTint="33"/>
          </w:tcPr>
          <w:p w14:paraId="289233AD" w14:textId="49C938CA" w:rsidR="00FE7E4F" w:rsidRDefault="00FE7E4F" w:rsidP="00FE7E4F">
            <w:pPr>
              <w:rPr>
                <w:rFonts w:asciiTheme="minorHAnsi" w:hAnsiTheme="minorHAnsi" w:cstheme="minorHAnsi"/>
                <w:bCs/>
                <w:sz w:val="20"/>
                <w:szCs w:val="20"/>
              </w:rPr>
            </w:pPr>
            <w:r>
              <w:rPr>
                <w:rFonts w:asciiTheme="minorHAnsi" w:hAnsiTheme="minorHAnsi" w:cstheme="minorHAnsi"/>
                <w:bCs/>
                <w:sz w:val="20"/>
                <w:szCs w:val="20"/>
              </w:rPr>
              <w:t>Nastavení předmětu podpory</w:t>
            </w:r>
            <w:r w:rsidR="00FC16A3">
              <w:rPr>
                <w:rFonts w:asciiTheme="minorHAnsi" w:hAnsiTheme="minorHAnsi" w:cstheme="minorHAnsi"/>
                <w:bCs/>
                <w:sz w:val="20"/>
                <w:szCs w:val="20"/>
              </w:rPr>
              <w:t xml:space="preserve"> – zahrnutí těchto opatření do uznatelných nákladů</w:t>
            </w:r>
            <w:r>
              <w:rPr>
                <w:rFonts w:asciiTheme="minorHAnsi" w:hAnsiTheme="minorHAnsi" w:cstheme="minorHAnsi"/>
                <w:bCs/>
                <w:sz w:val="20"/>
                <w:szCs w:val="20"/>
              </w:rPr>
              <w:t>.</w:t>
            </w:r>
          </w:p>
        </w:tc>
        <w:tc>
          <w:tcPr>
            <w:tcW w:w="1064" w:type="pct"/>
            <w:shd w:val="clear" w:color="auto" w:fill="DEEAF6" w:themeFill="accent5" w:themeFillTint="33"/>
          </w:tcPr>
          <w:p w14:paraId="0BD54380" w14:textId="2F41E3D1" w:rsidR="00FE7E4F" w:rsidRDefault="00FC16A3" w:rsidP="00FE7E4F">
            <w:pPr>
              <w:rPr>
                <w:rFonts w:asciiTheme="minorHAnsi" w:hAnsiTheme="minorHAnsi" w:cstheme="minorHAnsi"/>
                <w:bCs/>
                <w:sz w:val="20"/>
                <w:szCs w:val="20"/>
              </w:rPr>
            </w:pPr>
            <w:r>
              <w:rPr>
                <w:rFonts w:asciiTheme="minorHAnsi" w:hAnsiTheme="minorHAnsi" w:cstheme="minorHAnsi"/>
                <w:sz w:val="20"/>
                <w:szCs w:val="20"/>
              </w:rPr>
              <w:t>Kontrola v rámci projektové žádosti.</w:t>
            </w:r>
          </w:p>
        </w:tc>
        <w:tc>
          <w:tcPr>
            <w:tcW w:w="1102" w:type="pct"/>
            <w:shd w:val="clear" w:color="auto" w:fill="DEEAF6" w:themeFill="accent5" w:themeFillTint="33"/>
          </w:tcPr>
          <w:p w14:paraId="0F8B3C33" w14:textId="77777777" w:rsidR="00FE7E4F" w:rsidRDefault="00FE7E4F" w:rsidP="00FE7E4F">
            <w:pPr>
              <w:rPr>
                <w:rFonts w:asciiTheme="minorHAnsi" w:hAnsiTheme="minorHAnsi" w:cstheme="minorHAnsi"/>
                <w:bCs/>
                <w:color w:val="A6A6A6" w:themeColor="background1" w:themeShade="A6"/>
                <w:sz w:val="20"/>
                <w:szCs w:val="20"/>
              </w:rPr>
            </w:pPr>
          </w:p>
        </w:tc>
      </w:tr>
      <w:tr w:rsidR="00FE7E4F" w14:paraId="7BB6A907" w14:textId="77777777" w:rsidTr="00FE7E4F">
        <w:tc>
          <w:tcPr>
            <w:tcW w:w="570" w:type="pct"/>
            <w:vMerge/>
            <w:shd w:val="clear" w:color="auto" w:fill="DEEAF6" w:themeFill="accent5" w:themeFillTint="33"/>
          </w:tcPr>
          <w:p w14:paraId="3D8EA476" w14:textId="77777777" w:rsidR="00FE7E4F" w:rsidRDefault="00FE7E4F" w:rsidP="00FE7E4F">
            <w:pPr>
              <w:rPr>
                <w:rFonts w:asciiTheme="minorHAnsi" w:hAnsiTheme="minorHAnsi" w:cstheme="minorHAnsi"/>
                <w:b/>
                <w:sz w:val="20"/>
                <w:szCs w:val="20"/>
              </w:rPr>
            </w:pPr>
          </w:p>
        </w:tc>
        <w:tc>
          <w:tcPr>
            <w:tcW w:w="1150" w:type="pct"/>
            <w:shd w:val="clear" w:color="auto" w:fill="DEEAF6" w:themeFill="accent5" w:themeFillTint="33"/>
          </w:tcPr>
          <w:p w14:paraId="24482134" w14:textId="77777777" w:rsidR="00FE7E4F" w:rsidRDefault="00FE7E4F" w:rsidP="00FE7E4F">
            <w:pPr>
              <w:rPr>
                <w:rFonts w:asciiTheme="minorHAnsi" w:hAnsiTheme="minorHAnsi" w:cstheme="minorHAnsi"/>
                <w:bCs/>
                <w:color w:val="A6A6A6" w:themeColor="background1" w:themeShade="A6"/>
                <w:sz w:val="20"/>
                <w:szCs w:val="20"/>
              </w:rPr>
            </w:pPr>
            <w:r>
              <w:rPr>
                <w:rFonts w:asciiTheme="minorHAnsi" w:hAnsiTheme="minorHAnsi" w:cstheme="minorHAnsi"/>
                <w:bCs/>
                <w:color w:val="A6A6A6" w:themeColor="background1" w:themeShade="A6"/>
                <w:sz w:val="20"/>
                <w:szCs w:val="20"/>
              </w:rPr>
              <w:t>Identifikace a popis řešení rizika zhoršování stavu životního prostředí související se zachováním kvality vody a předcházením vodnímu stresu s cílem dosáhnout dobrého stavu vod a dobrého ekologického potenciálu ve smyslu:</w:t>
            </w:r>
          </w:p>
          <w:p w14:paraId="7E2E95AA" w14:textId="77777777" w:rsidR="00FE7E4F" w:rsidRDefault="00FE7E4F" w:rsidP="00FE7E4F">
            <w:pPr>
              <w:spacing w:after="0" w:line="240" w:lineRule="auto"/>
              <w:rPr>
                <w:rFonts w:asciiTheme="minorHAnsi" w:hAnsiTheme="minorHAnsi" w:cstheme="minorHAnsi"/>
                <w:bCs/>
                <w:color w:val="A6A6A6" w:themeColor="background1" w:themeShade="A6"/>
                <w:sz w:val="20"/>
                <w:szCs w:val="20"/>
              </w:rPr>
            </w:pPr>
            <w:r>
              <w:rPr>
                <w:rFonts w:asciiTheme="minorHAnsi" w:hAnsiTheme="minorHAnsi" w:cstheme="minorHAnsi"/>
                <w:bCs/>
                <w:color w:val="A6A6A6" w:themeColor="background1" w:themeShade="A6"/>
                <w:sz w:val="20"/>
                <w:szCs w:val="20"/>
              </w:rPr>
              <w:t>a) pro povrchové vody dobrý ekologický stav ve smyslu čl. 2 bodu 22 směrnice 2000/60/ES a dobrý chemický stav povrchových vod ve smyslu čl. 2 bodu 24 uvedené směrnice;</w:t>
            </w:r>
          </w:p>
          <w:p w14:paraId="5C30896D" w14:textId="77777777" w:rsidR="00FE7E4F" w:rsidRDefault="00FE7E4F" w:rsidP="00FE7E4F">
            <w:pPr>
              <w:spacing w:after="0" w:line="240" w:lineRule="auto"/>
              <w:rPr>
                <w:rFonts w:asciiTheme="minorHAnsi" w:hAnsiTheme="minorHAnsi" w:cstheme="minorHAnsi"/>
                <w:bCs/>
                <w:color w:val="A6A6A6" w:themeColor="background1" w:themeShade="A6"/>
                <w:sz w:val="20"/>
                <w:szCs w:val="20"/>
              </w:rPr>
            </w:pPr>
            <w:r>
              <w:rPr>
                <w:rFonts w:asciiTheme="minorHAnsi" w:hAnsiTheme="minorHAnsi" w:cstheme="minorHAnsi"/>
                <w:bCs/>
                <w:color w:val="A6A6A6" w:themeColor="background1" w:themeShade="A6"/>
                <w:sz w:val="20"/>
                <w:szCs w:val="20"/>
              </w:rPr>
              <w:t>b) pro podzemní vody dobrý chemický stav podzemních vod ve smyslu čl. 2 bodu 25 směrnice 2000/60/ES a dobrý kvantitativní stav ve smyslu čl. 2 bodu 28 uvedené směrnice; a s plánem hospodaření s vodou a ochrany vod vypracovaným na základě uvedené směrnice pro potenciálně zasažený vodní útvar nebo útvary, a to po konzultaci s příslušnými zúčastněnými stranami.</w:t>
            </w:r>
          </w:p>
        </w:tc>
        <w:tc>
          <w:tcPr>
            <w:tcW w:w="1114" w:type="pct"/>
            <w:shd w:val="clear" w:color="auto" w:fill="DEEAF6" w:themeFill="accent5" w:themeFillTint="33"/>
          </w:tcPr>
          <w:p w14:paraId="7389B980" w14:textId="77777777" w:rsidR="00443663" w:rsidRDefault="00443663" w:rsidP="00443663">
            <w:pPr>
              <w:spacing w:after="0" w:line="240" w:lineRule="auto"/>
              <w:rPr>
                <w:rFonts w:asciiTheme="minorHAnsi" w:hAnsiTheme="minorHAnsi" w:cstheme="minorHAnsi"/>
                <w:color w:val="A6A6A6" w:themeColor="background1" w:themeShade="A6"/>
                <w:sz w:val="20"/>
                <w:szCs w:val="20"/>
              </w:rPr>
            </w:pPr>
            <w:r>
              <w:rPr>
                <w:rFonts w:asciiTheme="minorHAnsi" w:hAnsiTheme="minorHAnsi" w:cstheme="minorHAnsi"/>
                <w:color w:val="A6A6A6" w:themeColor="background1" w:themeShade="A6"/>
                <w:sz w:val="20"/>
                <w:szCs w:val="20"/>
              </w:rPr>
              <w:t>Legislativní požadavek. V případě, že projekt má vydáno vodoprávní rozhodnutí, či je vyžadováno v rámci povolení k provozu po dokončení realizace projektu, je tento požadavek naplněn, neboť správce povodí a vodoprávní úřad aplikují toto hodnocení a uplatní kritéria pro zajištění tohoto požadavku, jehož jsou garanti.</w:t>
            </w:r>
          </w:p>
          <w:p w14:paraId="2683B7A9" w14:textId="77777777" w:rsidR="00443663" w:rsidRDefault="00443663" w:rsidP="00443663">
            <w:pPr>
              <w:spacing w:after="0" w:line="240" w:lineRule="auto"/>
              <w:rPr>
                <w:rFonts w:asciiTheme="minorHAnsi" w:hAnsiTheme="minorHAnsi" w:cstheme="minorHAnsi"/>
                <w:sz w:val="20"/>
                <w:szCs w:val="20"/>
              </w:rPr>
            </w:pPr>
          </w:p>
          <w:p w14:paraId="192421D3" w14:textId="059E5731" w:rsidR="00443663" w:rsidRPr="00443663" w:rsidRDefault="00443663" w:rsidP="00443663">
            <w:pPr>
              <w:spacing w:after="0" w:line="240" w:lineRule="auto"/>
              <w:rPr>
                <w:rFonts w:asciiTheme="minorHAnsi" w:hAnsiTheme="minorHAnsi" w:cstheme="minorHAnsi"/>
                <w:sz w:val="20"/>
                <w:szCs w:val="20"/>
              </w:rPr>
            </w:pPr>
            <w:r w:rsidRPr="00443663">
              <w:rPr>
                <w:rFonts w:asciiTheme="minorHAnsi" w:hAnsiTheme="minorHAnsi" w:cstheme="minorHAnsi"/>
                <w:sz w:val="20"/>
                <w:szCs w:val="20"/>
              </w:rPr>
              <w:t>V případě, že bylo provedeno posuzování vlivů na životní prostředí (EIA), screening v souladu se směrnicí 2011/92/EU, nebo spadá záměr opatření pod složkovou environmentální legislativu integrovanou do jednotného environmentálního stanoviska, je nutné zajistit, že byla provedena požadovaná zmírňující a kompenzační opatření na ochranu životního prostředí.</w:t>
            </w:r>
          </w:p>
          <w:p w14:paraId="1A324F6E" w14:textId="77777777" w:rsidR="00443663" w:rsidRPr="00443663" w:rsidRDefault="00443663" w:rsidP="00443663">
            <w:pPr>
              <w:spacing w:after="0" w:line="240" w:lineRule="auto"/>
              <w:rPr>
                <w:rFonts w:asciiTheme="minorHAnsi" w:hAnsiTheme="minorHAnsi" w:cstheme="minorHAnsi"/>
                <w:sz w:val="20"/>
                <w:szCs w:val="20"/>
              </w:rPr>
            </w:pPr>
          </w:p>
          <w:p w14:paraId="0799EA4F" w14:textId="2629A577" w:rsidR="00443663" w:rsidRDefault="00443663" w:rsidP="00443663">
            <w:pPr>
              <w:spacing w:after="0" w:line="240" w:lineRule="auto"/>
              <w:rPr>
                <w:rFonts w:asciiTheme="minorHAnsi" w:hAnsiTheme="minorHAnsi" w:cstheme="minorHAnsi"/>
                <w:sz w:val="20"/>
                <w:szCs w:val="20"/>
              </w:rPr>
            </w:pPr>
            <w:r w:rsidRPr="00443663">
              <w:rPr>
                <w:rFonts w:asciiTheme="minorHAnsi" w:hAnsiTheme="minorHAnsi" w:cstheme="minorHAnsi"/>
                <w:sz w:val="20"/>
                <w:szCs w:val="20"/>
              </w:rPr>
              <w:t>Zmírňující a kompenzační opatření na ochranu životního prostředí (na základě závazného stanoviska provedeného posouzení vlivů na životní prostředí) by měla být součástí projektové dokumentace. Tyto jsou poté kontrolovány v rámci stavebního řízení, finálně však ve smyslu, že byla provedena zmírňující a kompenzační opatření až při kolaudaci.</w:t>
            </w:r>
          </w:p>
          <w:p w14:paraId="4E54A207" w14:textId="77777777" w:rsidR="00443663" w:rsidRDefault="00443663" w:rsidP="00443663">
            <w:pPr>
              <w:spacing w:after="0" w:line="240" w:lineRule="auto"/>
              <w:rPr>
                <w:rFonts w:asciiTheme="minorHAnsi" w:hAnsiTheme="minorHAnsi" w:cstheme="minorHAnsi"/>
                <w:sz w:val="20"/>
                <w:szCs w:val="20"/>
              </w:rPr>
            </w:pPr>
          </w:p>
          <w:p w14:paraId="47778CD9" w14:textId="1771E63A" w:rsidR="00FE7E4F" w:rsidRDefault="00443663" w:rsidP="00443663">
            <w:pPr>
              <w:spacing w:after="0" w:line="240" w:lineRule="auto"/>
              <w:rPr>
                <w:rFonts w:asciiTheme="minorHAnsi" w:hAnsiTheme="minorHAnsi" w:cstheme="minorHAnsi"/>
                <w:color w:val="A6A6A6" w:themeColor="background1" w:themeShade="A6"/>
                <w:sz w:val="20"/>
                <w:szCs w:val="20"/>
              </w:rPr>
            </w:pPr>
            <w:r w:rsidRPr="00443663">
              <w:rPr>
                <w:rFonts w:asciiTheme="minorHAnsi" w:hAnsiTheme="minorHAnsi" w:cstheme="minorHAnsi"/>
                <w:sz w:val="20"/>
                <w:szCs w:val="20"/>
              </w:rPr>
              <w:lastRenderedPageBreak/>
              <w:t>Z pohledu procesu se však legislativní postup nemusí setkat v čase s rozhodnutím o poskytnutí dotace, proto je potřeba požadovat čestné prohlášení ohledně provedení zmírňujících a kompenzačních opatření na ochranu životního prostředí.</w:t>
            </w:r>
          </w:p>
        </w:tc>
        <w:tc>
          <w:tcPr>
            <w:tcW w:w="1064" w:type="pct"/>
            <w:shd w:val="clear" w:color="auto" w:fill="DEEAF6" w:themeFill="accent5" w:themeFillTint="33"/>
          </w:tcPr>
          <w:p w14:paraId="50633F64" w14:textId="6EAF1A36" w:rsidR="00FE7E4F" w:rsidRDefault="00443663" w:rsidP="00FE7E4F">
            <w:pPr>
              <w:spacing w:after="0" w:line="240" w:lineRule="auto"/>
              <w:rPr>
                <w:rFonts w:asciiTheme="minorHAnsi" w:hAnsiTheme="minorHAnsi" w:cstheme="minorHAnsi"/>
                <w:color w:val="A6A6A6" w:themeColor="background1" w:themeShade="A6"/>
                <w:sz w:val="20"/>
                <w:szCs w:val="20"/>
              </w:rPr>
            </w:pPr>
            <w:r>
              <w:rPr>
                <w:rFonts w:asciiTheme="minorHAnsi" w:hAnsiTheme="minorHAnsi" w:cstheme="minorHAnsi"/>
                <w:sz w:val="20"/>
                <w:szCs w:val="20"/>
              </w:rPr>
              <w:lastRenderedPageBreak/>
              <w:t>Požadavek na čestné prohlášení ohledně plného zohlednění doporučení stanoviska EIA v projektu (v rámci projektů podléhajících EIA) nebo jednotného environmentálního stanoviska, pokud již nebyla provedena kolaudace v průběhu řízení o přidělení dotace.</w:t>
            </w:r>
          </w:p>
        </w:tc>
        <w:tc>
          <w:tcPr>
            <w:tcW w:w="1102" w:type="pct"/>
            <w:shd w:val="clear" w:color="auto" w:fill="DEEAF6" w:themeFill="accent5" w:themeFillTint="33"/>
          </w:tcPr>
          <w:p w14:paraId="0A83C203" w14:textId="77777777" w:rsidR="00FE7E4F" w:rsidRDefault="00FE7E4F" w:rsidP="00FE7E4F">
            <w:pPr>
              <w:spacing w:after="0" w:line="240" w:lineRule="auto"/>
              <w:rPr>
                <w:rFonts w:asciiTheme="minorHAnsi" w:hAnsiTheme="minorHAnsi" w:cstheme="minorHAnsi"/>
                <w:color w:val="A6A6A6" w:themeColor="background1" w:themeShade="A6"/>
                <w:sz w:val="20"/>
                <w:szCs w:val="20"/>
              </w:rPr>
            </w:pPr>
          </w:p>
        </w:tc>
      </w:tr>
      <w:tr w:rsidR="00FE7E4F" w14:paraId="4BEB8CA0" w14:textId="77777777" w:rsidTr="00FE7E4F">
        <w:tc>
          <w:tcPr>
            <w:tcW w:w="570" w:type="pct"/>
            <w:vMerge w:val="restart"/>
            <w:shd w:val="clear" w:color="auto" w:fill="FFF2CC" w:themeFill="accent4" w:themeFillTint="33"/>
          </w:tcPr>
          <w:p w14:paraId="297F7DBC" w14:textId="77777777" w:rsidR="00FE7E4F" w:rsidRDefault="00FE7E4F" w:rsidP="003A4B0B">
            <w:pPr>
              <w:spacing w:after="0" w:line="240" w:lineRule="auto"/>
              <w:jc w:val="left"/>
              <w:rPr>
                <w:rFonts w:asciiTheme="minorHAnsi" w:hAnsiTheme="minorHAnsi" w:cstheme="minorHAnsi"/>
                <w:b/>
                <w:sz w:val="20"/>
                <w:szCs w:val="20"/>
              </w:rPr>
            </w:pPr>
            <w:r>
              <w:rPr>
                <w:rFonts w:asciiTheme="minorHAnsi" w:hAnsiTheme="minorHAnsi" w:cstheme="minorHAnsi"/>
                <w:b/>
                <w:sz w:val="20"/>
                <w:szCs w:val="20"/>
              </w:rPr>
              <w:t>Oběhové hospodářství včetně předcházení vzniku odpadů a recyklace</w:t>
            </w:r>
          </w:p>
        </w:tc>
        <w:tc>
          <w:tcPr>
            <w:tcW w:w="1150" w:type="pct"/>
            <w:shd w:val="clear" w:color="auto" w:fill="FFF2CC" w:themeFill="accent4" w:themeFillTint="33"/>
          </w:tcPr>
          <w:p w14:paraId="0664ED38" w14:textId="3A35E2EE" w:rsidR="00FE7E4F" w:rsidRDefault="004C24A5" w:rsidP="00FE7E4F">
            <w:pPr>
              <w:spacing w:after="0" w:line="240" w:lineRule="auto"/>
              <w:rPr>
                <w:rFonts w:asciiTheme="minorHAnsi" w:hAnsiTheme="minorHAnsi" w:cstheme="minorHAnsi"/>
                <w:bCs/>
                <w:sz w:val="20"/>
                <w:szCs w:val="20"/>
              </w:rPr>
            </w:pPr>
            <w:r w:rsidRPr="004C24A5">
              <w:rPr>
                <w:rFonts w:asciiTheme="minorHAnsi" w:hAnsiTheme="minorHAnsi" w:cstheme="minorHAnsi"/>
                <w:bCs/>
                <w:sz w:val="20"/>
                <w:szCs w:val="20"/>
              </w:rPr>
              <w:t>Nejméně 70 % stavebního a demoličního odpadu, který není nebezpečný a vzniká na staveništi (podle hmotnosti v kilogramech), s výjimkou přirozeně se vyskytujícího materiálu uvedeného v kategorii 17 05 04 v evropském seznamu odpadů (rozhodnutí 2000/532/ES), je připraveno k opětovnému použití</w:t>
            </w:r>
            <w:r>
              <w:rPr>
                <w:rStyle w:val="Znakapoznpodarou"/>
                <w:rFonts w:asciiTheme="minorHAnsi" w:hAnsiTheme="minorHAnsi" w:cstheme="minorHAnsi"/>
                <w:bCs/>
                <w:sz w:val="20"/>
                <w:szCs w:val="20"/>
              </w:rPr>
              <w:footnoteReference w:id="128"/>
            </w:r>
            <w:r w:rsidR="00FB2A0F">
              <w:rPr>
                <w:rFonts w:asciiTheme="minorHAnsi" w:hAnsiTheme="minorHAnsi" w:cstheme="minorHAnsi"/>
                <w:bCs/>
                <w:sz w:val="20"/>
                <w:szCs w:val="20"/>
              </w:rPr>
              <w:t xml:space="preserve"> </w:t>
            </w:r>
            <w:r w:rsidRPr="004C24A5">
              <w:rPr>
                <w:rFonts w:asciiTheme="minorHAnsi" w:hAnsiTheme="minorHAnsi" w:cstheme="minorHAnsi"/>
                <w:bCs/>
                <w:sz w:val="20"/>
                <w:szCs w:val="20"/>
              </w:rPr>
              <w:t>nebo recyklováno</w:t>
            </w:r>
            <w:r>
              <w:rPr>
                <w:rStyle w:val="Znakapoznpodarou"/>
                <w:rFonts w:asciiTheme="minorHAnsi" w:hAnsiTheme="minorHAnsi" w:cstheme="minorHAnsi"/>
                <w:bCs/>
                <w:sz w:val="20"/>
                <w:szCs w:val="20"/>
              </w:rPr>
              <w:footnoteReference w:id="129"/>
            </w:r>
            <w:r w:rsidRPr="004C24A5">
              <w:rPr>
                <w:rFonts w:asciiTheme="minorHAnsi" w:hAnsiTheme="minorHAnsi" w:cstheme="minorHAnsi"/>
                <w:bCs/>
                <w:sz w:val="20"/>
                <w:szCs w:val="20"/>
              </w:rPr>
              <w:t>. Zasypávání</w:t>
            </w:r>
            <w:r>
              <w:rPr>
                <w:rStyle w:val="Znakapoznpodarou"/>
                <w:rFonts w:asciiTheme="minorHAnsi" w:hAnsiTheme="minorHAnsi" w:cstheme="minorHAnsi"/>
                <w:bCs/>
                <w:sz w:val="20"/>
                <w:szCs w:val="20"/>
              </w:rPr>
              <w:footnoteReference w:id="130"/>
            </w:r>
            <w:r w:rsidRPr="004C24A5">
              <w:rPr>
                <w:rFonts w:asciiTheme="minorHAnsi" w:hAnsiTheme="minorHAnsi" w:cstheme="minorHAnsi"/>
                <w:bCs/>
                <w:sz w:val="20"/>
                <w:szCs w:val="20"/>
              </w:rPr>
              <w:t xml:space="preserve"> se nepovažuje za přípravu k opětovnému použití nebo recyklaci.</w:t>
            </w:r>
          </w:p>
          <w:p w14:paraId="68ED36A9" w14:textId="77777777" w:rsidR="00FE7E4F" w:rsidRDefault="00FE7E4F" w:rsidP="00FE7E4F">
            <w:pPr>
              <w:spacing w:after="0" w:line="240" w:lineRule="auto"/>
              <w:rPr>
                <w:rFonts w:asciiTheme="minorHAnsi" w:hAnsiTheme="minorHAnsi" w:cstheme="minorHAnsi"/>
                <w:bCs/>
                <w:sz w:val="20"/>
                <w:szCs w:val="20"/>
              </w:rPr>
            </w:pPr>
          </w:p>
        </w:tc>
        <w:tc>
          <w:tcPr>
            <w:tcW w:w="1114" w:type="pct"/>
            <w:shd w:val="clear" w:color="auto" w:fill="FFF2CC" w:themeFill="accent4" w:themeFillTint="33"/>
          </w:tcPr>
          <w:p w14:paraId="4749AF98" w14:textId="1C44903B" w:rsidR="00FE7E4F" w:rsidRDefault="00FE7E4F" w:rsidP="00FE7E4F">
            <w:pPr>
              <w:spacing w:after="0" w:line="240" w:lineRule="auto"/>
              <w:rPr>
                <w:rFonts w:asciiTheme="minorHAnsi" w:hAnsiTheme="minorHAnsi" w:cstheme="minorHAnsi"/>
                <w:sz w:val="20"/>
                <w:szCs w:val="20"/>
              </w:rPr>
            </w:pPr>
            <w:r>
              <w:rPr>
                <w:rFonts w:asciiTheme="minorHAnsi" w:hAnsiTheme="minorHAnsi" w:cstheme="minorHAnsi"/>
                <w:sz w:val="20"/>
                <w:szCs w:val="20"/>
              </w:rPr>
              <w:t>Nastavení podmínek podpory – viz kapitola 5.</w:t>
            </w:r>
            <w:r w:rsidR="009830DC">
              <w:rPr>
                <w:rFonts w:asciiTheme="minorHAnsi" w:hAnsiTheme="minorHAnsi" w:cstheme="minorHAnsi"/>
                <w:sz w:val="20"/>
                <w:szCs w:val="20"/>
              </w:rPr>
              <w:t>3</w:t>
            </w:r>
            <w:r>
              <w:rPr>
                <w:rFonts w:asciiTheme="minorHAnsi" w:hAnsiTheme="minorHAnsi" w:cstheme="minorHAnsi"/>
                <w:sz w:val="20"/>
                <w:szCs w:val="20"/>
              </w:rPr>
              <w:t>.</w:t>
            </w:r>
          </w:p>
          <w:p w14:paraId="70E226DE" w14:textId="77777777" w:rsidR="00FE7E4F" w:rsidRPr="009D6C34" w:rsidRDefault="00FE7E4F" w:rsidP="00FE7E4F">
            <w:pPr>
              <w:spacing w:after="0" w:line="240" w:lineRule="auto"/>
              <w:rPr>
                <w:rFonts w:asciiTheme="minorHAnsi" w:hAnsiTheme="minorHAnsi" w:cstheme="minorHAnsi"/>
                <w:sz w:val="20"/>
                <w:szCs w:val="20"/>
              </w:rPr>
            </w:pPr>
          </w:p>
          <w:p w14:paraId="2EFA0BE2" w14:textId="0D5DF896" w:rsidR="00FE7E4F" w:rsidRPr="009D6C34" w:rsidRDefault="00FE7E4F" w:rsidP="00FE7E4F">
            <w:pPr>
              <w:spacing w:after="0" w:line="240" w:lineRule="auto"/>
              <w:rPr>
                <w:rFonts w:asciiTheme="minorHAnsi" w:hAnsiTheme="minorHAnsi" w:cstheme="minorHAnsi"/>
                <w:sz w:val="20"/>
                <w:szCs w:val="20"/>
              </w:rPr>
            </w:pPr>
            <w:r w:rsidRPr="009D6C34">
              <w:rPr>
                <w:rFonts w:asciiTheme="minorHAnsi" w:hAnsiTheme="minorHAnsi" w:cstheme="minorHAnsi"/>
                <w:sz w:val="20"/>
                <w:szCs w:val="20"/>
              </w:rPr>
              <w:t xml:space="preserve">Podrobné informace o vhodném postupu naleznete např. v Metodickém návodu Ministerstva životního prostředí: </w:t>
            </w:r>
            <w:r w:rsidR="009D6C34" w:rsidRPr="00DB1A0B">
              <w:rPr>
                <w:rFonts w:asciiTheme="minorHAnsi" w:hAnsiTheme="minorHAnsi" w:cstheme="minorHAnsi"/>
                <w:sz w:val="20"/>
                <w:szCs w:val="20"/>
              </w:rPr>
              <w:t>https://mzp.gov.cz/system/files/2025-03/OODP-metodicky_navod_SDO-20180904.pdf</w:t>
            </w:r>
          </w:p>
          <w:p w14:paraId="49A6B30B" w14:textId="77777777" w:rsidR="00FE7E4F" w:rsidRPr="009D6C34" w:rsidRDefault="00FE7E4F" w:rsidP="00FE7E4F">
            <w:pPr>
              <w:spacing w:after="0" w:line="240" w:lineRule="auto"/>
              <w:rPr>
                <w:rFonts w:asciiTheme="minorHAnsi" w:hAnsiTheme="minorHAnsi" w:cstheme="minorHAnsi"/>
                <w:sz w:val="20"/>
                <w:szCs w:val="20"/>
              </w:rPr>
            </w:pPr>
            <w:r w:rsidRPr="00DB1A0B">
              <w:rPr>
                <w:rFonts w:asciiTheme="minorHAnsi" w:hAnsiTheme="minorHAnsi" w:cstheme="minorHAnsi"/>
                <w:sz w:val="18"/>
                <w:szCs w:val="18"/>
              </w:rPr>
              <w:t>nebo v Protokolu EU o</w:t>
            </w:r>
            <w:r w:rsidRPr="009D6C34">
              <w:rPr>
                <w:rFonts w:asciiTheme="minorHAnsi" w:hAnsiTheme="minorHAnsi" w:cstheme="minorHAnsi"/>
                <w:sz w:val="20"/>
                <w:szCs w:val="20"/>
              </w:rPr>
              <w:t xml:space="preserve"> nakládání se stavebními a demoličními odpady:</w:t>
            </w:r>
          </w:p>
          <w:p w14:paraId="1B2F93F3" w14:textId="77777777" w:rsidR="00FE7E4F" w:rsidRDefault="00FE7E4F" w:rsidP="00FE7E4F">
            <w:pPr>
              <w:spacing w:after="0" w:line="240" w:lineRule="auto"/>
              <w:rPr>
                <w:rFonts w:asciiTheme="minorHAnsi" w:hAnsiTheme="minorHAnsi" w:cstheme="minorHAnsi"/>
                <w:sz w:val="20"/>
                <w:szCs w:val="20"/>
              </w:rPr>
            </w:pPr>
            <w:hyperlink r:id="rId135" w:tooltip="https://www.mpo.cz/cz/stavebnictvi-a-suroviny/strategicke-dokumenty-pro-udrzitelne-stavebnictvi/protokol-eu-o-nakladani-se-stavebnimi-a-demolicnimi-odpady--241557/" w:history="1">
              <w:r>
                <w:rPr>
                  <w:rStyle w:val="Hypertextovodkaz"/>
                  <w:rFonts w:asciiTheme="minorHAnsi" w:hAnsiTheme="minorHAnsi" w:cstheme="minorHAnsi"/>
                  <w:sz w:val="20"/>
                  <w:szCs w:val="20"/>
                </w:rPr>
                <w:t>https://www.mpo.cz/cz/stavebnictvi-a-suroviny/strategicke-dokumenty-pro-udrzitelne-stavebnictvi/protokol-eu-o-nakladani-se-stavebnimi-a-demolicnimi-odpady--241557/</w:t>
              </w:r>
            </w:hyperlink>
          </w:p>
          <w:p w14:paraId="0B4B9AC9" w14:textId="77777777" w:rsidR="00FE7E4F" w:rsidRDefault="00FE7E4F" w:rsidP="00FE7E4F">
            <w:pPr>
              <w:spacing w:after="0" w:line="240" w:lineRule="auto"/>
              <w:rPr>
                <w:rFonts w:asciiTheme="minorHAnsi" w:hAnsiTheme="minorHAnsi" w:cstheme="minorHAnsi"/>
                <w:sz w:val="20"/>
                <w:szCs w:val="20"/>
              </w:rPr>
            </w:pPr>
            <w:r>
              <w:rPr>
                <w:rFonts w:asciiTheme="minorHAnsi" w:hAnsiTheme="minorHAnsi" w:cstheme="minorHAnsi"/>
                <w:sz w:val="20"/>
                <w:szCs w:val="20"/>
              </w:rPr>
              <w:t>případně v mezinárodních standardech ISO 20887.</w:t>
            </w:r>
          </w:p>
          <w:p w14:paraId="6E7DCBC3" w14:textId="77777777" w:rsidR="00FE7E4F" w:rsidRDefault="00FE7E4F" w:rsidP="00FE7E4F">
            <w:pPr>
              <w:spacing w:after="0" w:line="240" w:lineRule="auto"/>
              <w:rPr>
                <w:rFonts w:asciiTheme="minorHAnsi" w:hAnsiTheme="minorHAnsi" w:cstheme="minorHAnsi"/>
                <w:sz w:val="20"/>
                <w:szCs w:val="20"/>
              </w:rPr>
            </w:pPr>
          </w:p>
          <w:p w14:paraId="6AFEE143" w14:textId="77777777" w:rsidR="00FE7E4F" w:rsidRDefault="00FE7E4F" w:rsidP="00FE7E4F">
            <w:pPr>
              <w:spacing w:after="0" w:line="240" w:lineRule="auto"/>
              <w:rPr>
                <w:rFonts w:asciiTheme="minorHAnsi" w:hAnsiTheme="minorHAnsi" w:cstheme="minorHAnsi"/>
                <w:sz w:val="20"/>
                <w:szCs w:val="20"/>
              </w:rPr>
            </w:pPr>
            <w:r>
              <w:rPr>
                <w:rFonts w:asciiTheme="minorHAnsi" w:hAnsiTheme="minorHAnsi" w:cstheme="minorHAnsi"/>
                <w:sz w:val="20"/>
                <w:szCs w:val="20"/>
              </w:rPr>
              <w:lastRenderedPageBreak/>
              <w:t>Základní přehled o druhotných surovinách a recyklovaných výrobcích naleznete na webu MPO a ČAS:</w:t>
            </w:r>
          </w:p>
          <w:p w14:paraId="4F14B70F" w14:textId="77777777" w:rsidR="00FE7E4F" w:rsidRDefault="00FE7E4F" w:rsidP="00FE7E4F">
            <w:pPr>
              <w:spacing w:after="0" w:line="240" w:lineRule="auto"/>
              <w:rPr>
                <w:rFonts w:asciiTheme="minorHAnsi" w:hAnsiTheme="minorHAnsi" w:cstheme="minorHAnsi"/>
                <w:sz w:val="20"/>
                <w:szCs w:val="20"/>
              </w:rPr>
            </w:pPr>
            <w:hyperlink r:id="rId136" w:tooltip="http://www.recyklujmestavby.cz/" w:history="1">
              <w:r>
                <w:rPr>
                  <w:rStyle w:val="Hypertextovodkaz"/>
                  <w:rFonts w:asciiTheme="minorHAnsi" w:hAnsiTheme="minorHAnsi" w:cstheme="minorHAnsi"/>
                  <w:sz w:val="20"/>
                  <w:szCs w:val="20"/>
                </w:rPr>
                <w:t>http://www.recyklujmestavby.cz/</w:t>
              </w:r>
            </w:hyperlink>
            <w:r>
              <w:rPr>
                <w:rFonts w:asciiTheme="minorHAnsi" w:hAnsiTheme="minorHAnsi" w:cstheme="minorHAnsi"/>
                <w:sz w:val="20"/>
                <w:szCs w:val="20"/>
              </w:rPr>
              <w:t xml:space="preserve"> </w:t>
            </w:r>
          </w:p>
          <w:p w14:paraId="68BF8DB1" w14:textId="77777777" w:rsidR="00FE7E4F" w:rsidRDefault="00FE7E4F" w:rsidP="00FE7E4F">
            <w:pPr>
              <w:spacing w:after="0" w:line="240" w:lineRule="auto"/>
              <w:rPr>
                <w:rFonts w:asciiTheme="minorHAnsi" w:hAnsiTheme="minorHAnsi" w:cstheme="minorHAnsi"/>
                <w:sz w:val="20"/>
                <w:szCs w:val="20"/>
              </w:rPr>
            </w:pPr>
          </w:p>
          <w:p w14:paraId="17ABB7F0" w14:textId="404F8C18" w:rsidR="00FE7E4F" w:rsidRDefault="00FE7E4F" w:rsidP="00FE7E4F">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Jedná se o aplikaci indikátorů Level(s) pro adaptability 2.3 + </w:t>
            </w:r>
            <w:proofErr w:type="spellStart"/>
            <w:r>
              <w:rPr>
                <w:rFonts w:asciiTheme="minorHAnsi" w:hAnsiTheme="minorHAnsi" w:cstheme="minorHAnsi"/>
                <w:sz w:val="20"/>
                <w:szCs w:val="20"/>
              </w:rPr>
              <w:t>deconstruction</w:t>
            </w:r>
            <w:proofErr w:type="spellEnd"/>
            <w:r>
              <w:rPr>
                <w:rFonts w:asciiTheme="minorHAnsi" w:hAnsiTheme="minorHAnsi" w:cstheme="minorHAnsi"/>
                <w:sz w:val="20"/>
                <w:szCs w:val="20"/>
              </w:rPr>
              <w:t xml:space="preserve"> 2.4. Projekt může využít oficiální kalkulátor CAT a doložit hodnocení a připravenost projektu vůči těmto dvěma kritériím. Možno provést hodnocení základní (level1), které indikuje obecný soulad s očekávanými přístupy. Případně rozšířené a podrobné (level 2/3), zejm. u oblastí, kde je od </w:t>
            </w:r>
            <w:r w:rsidR="007F68AD">
              <w:rPr>
                <w:rFonts w:asciiTheme="minorHAnsi" w:hAnsiTheme="minorHAnsi" w:cstheme="minorHAnsi"/>
                <w:sz w:val="20"/>
                <w:szCs w:val="20"/>
              </w:rPr>
              <w:t xml:space="preserve">administrátora zdrojů EU </w:t>
            </w:r>
            <w:r>
              <w:rPr>
                <w:rFonts w:asciiTheme="minorHAnsi" w:hAnsiTheme="minorHAnsi" w:cstheme="minorHAnsi"/>
                <w:sz w:val="20"/>
                <w:szCs w:val="20"/>
              </w:rPr>
              <w:t>vyžadován vysoký standard.</w:t>
            </w:r>
          </w:p>
          <w:p w14:paraId="31BC3699" w14:textId="77777777" w:rsidR="00FE7E4F" w:rsidRDefault="00FE7E4F" w:rsidP="00FE7E4F">
            <w:pPr>
              <w:spacing w:after="0" w:line="240" w:lineRule="auto"/>
              <w:rPr>
                <w:rFonts w:asciiTheme="minorHAnsi" w:hAnsiTheme="minorHAnsi" w:cstheme="minorHAnsi"/>
                <w:sz w:val="20"/>
                <w:szCs w:val="20"/>
              </w:rPr>
            </w:pPr>
          </w:p>
        </w:tc>
        <w:tc>
          <w:tcPr>
            <w:tcW w:w="1064" w:type="pct"/>
            <w:shd w:val="clear" w:color="auto" w:fill="FFF2CC" w:themeFill="accent4" w:themeFillTint="33"/>
          </w:tcPr>
          <w:p w14:paraId="1C875F34" w14:textId="77777777" w:rsidR="00FE7E4F" w:rsidRDefault="00FE7E4F" w:rsidP="00FE7E4F">
            <w:pPr>
              <w:spacing w:after="0" w:line="240" w:lineRule="auto"/>
              <w:rPr>
                <w:rFonts w:asciiTheme="minorHAnsi" w:hAnsiTheme="minorHAnsi" w:cstheme="minorHAnsi"/>
                <w:sz w:val="20"/>
                <w:szCs w:val="20"/>
              </w:rPr>
            </w:pPr>
            <w:r>
              <w:rPr>
                <w:rFonts w:asciiTheme="minorHAnsi" w:hAnsiTheme="minorHAnsi" w:cstheme="minorHAnsi"/>
                <w:sz w:val="20"/>
                <w:szCs w:val="20"/>
              </w:rPr>
              <w:lastRenderedPageBreak/>
              <w:t>Podmínka je zavedena do podmínek výzvy a pravidel pro žadatele, s tím, že její plnění lze dokládat následovně:</w:t>
            </w:r>
          </w:p>
          <w:p w14:paraId="105C1CA5" w14:textId="2EFEAEF3" w:rsidR="00FE7E4F" w:rsidRDefault="00FE7E4F" w:rsidP="00FE7E4F">
            <w:pPr>
              <w:pStyle w:val="Odstavecseseznamem"/>
              <w:numPr>
                <w:ilvl w:val="0"/>
                <w:numId w:val="31"/>
              </w:num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plnění této povinnosti u výstavby malých projektů, zejm. kde jsou příjemci domácnosti (dle stavebního zákona </w:t>
            </w:r>
            <w:r w:rsidR="00EF0537" w:rsidRPr="00EF0537">
              <w:rPr>
                <w:rFonts w:asciiTheme="minorHAnsi" w:hAnsiTheme="minorHAnsi" w:cstheme="minorHAnsi"/>
                <w:sz w:val="20"/>
                <w:szCs w:val="20"/>
              </w:rPr>
              <w:t>283/2021</w:t>
            </w:r>
            <w:r>
              <w:rPr>
                <w:rFonts w:asciiTheme="minorHAnsi" w:hAnsiTheme="minorHAnsi" w:cstheme="minorHAnsi"/>
                <w:sz w:val="20"/>
                <w:szCs w:val="20"/>
              </w:rPr>
              <w:t>) je doloženo dokumentem Závěrečná zpráva odborného technického dozoru (formou čestného prohlášení).</w:t>
            </w:r>
          </w:p>
          <w:p w14:paraId="38C395BF" w14:textId="0BD32CE7" w:rsidR="00FE7E4F" w:rsidRDefault="00FE7E4F" w:rsidP="00FE7E4F">
            <w:pPr>
              <w:pStyle w:val="Odstavecseseznamem"/>
              <w:numPr>
                <w:ilvl w:val="0"/>
                <w:numId w:val="31"/>
              </w:numPr>
              <w:spacing w:after="0" w:line="240" w:lineRule="auto"/>
              <w:rPr>
                <w:rFonts w:asciiTheme="minorHAnsi" w:hAnsiTheme="minorHAnsi" w:cstheme="minorHAnsi"/>
                <w:sz w:val="20"/>
                <w:szCs w:val="20"/>
              </w:rPr>
            </w:pPr>
            <w:r>
              <w:rPr>
                <w:rFonts w:asciiTheme="minorHAnsi" w:hAnsiTheme="minorHAnsi" w:cstheme="minorHAnsi"/>
                <w:sz w:val="20"/>
                <w:szCs w:val="20"/>
              </w:rPr>
              <w:t>plnění této povinnosti u odstraňování staveb a výstavby velkých projektů (dle stavebního zákona</w:t>
            </w:r>
            <w:r w:rsidR="00FB2A0F">
              <w:rPr>
                <w:rFonts w:asciiTheme="minorHAnsi" w:hAnsiTheme="minorHAnsi" w:cstheme="minorHAnsi"/>
                <w:sz w:val="20"/>
                <w:szCs w:val="20"/>
              </w:rPr>
              <w:t xml:space="preserve"> </w:t>
            </w:r>
            <w:r w:rsidR="00EF0537" w:rsidRPr="00EF0537">
              <w:rPr>
                <w:rFonts w:asciiTheme="minorHAnsi" w:hAnsiTheme="minorHAnsi" w:cstheme="minorHAnsi"/>
                <w:sz w:val="20"/>
                <w:szCs w:val="20"/>
              </w:rPr>
              <w:t>283/2021</w:t>
            </w:r>
            <w:r>
              <w:rPr>
                <w:rFonts w:asciiTheme="minorHAnsi" w:hAnsiTheme="minorHAnsi" w:cstheme="minorHAnsi"/>
                <w:sz w:val="20"/>
                <w:szCs w:val="20"/>
              </w:rPr>
              <w:t xml:space="preserve">) je doloženo kopií smlouvy o zajištění předání produkovaných stavebních a demoličních odpadů do </w:t>
            </w:r>
            <w:r>
              <w:rPr>
                <w:rFonts w:asciiTheme="minorHAnsi" w:hAnsiTheme="minorHAnsi" w:cstheme="minorHAnsi"/>
                <w:sz w:val="20"/>
                <w:szCs w:val="20"/>
              </w:rPr>
              <w:lastRenderedPageBreak/>
              <w:t>zařízení určeného pro nakládání s daným druhem a kategorií odpadu dle § 15 odst. 2 písm. c) zákona č. 541/2020 Sb., o odpadech; a dokladem o převzetí odpadů od provozovatele způsobilých zařízení</w:t>
            </w:r>
            <w:r>
              <w:rPr>
                <w:rStyle w:val="Znakapoznpodarou"/>
                <w:rFonts w:asciiTheme="minorHAnsi" w:hAnsiTheme="minorHAnsi" w:cstheme="minorHAnsi"/>
                <w:sz w:val="20"/>
                <w:szCs w:val="20"/>
              </w:rPr>
              <w:footnoteReference w:id="131"/>
            </w:r>
            <w:r>
              <w:rPr>
                <w:rFonts w:asciiTheme="minorHAnsi" w:hAnsiTheme="minorHAnsi" w:cstheme="minorHAnsi"/>
                <w:sz w:val="20"/>
                <w:szCs w:val="20"/>
              </w:rPr>
              <w:t xml:space="preserve"> dle § 17 odst. 1 písm. c) zákona č. 541/2020 Sb., o odpadech.</w:t>
            </w:r>
            <w:r w:rsidR="004C24A5">
              <w:rPr>
                <w:rStyle w:val="Znakapoznpodarou"/>
                <w:rFonts w:asciiTheme="minorHAnsi" w:hAnsiTheme="minorHAnsi" w:cstheme="minorHAnsi"/>
                <w:sz w:val="20"/>
                <w:szCs w:val="20"/>
              </w:rPr>
              <w:footnoteReference w:id="132"/>
            </w:r>
          </w:p>
          <w:p w14:paraId="6320D14E" w14:textId="2B020AFA" w:rsidR="004C24A5" w:rsidRPr="004C24A5" w:rsidRDefault="004C24A5" w:rsidP="004C24A5">
            <w:pPr>
              <w:pStyle w:val="Odstavecseseznamem"/>
              <w:numPr>
                <w:ilvl w:val="0"/>
                <w:numId w:val="31"/>
              </w:numPr>
              <w:spacing w:after="0" w:line="240" w:lineRule="auto"/>
              <w:rPr>
                <w:rFonts w:asciiTheme="minorHAnsi" w:hAnsiTheme="minorHAnsi" w:cstheme="minorHAnsi"/>
                <w:sz w:val="20"/>
                <w:szCs w:val="20"/>
              </w:rPr>
            </w:pPr>
            <w:r>
              <w:rPr>
                <w:rFonts w:asciiTheme="minorHAnsi" w:hAnsiTheme="minorHAnsi" w:cstheme="minorHAnsi"/>
                <w:sz w:val="20"/>
                <w:szCs w:val="20"/>
              </w:rPr>
              <w:t>O</w:t>
            </w:r>
            <w:r w:rsidRPr="004C24A5">
              <w:rPr>
                <w:rFonts w:asciiTheme="minorHAnsi" w:hAnsiTheme="minorHAnsi" w:cstheme="minorHAnsi"/>
                <w:sz w:val="20"/>
                <w:szCs w:val="20"/>
              </w:rPr>
              <w:t xml:space="preserve">dhad celkového množství vyprodukovaného odpadu </w:t>
            </w:r>
            <w:r>
              <w:rPr>
                <w:rFonts w:asciiTheme="minorHAnsi" w:hAnsiTheme="minorHAnsi" w:cstheme="minorHAnsi"/>
                <w:sz w:val="20"/>
                <w:szCs w:val="20"/>
              </w:rPr>
              <w:t>lze doložit</w:t>
            </w:r>
            <w:r w:rsidRPr="004C24A5">
              <w:rPr>
                <w:rFonts w:asciiTheme="minorHAnsi" w:hAnsiTheme="minorHAnsi" w:cstheme="minorHAnsi"/>
                <w:sz w:val="20"/>
                <w:szCs w:val="20"/>
              </w:rPr>
              <w:t>:</w:t>
            </w:r>
          </w:p>
          <w:p w14:paraId="6C3E5CB0" w14:textId="096FCCD7" w:rsidR="004C24A5" w:rsidRPr="004C24A5" w:rsidRDefault="004C24A5" w:rsidP="009B1BC4">
            <w:pPr>
              <w:pStyle w:val="Odstavecseseznamem"/>
              <w:numPr>
                <w:ilvl w:val="0"/>
                <w:numId w:val="31"/>
              </w:numPr>
              <w:spacing w:after="0" w:line="240" w:lineRule="auto"/>
              <w:rPr>
                <w:rFonts w:asciiTheme="minorHAnsi" w:hAnsiTheme="minorHAnsi" w:cstheme="minorHAnsi"/>
                <w:sz w:val="20"/>
                <w:szCs w:val="20"/>
              </w:rPr>
            </w:pPr>
            <w:r w:rsidRPr="004C24A5">
              <w:rPr>
                <w:rFonts w:asciiTheme="minorHAnsi" w:hAnsiTheme="minorHAnsi" w:cstheme="minorHAnsi"/>
                <w:sz w:val="20"/>
                <w:szCs w:val="20"/>
              </w:rPr>
              <w:t>i) potvrzení o celkovém množství odpadu přivezeného do různých zařízení pro nakládání s odpady (v kg) (tj. recyklace, skládkování atd.);</w:t>
            </w:r>
          </w:p>
          <w:p w14:paraId="431FFC23" w14:textId="450D7969" w:rsidR="004C24A5" w:rsidRPr="004C24A5" w:rsidRDefault="004C24A5" w:rsidP="009B1BC4">
            <w:pPr>
              <w:pStyle w:val="Odstavecseseznamem"/>
              <w:numPr>
                <w:ilvl w:val="0"/>
                <w:numId w:val="31"/>
              </w:numPr>
              <w:spacing w:after="0" w:line="240" w:lineRule="auto"/>
              <w:rPr>
                <w:rFonts w:asciiTheme="minorHAnsi" w:hAnsiTheme="minorHAnsi" w:cstheme="minorHAnsi"/>
                <w:sz w:val="20"/>
                <w:szCs w:val="20"/>
              </w:rPr>
            </w:pPr>
            <w:proofErr w:type="spellStart"/>
            <w:r w:rsidRPr="004C24A5">
              <w:rPr>
                <w:rFonts w:asciiTheme="minorHAnsi" w:hAnsiTheme="minorHAnsi" w:cstheme="minorHAnsi"/>
                <w:sz w:val="20"/>
                <w:szCs w:val="20"/>
              </w:rPr>
              <w:t>ii</w:t>
            </w:r>
            <w:proofErr w:type="spellEnd"/>
            <w:r w:rsidRPr="004C24A5">
              <w:rPr>
                <w:rFonts w:asciiTheme="minorHAnsi" w:hAnsiTheme="minorHAnsi" w:cstheme="minorHAnsi"/>
                <w:sz w:val="20"/>
                <w:szCs w:val="20"/>
              </w:rPr>
              <w:t>) potvrzení o zaplacení kontejnerů (s uvedením jejich objemu v m3) použitých na staveništi;</w:t>
            </w:r>
          </w:p>
          <w:p w14:paraId="19A31626" w14:textId="5750D950" w:rsidR="004C24A5" w:rsidRPr="004C24A5" w:rsidRDefault="004C24A5" w:rsidP="009B1BC4">
            <w:pPr>
              <w:pStyle w:val="Odstavecseseznamem"/>
              <w:numPr>
                <w:ilvl w:val="0"/>
                <w:numId w:val="31"/>
              </w:numPr>
              <w:spacing w:after="0" w:line="240" w:lineRule="auto"/>
              <w:rPr>
                <w:rFonts w:asciiTheme="minorHAnsi" w:hAnsiTheme="minorHAnsi" w:cstheme="minorHAnsi"/>
                <w:sz w:val="20"/>
                <w:szCs w:val="20"/>
              </w:rPr>
            </w:pPr>
            <w:proofErr w:type="spellStart"/>
            <w:r w:rsidRPr="004C24A5">
              <w:rPr>
                <w:rFonts w:asciiTheme="minorHAnsi" w:hAnsiTheme="minorHAnsi" w:cstheme="minorHAnsi"/>
                <w:sz w:val="20"/>
                <w:szCs w:val="20"/>
              </w:rPr>
              <w:t>iii</w:t>
            </w:r>
            <w:proofErr w:type="spellEnd"/>
            <w:r w:rsidRPr="004C24A5">
              <w:rPr>
                <w:rFonts w:asciiTheme="minorHAnsi" w:hAnsiTheme="minorHAnsi" w:cstheme="minorHAnsi"/>
                <w:sz w:val="20"/>
                <w:szCs w:val="20"/>
              </w:rPr>
              <w:t>) odhad celkového množství vyprodukovaného odpadu na základě auditu před demolicí.</w:t>
            </w:r>
          </w:p>
          <w:p w14:paraId="425495E1" w14:textId="77777777" w:rsidR="00FE7E4F" w:rsidRDefault="00FE7E4F" w:rsidP="00FE7E4F">
            <w:pPr>
              <w:spacing w:after="0" w:line="240" w:lineRule="auto"/>
              <w:rPr>
                <w:rFonts w:asciiTheme="minorHAnsi" w:hAnsiTheme="minorHAnsi" w:cstheme="minorHAnsi"/>
                <w:sz w:val="20"/>
                <w:szCs w:val="20"/>
              </w:rPr>
            </w:pPr>
          </w:p>
          <w:p w14:paraId="4206BC3E" w14:textId="32CE6D5F" w:rsidR="00FE7E4F" w:rsidRDefault="00FE7E4F" w:rsidP="00FE7E4F">
            <w:pPr>
              <w:spacing w:after="0" w:line="240" w:lineRule="auto"/>
              <w:rPr>
                <w:rFonts w:asciiTheme="minorHAnsi" w:hAnsiTheme="minorHAnsi" w:cstheme="minorHAnsi"/>
                <w:sz w:val="20"/>
                <w:szCs w:val="20"/>
              </w:rPr>
            </w:pPr>
          </w:p>
        </w:tc>
        <w:tc>
          <w:tcPr>
            <w:tcW w:w="1102" w:type="pct"/>
            <w:shd w:val="clear" w:color="auto" w:fill="FFF2CC" w:themeFill="accent4" w:themeFillTint="33"/>
          </w:tcPr>
          <w:p w14:paraId="177078C2" w14:textId="77777777" w:rsidR="00FE7E4F" w:rsidRDefault="00FE7E4F" w:rsidP="00FE7E4F">
            <w:pPr>
              <w:spacing w:after="0" w:line="240" w:lineRule="auto"/>
              <w:rPr>
                <w:rFonts w:asciiTheme="minorHAnsi" w:hAnsiTheme="minorHAnsi" w:cstheme="minorHAnsi"/>
                <w:sz w:val="20"/>
                <w:szCs w:val="20"/>
              </w:rPr>
            </w:pPr>
            <w:r>
              <w:rPr>
                <w:rFonts w:asciiTheme="minorHAnsi" w:hAnsiTheme="minorHAnsi" w:cstheme="minorHAnsi"/>
                <w:sz w:val="20"/>
                <w:szCs w:val="20"/>
              </w:rPr>
              <w:lastRenderedPageBreak/>
              <w:t>Nejméně 70 % (hmotnostních) stavebního a demoličního odpadu neklasifikovaného jako nebezpečný (s výjimkou v přírodě se vyskytujících materiálů uvedených v kategorii 17 05 04 v Evropském seznamu odpadů stanoveném rozhodnutím 2000/532/ES) vzniklého na staveništi je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w:t>
            </w:r>
            <w:r>
              <w:rPr>
                <w:rFonts w:asciiTheme="minorHAnsi" w:hAnsiTheme="minorHAnsi" w:cstheme="minorHAnsi"/>
                <w:sz w:val="20"/>
                <w:szCs w:val="20"/>
                <w:vertAlign w:val="superscript"/>
              </w:rPr>
              <w:footnoteReference w:id="133"/>
            </w:r>
            <w:r>
              <w:rPr>
                <w:rFonts w:asciiTheme="minorHAnsi" w:hAnsiTheme="minorHAnsi" w:cstheme="minorHAnsi"/>
                <w:sz w:val="20"/>
                <w:szCs w:val="20"/>
              </w:rPr>
              <w:t xml:space="preserve">. </w:t>
            </w:r>
          </w:p>
          <w:p w14:paraId="50D562F9" w14:textId="77777777" w:rsidR="00FE7E4F" w:rsidRDefault="00FE7E4F" w:rsidP="00FE7E4F">
            <w:pPr>
              <w:spacing w:after="0" w:line="240" w:lineRule="auto"/>
              <w:rPr>
                <w:rFonts w:asciiTheme="minorHAnsi" w:hAnsiTheme="minorHAnsi" w:cstheme="minorHAnsi"/>
                <w:sz w:val="20"/>
                <w:szCs w:val="20"/>
              </w:rPr>
            </w:pPr>
          </w:p>
          <w:p w14:paraId="2542C2A6" w14:textId="77777777" w:rsidR="00FE7E4F" w:rsidRDefault="00FE7E4F" w:rsidP="00FE7E4F">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Provozovatelé omezují produkci odpadu v procesech souvisejících s výstavbou a demolicemi v souladu s protokolem EU pro nakládání se </w:t>
            </w:r>
            <w:r>
              <w:rPr>
                <w:rFonts w:asciiTheme="minorHAnsi" w:hAnsiTheme="minorHAnsi" w:cstheme="minorHAnsi"/>
                <w:sz w:val="20"/>
                <w:szCs w:val="20"/>
              </w:rPr>
              <w:lastRenderedPageBreak/>
              <w:t>stavebním a demoličním odpadem s přihlédnutím k nejlepším dostupným technikám a pomocí selektivní demolice, aby bylo možné odstranit nebezpečné látky a bezpečně s nimi nakládat, a usnadňují opětovné použití a kvalitní recyklaci selektivním odstraněním materiálů s využitím dostupných třídicích systémů pro stavební a demoliční odpad.</w:t>
            </w:r>
          </w:p>
          <w:p w14:paraId="0D322C21" w14:textId="77777777" w:rsidR="00FE7E4F" w:rsidRDefault="00FE7E4F" w:rsidP="00FE7E4F">
            <w:pPr>
              <w:spacing w:after="0" w:line="240" w:lineRule="auto"/>
              <w:rPr>
                <w:rFonts w:asciiTheme="minorHAnsi" w:hAnsiTheme="minorHAnsi" w:cstheme="minorHAnsi"/>
                <w:sz w:val="20"/>
                <w:szCs w:val="20"/>
              </w:rPr>
            </w:pPr>
          </w:p>
          <w:p w14:paraId="77CABFDB" w14:textId="1624FCDE" w:rsidR="004C24A5" w:rsidRDefault="00FE7E4F" w:rsidP="00FE7E4F">
            <w:pPr>
              <w:spacing w:after="0" w:line="240" w:lineRule="auto"/>
              <w:rPr>
                <w:rFonts w:asciiTheme="minorHAnsi" w:hAnsiTheme="minorHAnsi" w:cstheme="minorHAnsi"/>
                <w:b/>
                <w:i/>
                <w:sz w:val="20"/>
                <w:szCs w:val="20"/>
              </w:rPr>
            </w:pPr>
            <w:r>
              <w:rPr>
                <w:rFonts w:asciiTheme="minorHAnsi" w:hAnsiTheme="minorHAnsi" w:cstheme="minorHAnsi"/>
                <w:b/>
                <w:i/>
                <w:sz w:val="20"/>
                <w:szCs w:val="20"/>
              </w:rPr>
              <w:t>Podmínk</w:t>
            </w:r>
            <w:r w:rsidR="004C24A5">
              <w:rPr>
                <w:rFonts w:asciiTheme="minorHAnsi" w:hAnsiTheme="minorHAnsi" w:cstheme="minorHAnsi"/>
                <w:b/>
                <w:i/>
                <w:sz w:val="20"/>
                <w:szCs w:val="20"/>
              </w:rPr>
              <w:t>a</w:t>
            </w:r>
            <w:r>
              <w:rPr>
                <w:rFonts w:asciiTheme="minorHAnsi" w:hAnsiTheme="minorHAnsi" w:cstheme="minorHAnsi"/>
                <w:b/>
                <w:i/>
                <w:sz w:val="20"/>
                <w:szCs w:val="20"/>
              </w:rPr>
              <w:t xml:space="preserve"> </w:t>
            </w:r>
            <w:r w:rsidR="004C24A5">
              <w:rPr>
                <w:rFonts w:asciiTheme="minorHAnsi" w:hAnsiTheme="minorHAnsi" w:cstheme="minorHAnsi"/>
                <w:b/>
                <w:i/>
                <w:sz w:val="20"/>
                <w:szCs w:val="20"/>
              </w:rPr>
              <w:t xml:space="preserve">se odchyluje od </w:t>
            </w:r>
            <w:r>
              <w:rPr>
                <w:rFonts w:asciiTheme="minorHAnsi" w:hAnsiTheme="minorHAnsi" w:cstheme="minorHAnsi"/>
                <w:b/>
                <w:i/>
                <w:sz w:val="20"/>
                <w:szCs w:val="20"/>
              </w:rPr>
              <w:t xml:space="preserve">DNSH dle přílohy I a přílohy II nařízení EU 2021/2139 </w:t>
            </w:r>
            <w:r w:rsidR="004C24A5">
              <w:rPr>
                <w:rFonts w:asciiTheme="minorHAnsi" w:hAnsiTheme="minorHAnsi" w:cstheme="minorHAnsi"/>
                <w:b/>
                <w:i/>
                <w:sz w:val="20"/>
                <w:szCs w:val="20"/>
              </w:rPr>
              <w:t>skrze nezapočítání zasypávání, nicméně v tomto smyslu jde nad rámec a podmínka dle taxonomie je naplněna.</w:t>
            </w:r>
          </w:p>
          <w:p w14:paraId="05447762" w14:textId="77777777" w:rsidR="004C24A5" w:rsidRDefault="004C24A5" w:rsidP="00FE7E4F">
            <w:pPr>
              <w:spacing w:after="0" w:line="240" w:lineRule="auto"/>
              <w:rPr>
                <w:rFonts w:asciiTheme="minorHAnsi" w:hAnsiTheme="minorHAnsi" w:cstheme="minorHAnsi"/>
                <w:b/>
                <w:i/>
                <w:sz w:val="20"/>
                <w:szCs w:val="20"/>
              </w:rPr>
            </w:pPr>
          </w:p>
          <w:p w14:paraId="0980C51E" w14:textId="77777777" w:rsidR="00FE7E4F" w:rsidRDefault="004C24A5" w:rsidP="00FE7E4F">
            <w:pPr>
              <w:spacing w:after="0" w:line="240" w:lineRule="auto"/>
              <w:rPr>
                <w:rFonts w:asciiTheme="minorHAnsi" w:hAnsiTheme="minorHAnsi" w:cstheme="minorHAnsi"/>
                <w:b/>
                <w:i/>
                <w:sz w:val="20"/>
                <w:szCs w:val="20"/>
              </w:rPr>
            </w:pPr>
            <w:r>
              <w:rPr>
                <w:rFonts w:asciiTheme="minorHAnsi" w:hAnsiTheme="minorHAnsi" w:cstheme="minorHAnsi"/>
                <w:b/>
                <w:i/>
                <w:sz w:val="20"/>
                <w:szCs w:val="20"/>
              </w:rPr>
              <w:t>D</w:t>
            </w:r>
            <w:r w:rsidR="00FE7E4F">
              <w:rPr>
                <w:rFonts w:asciiTheme="minorHAnsi" w:hAnsiTheme="minorHAnsi" w:cstheme="minorHAnsi"/>
                <w:b/>
                <w:i/>
                <w:sz w:val="20"/>
                <w:szCs w:val="20"/>
              </w:rPr>
              <w:t xml:space="preserve">oporučuje se však upozornit na soulad </w:t>
            </w:r>
            <w:r>
              <w:rPr>
                <w:rFonts w:asciiTheme="minorHAnsi" w:hAnsiTheme="minorHAnsi" w:cstheme="minorHAnsi"/>
                <w:b/>
                <w:i/>
                <w:sz w:val="20"/>
                <w:szCs w:val="20"/>
              </w:rPr>
              <w:t xml:space="preserve">taktéž </w:t>
            </w:r>
            <w:r w:rsidR="00FE7E4F">
              <w:rPr>
                <w:rFonts w:asciiTheme="minorHAnsi" w:hAnsiTheme="minorHAnsi" w:cstheme="minorHAnsi"/>
                <w:b/>
                <w:i/>
                <w:sz w:val="20"/>
                <w:szCs w:val="20"/>
              </w:rPr>
              <w:t>s protokolem EU pro nakládání se stavebním a demoličním odpadem</w:t>
            </w:r>
            <w:r w:rsidR="00A60949">
              <w:rPr>
                <w:rFonts w:asciiTheme="minorHAnsi" w:hAnsiTheme="minorHAnsi" w:cstheme="minorHAnsi"/>
                <w:b/>
                <w:i/>
                <w:sz w:val="20"/>
                <w:szCs w:val="20"/>
              </w:rPr>
              <w:t>.</w:t>
            </w:r>
          </w:p>
          <w:p w14:paraId="01579FC8" w14:textId="77777777" w:rsidR="00A60949" w:rsidRDefault="00A60949" w:rsidP="00FE7E4F">
            <w:pPr>
              <w:spacing w:after="0" w:line="240" w:lineRule="auto"/>
              <w:rPr>
                <w:rFonts w:asciiTheme="minorHAnsi" w:hAnsiTheme="minorHAnsi" w:cstheme="minorHAnsi"/>
                <w:b/>
                <w:i/>
                <w:sz w:val="20"/>
                <w:szCs w:val="20"/>
              </w:rPr>
            </w:pPr>
          </w:p>
          <w:p w14:paraId="45C62CDD" w14:textId="77777777" w:rsidR="00A60949" w:rsidRDefault="00A60949" w:rsidP="00FE7E4F">
            <w:pPr>
              <w:spacing w:after="0" w:line="240" w:lineRule="auto"/>
              <w:rPr>
                <w:rFonts w:asciiTheme="minorHAnsi" w:hAnsiTheme="minorHAnsi" w:cstheme="minorHAnsi"/>
                <w:sz w:val="20"/>
                <w:szCs w:val="20"/>
              </w:rPr>
            </w:pPr>
          </w:p>
          <w:p w14:paraId="58D3AEF3" w14:textId="30DBD276" w:rsidR="00A60949" w:rsidRPr="00A60949" w:rsidRDefault="00A60949" w:rsidP="00FE7E4F">
            <w:pPr>
              <w:spacing w:after="0" w:line="240" w:lineRule="auto"/>
              <w:rPr>
                <w:rFonts w:asciiTheme="minorHAnsi" w:hAnsiTheme="minorHAnsi" w:cstheme="minorHAnsi"/>
                <w:b/>
                <w:bCs/>
                <w:i/>
                <w:iCs/>
                <w:sz w:val="20"/>
                <w:szCs w:val="20"/>
              </w:rPr>
            </w:pPr>
            <w:r w:rsidRPr="00A60949">
              <w:rPr>
                <w:rFonts w:asciiTheme="minorHAnsi" w:hAnsiTheme="minorHAnsi" w:cstheme="minorHAnsi"/>
                <w:b/>
                <w:bCs/>
                <w:i/>
                <w:iCs/>
                <w:sz w:val="20"/>
                <w:szCs w:val="20"/>
              </w:rPr>
              <w:t xml:space="preserve">Podmínky zásadního přispění cíli oběhového hospodářství dle </w:t>
            </w:r>
            <w:r w:rsidR="00044781">
              <w:rPr>
                <w:rFonts w:asciiTheme="minorHAnsi" w:hAnsiTheme="minorHAnsi" w:cstheme="minorHAnsi"/>
                <w:b/>
                <w:bCs/>
                <w:i/>
                <w:iCs/>
                <w:sz w:val="20"/>
                <w:szCs w:val="20"/>
              </w:rPr>
              <w:t xml:space="preserve">přílohy II </w:t>
            </w:r>
            <w:r w:rsidRPr="00A60949">
              <w:rPr>
                <w:rFonts w:asciiTheme="minorHAnsi" w:hAnsiTheme="minorHAnsi" w:cstheme="minorHAnsi"/>
                <w:b/>
                <w:bCs/>
                <w:i/>
                <w:iCs/>
                <w:sz w:val="20"/>
                <w:szCs w:val="20"/>
              </w:rPr>
              <w:t>nařízení EU 2023/2486 nejsou splněny.</w:t>
            </w:r>
          </w:p>
        </w:tc>
      </w:tr>
      <w:tr w:rsidR="00FE7E4F" w14:paraId="32585935" w14:textId="77777777" w:rsidTr="00FE7E4F">
        <w:tc>
          <w:tcPr>
            <w:tcW w:w="570" w:type="pct"/>
            <w:vMerge/>
            <w:shd w:val="clear" w:color="auto" w:fill="FFF2CC" w:themeFill="accent4" w:themeFillTint="33"/>
          </w:tcPr>
          <w:p w14:paraId="267EA2A1" w14:textId="77777777" w:rsidR="00FE7E4F" w:rsidRDefault="00FE7E4F" w:rsidP="00FE7E4F">
            <w:pPr>
              <w:spacing w:after="0" w:line="240" w:lineRule="auto"/>
              <w:rPr>
                <w:rFonts w:asciiTheme="minorHAnsi" w:hAnsiTheme="minorHAnsi" w:cstheme="minorHAnsi"/>
                <w:b/>
                <w:sz w:val="20"/>
                <w:szCs w:val="20"/>
              </w:rPr>
            </w:pPr>
          </w:p>
        </w:tc>
        <w:tc>
          <w:tcPr>
            <w:tcW w:w="1150" w:type="pct"/>
            <w:shd w:val="clear" w:color="auto" w:fill="FFF2CC" w:themeFill="accent4" w:themeFillTint="33"/>
          </w:tcPr>
          <w:p w14:paraId="6331BF6C" w14:textId="77777777" w:rsidR="00FE7E4F" w:rsidRDefault="00FE7E4F" w:rsidP="00FE7E4F">
            <w:pPr>
              <w:spacing w:after="0" w:line="240" w:lineRule="auto"/>
              <w:rPr>
                <w:rFonts w:asciiTheme="minorHAnsi" w:hAnsiTheme="minorHAnsi" w:cstheme="minorHAnsi"/>
                <w:sz w:val="20"/>
                <w:szCs w:val="20"/>
              </w:rPr>
            </w:pPr>
            <w:r>
              <w:rPr>
                <w:rFonts w:asciiTheme="minorHAnsi" w:hAnsiTheme="minorHAnsi" w:cstheme="minorHAnsi"/>
                <w:sz w:val="20"/>
                <w:szCs w:val="20"/>
              </w:rPr>
              <w:t>Nastavení podmínek podpory bude motivovat k používání environmentálně šetrných výrobků a přednostnímu používání výrobků vyrobených z recyklovaných materiálů.</w:t>
            </w:r>
          </w:p>
          <w:p w14:paraId="06897046" w14:textId="77777777" w:rsidR="00FE7E4F" w:rsidRDefault="00FE7E4F" w:rsidP="00FE7E4F">
            <w:pPr>
              <w:spacing w:after="0" w:line="240" w:lineRule="auto"/>
              <w:rPr>
                <w:rFonts w:asciiTheme="minorHAnsi" w:hAnsiTheme="minorHAnsi" w:cstheme="minorHAnsi"/>
                <w:sz w:val="20"/>
                <w:szCs w:val="20"/>
              </w:rPr>
            </w:pPr>
          </w:p>
          <w:p w14:paraId="61A4DF55" w14:textId="5B47AB07" w:rsidR="00FE7E4F" w:rsidRDefault="00FE7E4F" w:rsidP="00FE7E4F">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Projekty podpoří oběhové hospodářství s cílem umožnit opětovné použití materiálů a recyklaci odpadů ve stavebnictví (posuzování environmentální kvality budov) – tímto je naplněn požadavek pro posuzování environmentální kvality budov – </w:t>
            </w:r>
            <w:proofErr w:type="spellStart"/>
            <w:r>
              <w:rPr>
                <w:rFonts w:asciiTheme="minorHAnsi" w:hAnsiTheme="minorHAnsi" w:cstheme="minorHAnsi"/>
                <w:sz w:val="20"/>
                <w:szCs w:val="20"/>
              </w:rPr>
              <w:t>demontova</w:t>
            </w:r>
            <w:r w:rsidR="00443663">
              <w:rPr>
                <w:rFonts w:asciiTheme="minorHAnsi" w:hAnsiTheme="minorHAnsi" w:cstheme="minorHAnsi"/>
                <w:sz w:val="20"/>
                <w:szCs w:val="20"/>
              </w:rPr>
              <w:t>t</w:t>
            </w:r>
            <w:r>
              <w:rPr>
                <w:rFonts w:asciiTheme="minorHAnsi" w:hAnsiTheme="minorHAnsi" w:cstheme="minorHAnsi"/>
                <w:sz w:val="20"/>
                <w:szCs w:val="20"/>
              </w:rPr>
              <w:t>elnosti</w:t>
            </w:r>
            <w:proofErr w:type="spellEnd"/>
            <w:r>
              <w:rPr>
                <w:rFonts w:asciiTheme="minorHAnsi" w:hAnsiTheme="minorHAnsi" w:cstheme="minorHAnsi"/>
                <w:sz w:val="20"/>
                <w:szCs w:val="20"/>
              </w:rPr>
              <w:t xml:space="preserve">, nebo přizpůsobivosti budov pro vyšší efektivitu, adaptabilitu, flexibilitu a </w:t>
            </w:r>
            <w:proofErr w:type="spellStart"/>
            <w:r>
              <w:rPr>
                <w:rFonts w:asciiTheme="minorHAnsi" w:hAnsiTheme="minorHAnsi" w:cstheme="minorHAnsi"/>
                <w:sz w:val="20"/>
                <w:szCs w:val="20"/>
              </w:rPr>
              <w:t>demontovatelnost</w:t>
            </w:r>
            <w:proofErr w:type="spellEnd"/>
            <w:r>
              <w:rPr>
                <w:rFonts w:asciiTheme="minorHAnsi" w:hAnsiTheme="minorHAnsi" w:cstheme="minorHAnsi"/>
                <w:sz w:val="20"/>
                <w:szCs w:val="20"/>
              </w:rPr>
              <w:t>, s cílem umožnit opětovné použití a recyklaci.</w:t>
            </w:r>
          </w:p>
          <w:p w14:paraId="0D1898AC" w14:textId="77777777" w:rsidR="00FE7E4F" w:rsidRDefault="00FE7E4F" w:rsidP="00FE7E4F">
            <w:pPr>
              <w:spacing w:after="0" w:line="240" w:lineRule="auto"/>
              <w:rPr>
                <w:rFonts w:asciiTheme="minorHAnsi" w:hAnsiTheme="minorHAnsi" w:cstheme="minorHAnsi"/>
                <w:sz w:val="20"/>
                <w:szCs w:val="20"/>
              </w:rPr>
            </w:pPr>
          </w:p>
          <w:p w14:paraId="03A5BB55" w14:textId="77777777" w:rsidR="00FE7E4F" w:rsidRDefault="00FE7E4F" w:rsidP="00FE7E4F">
            <w:pPr>
              <w:spacing w:after="0" w:line="240" w:lineRule="auto"/>
              <w:rPr>
                <w:rFonts w:asciiTheme="minorHAnsi" w:hAnsiTheme="minorHAnsi" w:cstheme="minorHAnsi"/>
                <w:bCs/>
                <w:sz w:val="20"/>
                <w:szCs w:val="20"/>
              </w:rPr>
            </w:pPr>
            <w:r>
              <w:rPr>
                <w:rFonts w:asciiTheme="minorHAnsi" w:hAnsiTheme="minorHAnsi" w:cstheme="minorHAnsi"/>
                <w:sz w:val="20"/>
                <w:szCs w:val="20"/>
              </w:rPr>
              <w:t>Budou podporována nová zařízení, která mají vysokou recyklovatelnost, jsou opravitelné a jsou navržena tak, aby měly dlouhou životnost.</w:t>
            </w:r>
          </w:p>
        </w:tc>
        <w:tc>
          <w:tcPr>
            <w:tcW w:w="1114" w:type="pct"/>
            <w:shd w:val="clear" w:color="auto" w:fill="FFF2CC" w:themeFill="accent4" w:themeFillTint="33"/>
          </w:tcPr>
          <w:p w14:paraId="2D770EC1" w14:textId="77777777" w:rsidR="00FE7E4F" w:rsidRDefault="00FE7E4F" w:rsidP="00FE7E4F">
            <w:pPr>
              <w:spacing w:after="0" w:line="240" w:lineRule="auto"/>
              <w:rPr>
                <w:rFonts w:asciiTheme="minorHAnsi" w:hAnsiTheme="minorHAnsi" w:cstheme="minorHAnsi"/>
                <w:sz w:val="20"/>
                <w:szCs w:val="20"/>
              </w:rPr>
            </w:pPr>
            <w:r>
              <w:rPr>
                <w:rFonts w:asciiTheme="minorHAnsi" w:hAnsiTheme="minorHAnsi" w:cstheme="minorHAnsi"/>
                <w:sz w:val="20"/>
                <w:szCs w:val="20"/>
              </w:rPr>
              <w:lastRenderedPageBreak/>
              <w:t xml:space="preserve">Použití produktů šetrných k ŽP může být řešeno prostřednictvím seznamu doporučených výrobků a technologií. Použití výrobků neuvedených v tomto seznamu je řešeno ustanovením </w:t>
            </w:r>
            <w:r>
              <w:rPr>
                <w:rFonts w:asciiTheme="minorHAnsi" w:hAnsiTheme="minorHAnsi" w:cstheme="minorHAnsi"/>
                <w:sz w:val="20"/>
                <w:szCs w:val="20"/>
              </w:rPr>
              <w:lastRenderedPageBreak/>
              <w:t xml:space="preserve">týkajícím se dokumentů prokazujících technické vlastnosti použitých výrobků (Dokumenty požadované k doložení realizace projektu). </w:t>
            </w:r>
          </w:p>
          <w:p w14:paraId="4B7DBBBC" w14:textId="77777777" w:rsidR="00FE7E4F" w:rsidRDefault="00FE7E4F" w:rsidP="00FE7E4F">
            <w:pPr>
              <w:spacing w:after="0" w:line="240" w:lineRule="auto"/>
              <w:rPr>
                <w:rFonts w:asciiTheme="minorHAnsi" w:hAnsiTheme="minorHAnsi" w:cstheme="minorHAnsi"/>
                <w:sz w:val="20"/>
                <w:szCs w:val="20"/>
              </w:rPr>
            </w:pPr>
          </w:p>
          <w:p w14:paraId="3197E8EC" w14:textId="67532CBD" w:rsidR="00FE7E4F" w:rsidRDefault="00FE7E4F" w:rsidP="00FE7E4F">
            <w:pPr>
              <w:spacing w:after="0" w:line="240" w:lineRule="auto"/>
              <w:rPr>
                <w:rFonts w:asciiTheme="minorHAnsi" w:hAnsiTheme="minorHAnsi" w:cstheme="minorHAnsi"/>
                <w:sz w:val="20"/>
                <w:szCs w:val="20"/>
              </w:rPr>
            </w:pPr>
            <w:r>
              <w:rPr>
                <w:rFonts w:asciiTheme="minorHAnsi" w:hAnsiTheme="minorHAnsi" w:cstheme="minorHAnsi"/>
                <w:sz w:val="20"/>
                <w:szCs w:val="20"/>
              </w:rPr>
              <w:t>Stimulace k používání takových výrobků je zajištěna bonusem za environmentálně šetrné řešení projektu.</w:t>
            </w:r>
          </w:p>
          <w:p w14:paraId="2BCF8678" w14:textId="77777777" w:rsidR="00FE7E4F" w:rsidRDefault="00FE7E4F" w:rsidP="00FE7E4F">
            <w:pPr>
              <w:spacing w:after="0" w:line="240" w:lineRule="auto"/>
              <w:rPr>
                <w:rFonts w:asciiTheme="minorHAnsi" w:hAnsiTheme="minorHAnsi" w:cstheme="minorHAnsi"/>
                <w:sz w:val="20"/>
                <w:szCs w:val="20"/>
              </w:rPr>
            </w:pPr>
          </w:p>
          <w:p w14:paraId="5366702D" w14:textId="77777777" w:rsidR="00FE7E4F" w:rsidRDefault="00FE7E4F" w:rsidP="00FE7E4F">
            <w:pPr>
              <w:spacing w:after="0" w:line="240" w:lineRule="auto"/>
              <w:rPr>
                <w:rFonts w:asciiTheme="minorHAnsi" w:hAnsiTheme="minorHAnsi" w:cstheme="minorHAnsi"/>
                <w:sz w:val="20"/>
                <w:szCs w:val="20"/>
              </w:rPr>
            </w:pPr>
            <w:r>
              <w:rPr>
                <w:rFonts w:asciiTheme="minorHAnsi" w:hAnsiTheme="minorHAnsi" w:cstheme="minorHAnsi"/>
                <w:sz w:val="20"/>
                <w:szCs w:val="20"/>
              </w:rPr>
              <w:t>Podrobné informace o vhodných postupech a posouzení environmentální kvality budov naleznete např. v mezinárodních standardech ISO 20887. Základní přehled o druhotných surovinách a recyklovaných výrobcích naleznete na webu MPO a ČAS:</w:t>
            </w:r>
          </w:p>
          <w:p w14:paraId="1BEA4C3C" w14:textId="77777777" w:rsidR="00FE7E4F" w:rsidRDefault="00FE7E4F" w:rsidP="00FE7E4F">
            <w:pPr>
              <w:spacing w:after="0" w:line="240" w:lineRule="auto"/>
              <w:rPr>
                <w:rFonts w:asciiTheme="minorHAnsi" w:hAnsiTheme="minorHAnsi" w:cstheme="minorHAnsi"/>
                <w:sz w:val="20"/>
                <w:szCs w:val="20"/>
              </w:rPr>
            </w:pPr>
            <w:hyperlink r:id="rId137" w:tooltip="http://www.recyklujmestavby.cz/" w:history="1">
              <w:r>
                <w:rPr>
                  <w:rStyle w:val="Hypertextovodkaz"/>
                  <w:rFonts w:asciiTheme="minorHAnsi" w:hAnsiTheme="minorHAnsi" w:cstheme="minorHAnsi"/>
                  <w:sz w:val="20"/>
                  <w:szCs w:val="20"/>
                </w:rPr>
                <w:t>http://www.recyklujmestavby.cz/</w:t>
              </w:r>
            </w:hyperlink>
            <w:r>
              <w:rPr>
                <w:rFonts w:asciiTheme="minorHAnsi" w:hAnsiTheme="minorHAnsi" w:cstheme="minorHAnsi"/>
                <w:sz w:val="20"/>
                <w:szCs w:val="20"/>
              </w:rPr>
              <w:t xml:space="preserve"> </w:t>
            </w:r>
          </w:p>
          <w:p w14:paraId="067B6421" w14:textId="77777777" w:rsidR="00FE7E4F" w:rsidRDefault="00FE7E4F" w:rsidP="00FE7E4F">
            <w:pPr>
              <w:spacing w:after="0" w:line="240" w:lineRule="auto"/>
              <w:rPr>
                <w:rFonts w:asciiTheme="minorHAnsi" w:hAnsiTheme="minorHAnsi" w:cstheme="minorHAnsi"/>
                <w:sz w:val="20"/>
                <w:szCs w:val="20"/>
              </w:rPr>
            </w:pPr>
          </w:p>
          <w:p w14:paraId="46BD00A8" w14:textId="3F6E59D5" w:rsidR="00FE7E4F" w:rsidRDefault="00FE7E4F" w:rsidP="00FE7E4F">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Jedná se o aplikaci indikátorů Level(s) pro adaptability 2.3 + </w:t>
            </w:r>
            <w:proofErr w:type="spellStart"/>
            <w:r>
              <w:rPr>
                <w:rFonts w:asciiTheme="minorHAnsi" w:hAnsiTheme="minorHAnsi" w:cstheme="minorHAnsi"/>
                <w:sz w:val="20"/>
                <w:szCs w:val="20"/>
              </w:rPr>
              <w:t>deconstruction</w:t>
            </w:r>
            <w:proofErr w:type="spellEnd"/>
            <w:r>
              <w:rPr>
                <w:rFonts w:asciiTheme="minorHAnsi" w:hAnsiTheme="minorHAnsi" w:cstheme="minorHAnsi"/>
                <w:sz w:val="20"/>
                <w:szCs w:val="20"/>
              </w:rPr>
              <w:t xml:space="preserve"> 2.4. Projekt může využít oficiální kalkulátor CAT a doložit hodnocení a připravenost projektu vůči těmto dvěma kritériím. Možno provést hodnocení základní (level1), které indikuje obecný soulad s očekávanými přístupy. Případně rozšířené a podrobné (level 2/3), zejm. u oblastí, kde je od </w:t>
            </w:r>
            <w:r w:rsidR="007F68AD">
              <w:rPr>
                <w:rFonts w:asciiTheme="minorHAnsi" w:hAnsiTheme="minorHAnsi" w:cstheme="minorHAnsi"/>
                <w:sz w:val="20"/>
                <w:szCs w:val="20"/>
              </w:rPr>
              <w:t xml:space="preserve">administrátora </w:t>
            </w:r>
            <w:proofErr w:type="gramStart"/>
            <w:r w:rsidR="007F68AD">
              <w:rPr>
                <w:rFonts w:asciiTheme="minorHAnsi" w:hAnsiTheme="minorHAnsi" w:cstheme="minorHAnsi"/>
                <w:sz w:val="20"/>
                <w:szCs w:val="20"/>
              </w:rPr>
              <w:t>zdrojů  EU</w:t>
            </w:r>
            <w:proofErr w:type="gramEnd"/>
            <w:r w:rsidR="007F68AD">
              <w:rPr>
                <w:rFonts w:asciiTheme="minorHAnsi" w:hAnsiTheme="minorHAnsi" w:cstheme="minorHAnsi"/>
                <w:sz w:val="20"/>
                <w:szCs w:val="20"/>
              </w:rPr>
              <w:t xml:space="preserve"> </w:t>
            </w:r>
            <w:r>
              <w:rPr>
                <w:rFonts w:asciiTheme="minorHAnsi" w:hAnsiTheme="minorHAnsi" w:cstheme="minorHAnsi"/>
                <w:sz w:val="20"/>
                <w:szCs w:val="20"/>
              </w:rPr>
              <w:t>vyžadován vysoký standard.</w:t>
            </w:r>
          </w:p>
          <w:p w14:paraId="5BCF0F7C" w14:textId="77777777" w:rsidR="00FE7E4F" w:rsidRDefault="00FE7E4F" w:rsidP="00FE7E4F">
            <w:pPr>
              <w:spacing w:after="0" w:line="240" w:lineRule="auto"/>
              <w:rPr>
                <w:rFonts w:asciiTheme="minorHAnsi" w:hAnsiTheme="minorHAnsi" w:cstheme="minorHAnsi"/>
                <w:sz w:val="20"/>
                <w:szCs w:val="20"/>
              </w:rPr>
            </w:pPr>
          </w:p>
          <w:p w14:paraId="3191FBD0" w14:textId="7B8A7BFC" w:rsidR="00FE7E4F" w:rsidRDefault="00FE7E4F" w:rsidP="00FE7E4F">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Popis způsobu nakládání s produktem, který maximalizuje jeho životnost, stejně jako popis způsobu nakládání s produktem po době životnosti, který maximalizuje jeho recyklovatelnost, bude součástí projektové dokumentace předkládané v rámci žádosti o podporu. Produkovaný odpad z vyřazených </w:t>
            </w:r>
            <w:r>
              <w:rPr>
                <w:rFonts w:asciiTheme="minorHAnsi" w:hAnsiTheme="minorHAnsi" w:cstheme="minorHAnsi"/>
                <w:sz w:val="20"/>
                <w:szCs w:val="20"/>
              </w:rPr>
              <w:lastRenderedPageBreak/>
              <w:t>zařízení a starých otopných a technologických soustav bude primárně využíván prostřednictvím autorizovaných firem a stávající infrastruktury (např. fotovoltaika má v ČR systém zpětného odběru).</w:t>
            </w:r>
          </w:p>
        </w:tc>
        <w:tc>
          <w:tcPr>
            <w:tcW w:w="1064" w:type="pct"/>
            <w:shd w:val="clear" w:color="auto" w:fill="FFF2CC" w:themeFill="accent4" w:themeFillTint="33"/>
          </w:tcPr>
          <w:p w14:paraId="48762664" w14:textId="67791903" w:rsidR="00FE7E4F" w:rsidRDefault="00FE7E4F" w:rsidP="00FE7E4F">
            <w:pPr>
              <w:spacing w:after="0" w:line="240" w:lineRule="auto"/>
              <w:rPr>
                <w:rFonts w:asciiTheme="minorHAnsi" w:hAnsiTheme="minorHAnsi" w:cstheme="minorHAnsi"/>
                <w:sz w:val="20"/>
                <w:szCs w:val="20"/>
              </w:rPr>
            </w:pPr>
            <w:r>
              <w:rPr>
                <w:rFonts w:asciiTheme="minorHAnsi" w:hAnsiTheme="minorHAnsi" w:cstheme="minorHAnsi"/>
                <w:sz w:val="20"/>
                <w:szCs w:val="20"/>
              </w:rPr>
              <w:lastRenderedPageBreak/>
              <w:t>Sledování tohoto ustanovení při kontrole žádosti o podporu s podmínkami v </w:t>
            </w:r>
            <w:proofErr w:type="spellStart"/>
            <w:r>
              <w:rPr>
                <w:rFonts w:asciiTheme="minorHAnsi" w:hAnsiTheme="minorHAnsi" w:cstheme="minorHAnsi"/>
                <w:sz w:val="20"/>
                <w:szCs w:val="20"/>
              </w:rPr>
              <w:t>PrŽaP</w:t>
            </w:r>
            <w:proofErr w:type="spellEnd"/>
            <w:r>
              <w:rPr>
                <w:rFonts w:asciiTheme="minorHAnsi" w:hAnsiTheme="minorHAnsi" w:cstheme="minorHAnsi"/>
                <w:sz w:val="20"/>
                <w:szCs w:val="20"/>
              </w:rPr>
              <w:t xml:space="preserve"> a dále v rámci kontrolní činnosti u realizovaných projektů.</w:t>
            </w:r>
          </w:p>
          <w:p w14:paraId="77AB9D45" w14:textId="77777777" w:rsidR="00FE7E4F" w:rsidRDefault="00FE7E4F" w:rsidP="00FE7E4F">
            <w:pPr>
              <w:spacing w:after="0" w:line="240" w:lineRule="auto"/>
              <w:rPr>
                <w:rFonts w:asciiTheme="minorHAnsi" w:hAnsiTheme="minorHAnsi" w:cstheme="minorHAnsi"/>
                <w:sz w:val="20"/>
                <w:szCs w:val="20"/>
              </w:rPr>
            </w:pPr>
          </w:p>
          <w:p w14:paraId="359323D8" w14:textId="77777777" w:rsidR="00FE7E4F" w:rsidRDefault="00FE7E4F" w:rsidP="00FE7E4F">
            <w:pPr>
              <w:spacing w:after="0" w:line="240" w:lineRule="auto"/>
              <w:rPr>
                <w:rFonts w:asciiTheme="minorHAnsi" w:hAnsiTheme="minorHAnsi" w:cstheme="minorHAnsi"/>
                <w:sz w:val="20"/>
                <w:szCs w:val="20"/>
              </w:rPr>
            </w:pPr>
          </w:p>
          <w:p w14:paraId="68D2F586" w14:textId="03D72A99" w:rsidR="00FE7E4F" w:rsidRDefault="00FE7E4F" w:rsidP="00FE7E4F">
            <w:pPr>
              <w:spacing w:after="0" w:line="240" w:lineRule="auto"/>
              <w:rPr>
                <w:rFonts w:asciiTheme="minorHAnsi" w:hAnsiTheme="minorHAnsi" w:cstheme="minorHAnsi"/>
                <w:sz w:val="20"/>
                <w:szCs w:val="20"/>
              </w:rPr>
            </w:pPr>
          </w:p>
        </w:tc>
        <w:tc>
          <w:tcPr>
            <w:tcW w:w="1102" w:type="pct"/>
            <w:shd w:val="clear" w:color="auto" w:fill="FFF2CC" w:themeFill="accent4" w:themeFillTint="33"/>
          </w:tcPr>
          <w:p w14:paraId="002210A4" w14:textId="77777777" w:rsidR="00FE7E4F" w:rsidRDefault="00FE7E4F" w:rsidP="00FE7E4F">
            <w:pPr>
              <w:spacing w:after="0" w:line="240" w:lineRule="auto"/>
              <w:rPr>
                <w:rFonts w:asciiTheme="minorHAnsi" w:hAnsiTheme="minorHAnsi" w:cstheme="minorHAnsi"/>
                <w:sz w:val="20"/>
                <w:szCs w:val="20"/>
              </w:rPr>
            </w:pPr>
            <w:r>
              <w:rPr>
                <w:rFonts w:asciiTheme="minorHAnsi" w:hAnsiTheme="minorHAnsi" w:cstheme="minorHAnsi"/>
                <w:sz w:val="20"/>
                <w:szCs w:val="20"/>
              </w:rPr>
              <w:lastRenderedPageBreak/>
              <w:t>Projekty budov a stavební metody podporují oběhové hospodářství a s odkazem na normu ISO 20887</w:t>
            </w:r>
            <w:r>
              <w:rPr>
                <w:rFonts w:asciiTheme="minorHAnsi" w:hAnsiTheme="minorHAnsi" w:cstheme="minorHAnsi"/>
                <w:sz w:val="20"/>
                <w:szCs w:val="20"/>
                <w:vertAlign w:val="superscript"/>
              </w:rPr>
              <w:footnoteReference w:id="134"/>
            </w:r>
            <w:r>
              <w:rPr>
                <w:rFonts w:asciiTheme="minorHAnsi" w:hAnsiTheme="minorHAnsi" w:cstheme="minorHAnsi"/>
                <w:sz w:val="20"/>
                <w:szCs w:val="20"/>
              </w:rPr>
              <w:t xml:space="preserve"> nebo jiné normy pro posuzování </w:t>
            </w:r>
            <w:proofErr w:type="spellStart"/>
            <w:r>
              <w:rPr>
                <w:rFonts w:asciiTheme="minorHAnsi" w:hAnsiTheme="minorHAnsi" w:cstheme="minorHAnsi"/>
                <w:sz w:val="20"/>
                <w:szCs w:val="20"/>
              </w:rPr>
              <w:t>demontovatelnosti</w:t>
            </w:r>
            <w:proofErr w:type="spellEnd"/>
            <w:r>
              <w:rPr>
                <w:rFonts w:asciiTheme="minorHAnsi" w:hAnsiTheme="minorHAnsi" w:cstheme="minorHAnsi"/>
                <w:sz w:val="20"/>
                <w:szCs w:val="20"/>
              </w:rPr>
              <w:t xml:space="preserve"> nebo </w:t>
            </w:r>
            <w:r>
              <w:rPr>
                <w:rFonts w:asciiTheme="minorHAnsi" w:hAnsiTheme="minorHAnsi" w:cstheme="minorHAnsi"/>
                <w:sz w:val="20"/>
                <w:szCs w:val="20"/>
              </w:rPr>
              <w:lastRenderedPageBreak/>
              <w:t xml:space="preserve">přizpůsobivosti budov zejména prokazují, že jsou navrženy tak, aby byly efektivnější, adaptabilnější, flexibilnější a </w:t>
            </w:r>
            <w:proofErr w:type="spellStart"/>
            <w:r>
              <w:rPr>
                <w:rFonts w:asciiTheme="minorHAnsi" w:hAnsiTheme="minorHAnsi" w:cstheme="minorHAnsi"/>
                <w:sz w:val="20"/>
                <w:szCs w:val="20"/>
              </w:rPr>
              <w:t>demontovatelnější</w:t>
            </w:r>
            <w:proofErr w:type="spellEnd"/>
            <w:r>
              <w:rPr>
                <w:rFonts w:asciiTheme="minorHAnsi" w:hAnsiTheme="minorHAnsi" w:cstheme="minorHAnsi"/>
                <w:sz w:val="20"/>
                <w:szCs w:val="20"/>
              </w:rPr>
              <w:t>, s cílem umožnit opětovné použití a recyklaci.</w:t>
            </w:r>
          </w:p>
          <w:p w14:paraId="35E519D4" w14:textId="77777777" w:rsidR="00FE7E4F" w:rsidRDefault="00FE7E4F" w:rsidP="00FE7E4F">
            <w:pPr>
              <w:spacing w:after="0" w:line="240" w:lineRule="auto"/>
              <w:rPr>
                <w:rFonts w:asciiTheme="minorHAnsi" w:hAnsiTheme="minorHAnsi" w:cstheme="minorHAnsi"/>
                <w:sz w:val="20"/>
                <w:szCs w:val="20"/>
              </w:rPr>
            </w:pPr>
          </w:p>
          <w:p w14:paraId="311CA0FA" w14:textId="77777777" w:rsidR="00FE7E4F" w:rsidRDefault="00FE7E4F" w:rsidP="00FE7E4F">
            <w:pPr>
              <w:spacing w:after="0" w:line="240" w:lineRule="auto"/>
              <w:rPr>
                <w:rFonts w:asciiTheme="minorHAnsi" w:hAnsiTheme="minorHAnsi" w:cstheme="minorHAnsi"/>
                <w:sz w:val="20"/>
                <w:szCs w:val="20"/>
              </w:rPr>
            </w:pPr>
            <w:r>
              <w:rPr>
                <w:rFonts w:asciiTheme="minorHAnsi" w:hAnsiTheme="minorHAnsi" w:cstheme="minorHAnsi"/>
                <w:b/>
                <w:i/>
                <w:sz w:val="20"/>
                <w:szCs w:val="20"/>
              </w:rPr>
              <w:t>Podmínky jsou přímo podmínkami DNSH dle přílohy I a přílohy II nařízení EU 2021/2139 a jsou tímto ve fondech splněny za předpokladu jejich splnění na úrovni individuálního projektu</w:t>
            </w:r>
          </w:p>
        </w:tc>
      </w:tr>
      <w:tr w:rsidR="006F000C" w14:paraId="097BD457" w14:textId="77777777" w:rsidTr="00FE7E4F">
        <w:tc>
          <w:tcPr>
            <w:tcW w:w="570" w:type="pct"/>
            <w:vMerge w:val="restart"/>
            <w:shd w:val="clear" w:color="auto" w:fill="F7CAAC" w:themeFill="accent2" w:themeFillTint="66"/>
          </w:tcPr>
          <w:p w14:paraId="02631D8D" w14:textId="77777777" w:rsidR="006F000C" w:rsidRDefault="006F000C" w:rsidP="003A4B0B">
            <w:pPr>
              <w:spacing w:after="0" w:line="240" w:lineRule="auto"/>
              <w:jc w:val="left"/>
              <w:rPr>
                <w:rFonts w:asciiTheme="minorHAnsi" w:hAnsiTheme="minorHAnsi" w:cstheme="minorHAnsi"/>
                <w:b/>
                <w:sz w:val="20"/>
                <w:szCs w:val="20"/>
              </w:rPr>
            </w:pPr>
            <w:r>
              <w:rPr>
                <w:rFonts w:asciiTheme="minorHAnsi" w:hAnsiTheme="minorHAnsi" w:cstheme="minorHAnsi"/>
                <w:b/>
                <w:sz w:val="20"/>
                <w:szCs w:val="20"/>
              </w:rPr>
              <w:lastRenderedPageBreak/>
              <w:t>Prevence a omezování znečištění ovzduší, vody nebo půdy</w:t>
            </w:r>
          </w:p>
        </w:tc>
        <w:tc>
          <w:tcPr>
            <w:tcW w:w="1150" w:type="pct"/>
            <w:shd w:val="clear" w:color="auto" w:fill="F7CAAC" w:themeFill="accent2" w:themeFillTint="66"/>
          </w:tcPr>
          <w:p w14:paraId="2F714ECA" w14:textId="77777777" w:rsidR="006F000C" w:rsidRDefault="006F000C" w:rsidP="00FE7E4F">
            <w:pPr>
              <w:keepNext/>
              <w:spacing w:after="0" w:line="240" w:lineRule="auto"/>
              <w:rPr>
                <w:rFonts w:asciiTheme="minorHAnsi" w:hAnsiTheme="minorHAnsi" w:cstheme="minorHAnsi"/>
                <w:color w:val="A6A6A6" w:themeColor="background1" w:themeShade="A6"/>
                <w:sz w:val="20"/>
                <w:szCs w:val="20"/>
              </w:rPr>
            </w:pPr>
            <w:r>
              <w:rPr>
                <w:rFonts w:asciiTheme="minorHAnsi" w:hAnsiTheme="minorHAnsi" w:cstheme="minorHAnsi"/>
                <w:color w:val="A6A6A6" w:themeColor="background1" w:themeShade="A6"/>
                <w:sz w:val="20"/>
                <w:szCs w:val="20"/>
              </w:rPr>
              <w:t>Činnost nevede k výrobě, uvádění na trh nebo používání:</w:t>
            </w:r>
          </w:p>
          <w:p w14:paraId="28E86770" w14:textId="77777777" w:rsidR="006F000C" w:rsidRDefault="006F000C" w:rsidP="00FE7E4F">
            <w:pPr>
              <w:spacing w:after="0" w:line="240" w:lineRule="auto"/>
              <w:rPr>
                <w:rFonts w:asciiTheme="minorHAnsi" w:hAnsiTheme="minorHAnsi" w:cstheme="minorHAnsi"/>
                <w:color w:val="A6A6A6" w:themeColor="background1" w:themeShade="A6"/>
                <w:sz w:val="20"/>
                <w:szCs w:val="20"/>
              </w:rPr>
            </w:pPr>
            <w:r>
              <w:rPr>
                <w:rFonts w:asciiTheme="minorHAnsi" w:hAnsiTheme="minorHAnsi" w:cstheme="minorHAnsi"/>
                <w:color w:val="A6A6A6" w:themeColor="background1" w:themeShade="A6"/>
                <w:sz w:val="20"/>
                <w:szCs w:val="20"/>
              </w:rPr>
              <w:t>a) látek uvedených v příloze I nebo II nařízení Evropského parlamentu a Rady (EU) 2019/1021</w:t>
            </w:r>
            <w:r>
              <w:rPr>
                <w:rFonts w:asciiTheme="minorHAnsi" w:hAnsiTheme="minorHAnsi" w:cstheme="minorHAnsi"/>
                <w:color w:val="A6A6A6" w:themeColor="background1" w:themeShade="A6"/>
                <w:sz w:val="20"/>
                <w:szCs w:val="20"/>
                <w:vertAlign w:val="superscript"/>
              </w:rPr>
              <w:footnoteReference w:id="135"/>
            </w:r>
            <w:r>
              <w:rPr>
                <w:rFonts w:asciiTheme="minorHAnsi" w:hAnsiTheme="minorHAnsi" w:cstheme="minorHAnsi"/>
                <w:color w:val="A6A6A6" w:themeColor="background1" w:themeShade="A6"/>
                <w:sz w:val="20"/>
                <w:szCs w:val="20"/>
              </w:rPr>
              <w:t>, a to jak samotných, tak ve formě směsí nebo předmětů, kromě případů, kdy jsou přítomny jako nezáměrné stopové kontaminující látky;</w:t>
            </w:r>
          </w:p>
          <w:p w14:paraId="76D50C2D" w14:textId="77777777" w:rsidR="006F000C" w:rsidRDefault="006F000C" w:rsidP="00FE7E4F">
            <w:pPr>
              <w:spacing w:after="0" w:line="240" w:lineRule="auto"/>
              <w:rPr>
                <w:rFonts w:asciiTheme="minorHAnsi" w:hAnsiTheme="minorHAnsi" w:cstheme="minorHAnsi"/>
                <w:color w:val="A6A6A6" w:themeColor="background1" w:themeShade="A6"/>
                <w:sz w:val="20"/>
                <w:szCs w:val="20"/>
              </w:rPr>
            </w:pPr>
            <w:r>
              <w:rPr>
                <w:rFonts w:asciiTheme="minorHAnsi" w:hAnsiTheme="minorHAnsi" w:cstheme="minorHAnsi"/>
                <w:color w:val="A6A6A6" w:themeColor="background1" w:themeShade="A6"/>
                <w:sz w:val="20"/>
                <w:szCs w:val="20"/>
              </w:rPr>
              <w:t>b) rtuti a sloučeniny rtuti, jejich směsí a výrobků s přidanou rtutí ve smyslu článku 2 nařízení Evropského parlamentu a Rady (EU) 2017/852</w:t>
            </w:r>
            <w:r>
              <w:rPr>
                <w:rFonts w:asciiTheme="minorHAnsi" w:hAnsiTheme="minorHAnsi" w:cstheme="minorHAnsi"/>
                <w:color w:val="A6A6A6" w:themeColor="background1" w:themeShade="A6"/>
                <w:sz w:val="20"/>
                <w:szCs w:val="20"/>
                <w:vertAlign w:val="superscript"/>
              </w:rPr>
              <w:footnoteReference w:id="136"/>
            </w:r>
            <w:r>
              <w:rPr>
                <w:rFonts w:asciiTheme="minorHAnsi" w:hAnsiTheme="minorHAnsi" w:cstheme="minorHAnsi"/>
                <w:color w:val="A6A6A6" w:themeColor="background1" w:themeShade="A6"/>
                <w:sz w:val="20"/>
                <w:szCs w:val="20"/>
              </w:rPr>
              <w:t>;</w:t>
            </w:r>
          </w:p>
          <w:p w14:paraId="6641080A" w14:textId="601F9A72" w:rsidR="006F000C" w:rsidRDefault="006F000C" w:rsidP="00FE7E4F">
            <w:pPr>
              <w:spacing w:after="0" w:line="240" w:lineRule="auto"/>
              <w:rPr>
                <w:rFonts w:asciiTheme="minorHAnsi" w:hAnsiTheme="minorHAnsi" w:cstheme="minorHAnsi"/>
                <w:color w:val="A6A6A6" w:themeColor="background1" w:themeShade="A6"/>
                <w:sz w:val="20"/>
                <w:szCs w:val="20"/>
              </w:rPr>
            </w:pPr>
            <w:r>
              <w:rPr>
                <w:rFonts w:asciiTheme="minorHAnsi" w:hAnsiTheme="minorHAnsi" w:cstheme="minorHAnsi"/>
                <w:color w:val="A6A6A6" w:themeColor="background1" w:themeShade="A6"/>
                <w:sz w:val="20"/>
                <w:szCs w:val="20"/>
              </w:rPr>
              <w:t xml:space="preserve">c) látek uvedených v příloze I nebo II nařízení Evropského parlamentu a Rady (ES) č. </w:t>
            </w:r>
            <w:r w:rsidR="00472ECF" w:rsidRPr="00DB1A0B">
              <w:rPr>
                <w:rFonts w:asciiTheme="minorHAnsi" w:hAnsiTheme="minorHAnsi" w:cstheme="minorHAnsi"/>
                <w:color w:val="A6A6A6" w:themeColor="background1" w:themeShade="A6"/>
                <w:sz w:val="20"/>
                <w:szCs w:val="20"/>
              </w:rPr>
              <w:t>2024/590</w:t>
            </w:r>
            <w:r w:rsidR="00472ECF" w:rsidRPr="002129CB">
              <w:rPr>
                <w:rFonts w:cs="Segoe UI"/>
                <w:sz w:val="18"/>
                <w:szCs w:val="18"/>
              </w:rPr>
              <w:t xml:space="preserve"> </w:t>
            </w:r>
            <w:r>
              <w:rPr>
                <w:rFonts w:asciiTheme="minorHAnsi" w:hAnsiTheme="minorHAnsi" w:cstheme="minorHAnsi"/>
                <w:color w:val="A6A6A6" w:themeColor="background1" w:themeShade="A6"/>
                <w:sz w:val="20"/>
                <w:szCs w:val="20"/>
                <w:vertAlign w:val="superscript"/>
              </w:rPr>
              <w:footnoteReference w:id="137"/>
            </w:r>
            <w:r>
              <w:rPr>
                <w:rFonts w:asciiTheme="minorHAnsi" w:hAnsiTheme="minorHAnsi" w:cstheme="minorHAnsi"/>
                <w:color w:val="A6A6A6" w:themeColor="background1" w:themeShade="A6"/>
                <w:sz w:val="20"/>
                <w:szCs w:val="20"/>
              </w:rPr>
              <w:t>, a to jak samotných, tak ve formě směsí nebo předmětů;</w:t>
            </w:r>
          </w:p>
          <w:p w14:paraId="67DE64D6" w14:textId="77777777" w:rsidR="006F000C" w:rsidRDefault="006F000C" w:rsidP="00FE7E4F">
            <w:pPr>
              <w:spacing w:after="0" w:line="240" w:lineRule="auto"/>
              <w:rPr>
                <w:rFonts w:asciiTheme="minorHAnsi" w:hAnsiTheme="minorHAnsi" w:cstheme="minorHAnsi"/>
                <w:color w:val="A6A6A6" w:themeColor="background1" w:themeShade="A6"/>
                <w:sz w:val="20"/>
                <w:szCs w:val="20"/>
              </w:rPr>
            </w:pPr>
            <w:r>
              <w:rPr>
                <w:rFonts w:asciiTheme="minorHAnsi" w:hAnsiTheme="minorHAnsi" w:cstheme="minorHAnsi"/>
                <w:color w:val="A6A6A6" w:themeColor="background1" w:themeShade="A6"/>
                <w:sz w:val="20"/>
                <w:szCs w:val="20"/>
              </w:rPr>
              <w:t>d) látek uvedených v příloze II směrnice Evropského parlamentu a Rady 2011/65/EU</w:t>
            </w:r>
            <w:r>
              <w:rPr>
                <w:rFonts w:asciiTheme="minorHAnsi" w:hAnsiTheme="minorHAnsi" w:cstheme="minorHAnsi"/>
                <w:color w:val="A6A6A6" w:themeColor="background1" w:themeShade="A6"/>
                <w:sz w:val="20"/>
                <w:szCs w:val="20"/>
                <w:vertAlign w:val="superscript"/>
              </w:rPr>
              <w:footnoteReference w:id="138"/>
            </w:r>
            <w:r>
              <w:rPr>
                <w:rFonts w:asciiTheme="minorHAnsi" w:hAnsiTheme="minorHAnsi" w:cstheme="minorHAnsi"/>
                <w:color w:val="A6A6A6" w:themeColor="background1" w:themeShade="A6"/>
                <w:sz w:val="20"/>
                <w:szCs w:val="20"/>
              </w:rPr>
              <w:t xml:space="preserve">, a to jak samotných, tak ve formě směsí nebo předmětů, kromě případů, které jsou plně v souladu s čl. 4 odst. 1 uvedené směrnice; </w:t>
            </w:r>
          </w:p>
          <w:p w14:paraId="59CF5396" w14:textId="77777777" w:rsidR="006F000C" w:rsidRDefault="006F000C" w:rsidP="00FE7E4F">
            <w:pPr>
              <w:spacing w:after="0" w:line="240" w:lineRule="auto"/>
              <w:rPr>
                <w:rFonts w:asciiTheme="minorHAnsi" w:hAnsiTheme="minorHAnsi" w:cstheme="minorHAnsi"/>
                <w:color w:val="A6A6A6" w:themeColor="background1" w:themeShade="A6"/>
                <w:sz w:val="20"/>
                <w:szCs w:val="20"/>
              </w:rPr>
            </w:pPr>
            <w:r>
              <w:rPr>
                <w:rFonts w:asciiTheme="minorHAnsi" w:hAnsiTheme="minorHAnsi" w:cstheme="minorHAnsi"/>
                <w:color w:val="A6A6A6" w:themeColor="background1" w:themeShade="A6"/>
                <w:sz w:val="20"/>
                <w:szCs w:val="20"/>
              </w:rPr>
              <w:lastRenderedPageBreak/>
              <w:t>e) látek uvedených v příloze XVII nařízení Evropského parlamentu a Rady (ES) 1907/2006</w:t>
            </w:r>
            <w:r>
              <w:rPr>
                <w:rFonts w:asciiTheme="minorHAnsi" w:hAnsiTheme="minorHAnsi" w:cstheme="minorHAnsi"/>
                <w:color w:val="A6A6A6" w:themeColor="background1" w:themeShade="A6"/>
                <w:sz w:val="20"/>
                <w:szCs w:val="20"/>
                <w:vertAlign w:val="superscript"/>
              </w:rPr>
              <w:footnoteReference w:id="139"/>
            </w:r>
            <w:r>
              <w:rPr>
                <w:rFonts w:asciiTheme="minorHAnsi" w:hAnsiTheme="minorHAnsi" w:cstheme="minorHAnsi"/>
                <w:color w:val="A6A6A6" w:themeColor="background1" w:themeShade="A6"/>
                <w:sz w:val="20"/>
                <w:szCs w:val="20"/>
              </w:rPr>
              <w:t>, a to jak samotných, tak ve formě směsí nebo předmětů, kromě případů, které jsou plně v souladu s podmínkami stanovenými v uvedené příloze;</w:t>
            </w:r>
          </w:p>
          <w:p w14:paraId="01C68646" w14:textId="77777777" w:rsidR="006F000C" w:rsidRDefault="006F000C" w:rsidP="00FE7E4F">
            <w:pPr>
              <w:spacing w:after="0" w:line="240" w:lineRule="auto"/>
              <w:rPr>
                <w:rFonts w:asciiTheme="minorHAnsi" w:hAnsiTheme="minorHAnsi" w:cstheme="minorHAnsi"/>
                <w:color w:val="A6A6A6" w:themeColor="background1" w:themeShade="A6"/>
                <w:sz w:val="20"/>
                <w:szCs w:val="20"/>
              </w:rPr>
            </w:pPr>
            <w:r>
              <w:rPr>
                <w:rFonts w:asciiTheme="minorHAnsi" w:hAnsiTheme="minorHAnsi" w:cstheme="minorHAnsi"/>
                <w:color w:val="A6A6A6" w:themeColor="background1" w:themeShade="A6"/>
                <w:sz w:val="20"/>
                <w:szCs w:val="20"/>
              </w:rPr>
              <w:t xml:space="preserve">f) látek, které splňují kritéria stanovená v článku 57 nařízení (ES) č. 1907/2006 a jsou identifikovány v souladu s čl. 59 odst. 1 uvedeného nařízení, a to jak samotných, tak ve formě směsí nebo předmětů, kromě případů, kdy bylo prokázáno, že jejich použití je pro společnost zásadní; </w:t>
            </w:r>
          </w:p>
          <w:p w14:paraId="3819EAAC" w14:textId="77777777" w:rsidR="006F000C" w:rsidRDefault="006F000C" w:rsidP="00FE7E4F">
            <w:pPr>
              <w:spacing w:after="0" w:line="240" w:lineRule="auto"/>
              <w:rPr>
                <w:rFonts w:asciiTheme="minorHAnsi" w:hAnsiTheme="minorHAnsi" w:cstheme="minorHAnsi"/>
                <w:color w:val="A6A6A6" w:themeColor="background1" w:themeShade="A6"/>
                <w:sz w:val="20"/>
                <w:szCs w:val="20"/>
              </w:rPr>
            </w:pPr>
            <w:r>
              <w:rPr>
                <w:rFonts w:asciiTheme="minorHAnsi" w:hAnsiTheme="minorHAnsi" w:cstheme="minorHAnsi"/>
                <w:color w:val="A6A6A6" w:themeColor="background1" w:themeShade="A6"/>
                <w:sz w:val="20"/>
                <w:szCs w:val="20"/>
              </w:rPr>
              <w:t>g) jiných látek, které splňují kritéria stanovená v článku 57 nařízení (ES) č. 1907/2006, a to jak samotných, tak ve formě směsí nebo předmětů, kromě případů, kdy bylo prokázáno, že jejich použití je pro společnost zásadní.</w:t>
            </w:r>
          </w:p>
          <w:p w14:paraId="554C87A6" w14:textId="77777777" w:rsidR="006F000C" w:rsidRDefault="006F000C" w:rsidP="00FE7E4F">
            <w:pPr>
              <w:spacing w:after="0" w:line="240" w:lineRule="auto"/>
              <w:rPr>
                <w:rFonts w:asciiTheme="minorHAnsi" w:hAnsiTheme="minorHAnsi" w:cstheme="minorHAnsi"/>
                <w:color w:val="A6A6A6" w:themeColor="background1" w:themeShade="A6"/>
                <w:sz w:val="20"/>
                <w:szCs w:val="20"/>
              </w:rPr>
            </w:pPr>
          </w:p>
        </w:tc>
        <w:tc>
          <w:tcPr>
            <w:tcW w:w="1114" w:type="pct"/>
            <w:shd w:val="clear" w:color="auto" w:fill="F7CAAC" w:themeFill="accent2" w:themeFillTint="66"/>
          </w:tcPr>
          <w:p w14:paraId="0FB81A74" w14:textId="77777777" w:rsidR="006F000C" w:rsidRDefault="006F000C" w:rsidP="00FE7E4F">
            <w:pPr>
              <w:spacing w:after="0" w:line="240" w:lineRule="auto"/>
              <w:rPr>
                <w:rFonts w:asciiTheme="minorHAnsi" w:hAnsiTheme="minorHAnsi" w:cstheme="minorHAnsi"/>
                <w:color w:val="A6A6A6" w:themeColor="background1" w:themeShade="A6"/>
                <w:sz w:val="20"/>
                <w:szCs w:val="20"/>
              </w:rPr>
            </w:pPr>
            <w:r>
              <w:rPr>
                <w:rFonts w:asciiTheme="minorHAnsi" w:hAnsiTheme="minorHAnsi" w:cstheme="minorHAnsi"/>
                <w:color w:val="A6A6A6" w:themeColor="background1" w:themeShade="A6"/>
                <w:sz w:val="20"/>
                <w:szCs w:val="20"/>
              </w:rPr>
              <w:lastRenderedPageBreak/>
              <w:t>Legislativní požadavek.</w:t>
            </w:r>
          </w:p>
          <w:p w14:paraId="3DB06B55" w14:textId="77777777" w:rsidR="006F000C" w:rsidRDefault="006F000C" w:rsidP="00FE7E4F">
            <w:pPr>
              <w:spacing w:after="0" w:line="240" w:lineRule="auto"/>
              <w:rPr>
                <w:rFonts w:asciiTheme="minorHAnsi" w:hAnsiTheme="minorHAnsi" w:cstheme="minorHAnsi"/>
                <w:color w:val="A6A6A6" w:themeColor="background1" w:themeShade="A6"/>
                <w:sz w:val="20"/>
                <w:szCs w:val="20"/>
              </w:rPr>
            </w:pPr>
          </w:p>
          <w:p w14:paraId="3637B379" w14:textId="478C6CCF" w:rsidR="006F000C" w:rsidRDefault="006F000C" w:rsidP="00FE7E4F">
            <w:pPr>
              <w:spacing w:after="0" w:line="240" w:lineRule="auto"/>
              <w:rPr>
                <w:rFonts w:asciiTheme="minorHAnsi" w:hAnsiTheme="minorHAnsi" w:cstheme="minorHAnsi"/>
                <w:color w:val="A6A6A6" w:themeColor="background1" w:themeShade="A6"/>
                <w:sz w:val="20"/>
                <w:szCs w:val="20"/>
              </w:rPr>
            </w:pPr>
            <w:r w:rsidRPr="00253280">
              <w:rPr>
                <w:rFonts w:asciiTheme="minorHAnsi" w:hAnsiTheme="minorHAnsi" w:cstheme="minorHAnsi"/>
                <w:sz w:val="20"/>
                <w:szCs w:val="20"/>
              </w:rPr>
              <w:t>Poučení žadatele ohledně tohoto legislativního požadavku.</w:t>
            </w:r>
          </w:p>
        </w:tc>
        <w:tc>
          <w:tcPr>
            <w:tcW w:w="1064" w:type="pct"/>
            <w:shd w:val="clear" w:color="auto" w:fill="F7CAAC" w:themeFill="accent2" w:themeFillTint="66"/>
          </w:tcPr>
          <w:p w14:paraId="11ECE859" w14:textId="77777777" w:rsidR="006F000C" w:rsidRDefault="006F000C" w:rsidP="00FE7E4F">
            <w:pPr>
              <w:spacing w:after="0" w:line="240" w:lineRule="auto"/>
              <w:rPr>
                <w:rFonts w:asciiTheme="minorHAnsi" w:hAnsiTheme="minorHAnsi" w:cstheme="minorHAnsi"/>
                <w:sz w:val="20"/>
                <w:szCs w:val="20"/>
              </w:rPr>
            </w:pPr>
            <w:r>
              <w:rPr>
                <w:rFonts w:asciiTheme="minorHAnsi" w:hAnsiTheme="minorHAnsi" w:cstheme="minorHAnsi"/>
                <w:sz w:val="20"/>
                <w:szCs w:val="20"/>
              </w:rPr>
              <w:t>Sledování plnění tohoto ustanovení při kontrole projektové dokumentace předkládané v rámci žádosti o podporu a dále v rámci kontrolní činnosti u realizovaných projektů.</w:t>
            </w:r>
          </w:p>
          <w:p w14:paraId="489A6B6F" w14:textId="77777777" w:rsidR="006F000C" w:rsidRDefault="006F000C" w:rsidP="00FE7E4F">
            <w:pPr>
              <w:spacing w:after="0" w:line="240" w:lineRule="auto"/>
              <w:rPr>
                <w:rFonts w:asciiTheme="minorHAnsi" w:hAnsiTheme="minorHAnsi" w:cstheme="minorHAnsi"/>
                <w:color w:val="A6A6A6" w:themeColor="background1" w:themeShade="A6"/>
                <w:sz w:val="20"/>
                <w:szCs w:val="20"/>
              </w:rPr>
            </w:pPr>
          </w:p>
          <w:p w14:paraId="671857A4" w14:textId="433AF10A" w:rsidR="006F000C" w:rsidRDefault="006F000C" w:rsidP="00FE7E4F">
            <w:pPr>
              <w:spacing w:after="0" w:line="240" w:lineRule="auto"/>
              <w:rPr>
                <w:rFonts w:asciiTheme="minorHAnsi" w:hAnsiTheme="minorHAnsi" w:cstheme="minorHAnsi"/>
                <w:sz w:val="20"/>
                <w:szCs w:val="20"/>
              </w:rPr>
            </w:pPr>
            <w:r>
              <w:rPr>
                <w:rFonts w:asciiTheme="minorHAnsi" w:hAnsiTheme="minorHAnsi" w:cstheme="minorHAnsi"/>
                <w:sz w:val="20"/>
                <w:szCs w:val="20"/>
              </w:rPr>
              <w:t>Alternativně se doporučuje např. doložení neexistence porušení pravidel ze strany ČIŽP v posledních 10 letech. Toto lze zkontrolovat seznamem pokut ČIŽP či kontrolou soudních řízení.</w:t>
            </w:r>
          </w:p>
          <w:p w14:paraId="2BE71202" w14:textId="77777777" w:rsidR="006F000C" w:rsidRDefault="006F000C" w:rsidP="00FE7E4F">
            <w:pPr>
              <w:spacing w:after="0" w:line="240" w:lineRule="auto"/>
              <w:rPr>
                <w:rFonts w:asciiTheme="minorHAnsi" w:hAnsiTheme="minorHAnsi" w:cstheme="minorHAnsi"/>
                <w:color w:val="A6A6A6" w:themeColor="background1" w:themeShade="A6"/>
                <w:sz w:val="20"/>
                <w:szCs w:val="20"/>
              </w:rPr>
            </w:pPr>
          </w:p>
          <w:p w14:paraId="5AAAB1FD" w14:textId="77777777" w:rsidR="006F000C" w:rsidRDefault="006F000C" w:rsidP="00FE7E4F">
            <w:pPr>
              <w:spacing w:after="0" w:line="240" w:lineRule="auto"/>
              <w:rPr>
                <w:rFonts w:asciiTheme="minorHAnsi" w:hAnsiTheme="minorHAnsi" w:cstheme="minorHAnsi"/>
                <w:color w:val="A6A6A6" w:themeColor="background1" w:themeShade="A6"/>
                <w:sz w:val="20"/>
                <w:szCs w:val="20"/>
              </w:rPr>
            </w:pPr>
            <w:r>
              <w:rPr>
                <w:rFonts w:asciiTheme="minorHAnsi" w:hAnsiTheme="minorHAnsi" w:cstheme="minorHAnsi"/>
                <w:sz w:val="20"/>
                <w:szCs w:val="20"/>
              </w:rPr>
              <w:t>Alternativně se doporučuje vyžadovat čestné prohlášení žadatele, že nevyrábí, neuvádí na trh nebo při své činnosti nepoužívá uvedené látky.</w:t>
            </w:r>
          </w:p>
        </w:tc>
        <w:tc>
          <w:tcPr>
            <w:tcW w:w="1102" w:type="pct"/>
            <w:shd w:val="clear" w:color="auto" w:fill="F7CAAC" w:themeFill="accent2" w:themeFillTint="66"/>
          </w:tcPr>
          <w:p w14:paraId="617B19E4" w14:textId="77777777" w:rsidR="006F000C" w:rsidRDefault="006F000C" w:rsidP="00FE7E4F">
            <w:pPr>
              <w:spacing w:after="0" w:line="240" w:lineRule="auto"/>
              <w:rPr>
                <w:rFonts w:asciiTheme="minorHAnsi" w:hAnsiTheme="minorHAnsi" w:cstheme="minorHAnsi"/>
                <w:sz w:val="20"/>
                <w:szCs w:val="20"/>
              </w:rPr>
            </w:pPr>
            <w:r>
              <w:rPr>
                <w:rFonts w:asciiTheme="minorHAnsi" w:hAnsiTheme="minorHAnsi" w:cstheme="minorHAnsi"/>
                <w:sz w:val="20"/>
                <w:szCs w:val="20"/>
              </w:rPr>
              <w:t>Činnost nevede k výrobě, uvádění na trh nebo používání:</w:t>
            </w:r>
          </w:p>
          <w:p w14:paraId="4A9D17A5" w14:textId="77777777" w:rsidR="006F000C" w:rsidRDefault="006F000C" w:rsidP="00FE7E4F">
            <w:pPr>
              <w:spacing w:after="0" w:line="240" w:lineRule="auto"/>
              <w:rPr>
                <w:rFonts w:asciiTheme="minorHAnsi" w:hAnsiTheme="minorHAnsi" w:cstheme="minorHAnsi"/>
                <w:sz w:val="20"/>
                <w:szCs w:val="20"/>
              </w:rPr>
            </w:pPr>
            <w:r>
              <w:rPr>
                <w:rFonts w:asciiTheme="minorHAnsi" w:hAnsiTheme="minorHAnsi" w:cstheme="minorHAnsi"/>
                <w:sz w:val="20"/>
                <w:szCs w:val="20"/>
              </w:rPr>
              <w:t>a) látek uvedených v příloze I nebo II nařízení Evropského parlamentu a Rady (EU) 2019/1021</w:t>
            </w:r>
            <w:r>
              <w:rPr>
                <w:rFonts w:asciiTheme="minorHAnsi" w:hAnsiTheme="minorHAnsi" w:cstheme="minorHAnsi"/>
                <w:sz w:val="20"/>
                <w:szCs w:val="20"/>
                <w:vertAlign w:val="superscript"/>
              </w:rPr>
              <w:footnoteReference w:id="140"/>
            </w:r>
            <w:r>
              <w:rPr>
                <w:rFonts w:asciiTheme="minorHAnsi" w:hAnsiTheme="minorHAnsi" w:cstheme="minorHAnsi"/>
                <w:sz w:val="20"/>
                <w:szCs w:val="20"/>
              </w:rPr>
              <w:t>, a to jak samotných, tak ve formě směsí nebo předmětů, kromě případů, kdy jsou přítomny jako nezáměrné stopové kontaminující látky;</w:t>
            </w:r>
          </w:p>
          <w:p w14:paraId="07A0EA4A" w14:textId="77777777" w:rsidR="006F000C" w:rsidRDefault="006F000C" w:rsidP="00FE7E4F">
            <w:pPr>
              <w:spacing w:after="0" w:line="240" w:lineRule="auto"/>
              <w:rPr>
                <w:rFonts w:asciiTheme="minorHAnsi" w:hAnsiTheme="minorHAnsi" w:cstheme="minorHAnsi"/>
                <w:sz w:val="20"/>
                <w:szCs w:val="20"/>
              </w:rPr>
            </w:pPr>
            <w:r>
              <w:rPr>
                <w:rFonts w:asciiTheme="minorHAnsi" w:hAnsiTheme="minorHAnsi" w:cstheme="minorHAnsi"/>
                <w:sz w:val="20"/>
                <w:szCs w:val="20"/>
              </w:rPr>
              <w:t>b) rtuti a sloučeniny rtuti, jejich směsí a výrobků s přidanou rtutí ve smyslu článku 2 nařízení Evropského parlamentu a Rady (EU) 2017/852</w:t>
            </w:r>
            <w:r>
              <w:rPr>
                <w:rFonts w:asciiTheme="minorHAnsi" w:hAnsiTheme="minorHAnsi" w:cstheme="minorHAnsi"/>
                <w:sz w:val="20"/>
                <w:szCs w:val="20"/>
                <w:vertAlign w:val="superscript"/>
              </w:rPr>
              <w:footnoteReference w:id="141"/>
            </w:r>
            <w:r>
              <w:rPr>
                <w:rFonts w:asciiTheme="minorHAnsi" w:hAnsiTheme="minorHAnsi" w:cstheme="minorHAnsi"/>
                <w:sz w:val="20"/>
                <w:szCs w:val="20"/>
              </w:rPr>
              <w:t>;</w:t>
            </w:r>
          </w:p>
          <w:p w14:paraId="4348C816" w14:textId="77777777" w:rsidR="006F000C" w:rsidRDefault="006F000C" w:rsidP="00FE7E4F">
            <w:pPr>
              <w:spacing w:after="0" w:line="240" w:lineRule="auto"/>
              <w:rPr>
                <w:rFonts w:asciiTheme="minorHAnsi" w:hAnsiTheme="minorHAnsi" w:cstheme="minorHAnsi"/>
                <w:sz w:val="20"/>
                <w:szCs w:val="20"/>
              </w:rPr>
            </w:pPr>
            <w:r>
              <w:rPr>
                <w:rFonts w:asciiTheme="minorHAnsi" w:hAnsiTheme="minorHAnsi" w:cstheme="minorHAnsi"/>
                <w:sz w:val="20"/>
                <w:szCs w:val="20"/>
              </w:rPr>
              <w:t>c) látek uvedených v příloze I nebo II nařízení Evropského parlamentu a Rady (ES) č. 1005/2009</w:t>
            </w:r>
            <w:r>
              <w:rPr>
                <w:rFonts w:asciiTheme="minorHAnsi" w:hAnsiTheme="minorHAnsi" w:cstheme="minorHAnsi"/>
                <w:sz w:val="20"/>
                <w:szCs w:val="20"/>
                <w:vertAlign w:val="superscript"/>
              </w:rPr>
              <w:footnoteReference w:id="142"/>
            </w:r>
            <w:r>
              <w:rPr>
                <w:rFonts w:asciiTheme="minorHAnsi" w:hAnsiTheme="minorHAnsi" w:cstheme="minorHAnsi"/>
                <w:sz w:val="20"/>
                <w:szCs w:val="20"/>
              </w:rPr>
              <w:t>, a to jak samotných, tak ve formě směsí nebo předmětů;</w:t>
            </w:r>
          </w:p>
          <w:p w14:paraId="5A30DE77" w14:textId="77777777" w:rsidR="006F000C" w:rsidRDefault="006F000C" w:rsidP="00FE7E4F">
            <w:pPr>
              <w:spacing w:after="0" w:line="240" w:lineRule="auto"/>
              <w:rPr>
                <w:rFonts w:asciiTheme="minorHAnsi" w:hAnsiTheme="minorHAnsi" w:cstheme="minorHAnsi"/>
                <w:sz w:val="20"/>
                <w:szCs w:val="20"/>
              </w:rPr>
            </w:pPr>
            <w:r>
              <w:rPr>
                <w:rFonts w:asciiTheme="minorHAnsi" w:hAnsiTheme="minorHAnsi" w:cstheme="minorHAnsi"/>
                <w:sz w:val="20"/>
                <w:szCs w:val="20"/>
              </w:rPr>
              <w:t>d) látek uvedených v příloze II směrnice Evropského parlamentu a Rady 2011/65/EU</w:t>
            </w:r>
            <w:r>
              <w:rPr>
                <w:rFonts w:asciiTheme="minorHAnsi" w:hAnsiTheme="minorHAnsi" w:cstheme="minorHAnsi"/>
                <w:sz w:val="20"/>
                <w:szCs w:val="20"/>
                <w:vertAlign w:val="superscript"/>
              </w:rPr>
              <w:footnoteReference w:id="143"/>
            </w:r>
            <w:r>
              <w:rPr>
                <w:rFonts w:asciiTheme="minorHAnsi" w:hAnsiTheme="minorHAnsi" w:cstheme="minorHAnsi"/>
                <w:sz w:val="20"/>
                <w:szCs w:val="20"/>
              </w:rPr>
              <w:t xml:space="preserve">, a to jak samotných, tak ve formě směsí nebo předmětů, kromě </w:t>
            </w:r>
            <w:r>
              <w:rPr>
                <w:rFonts w:asciiTheme="minorHAnsi" w:hAnsiTheme="minorHAnsi" w:cstheme="minorHAnsi"/>
                <w:sz w:val="20"/>
                <w:szCs w:val="20"/>
              </w:rPr>
              <w:lastRenderedPageBreak/>
              <w:t xml:space="preserve">případů, které jsou plně v souladu s čl. 4 odst. 1 uvedené směrnice; </w:t>
            </w:r>
          </w:p>
          <w:p w14:paraId="1FD35958" w14:textId="77777777" w:rsidR="006F000C" w:rsidRDefault="006F000C" w:rsidP="00FE7E4F">
            <w:pPr>
              <w:spacing w:after="0" w:line="240" w:lineRule="auto"/>
              <w:rPr>
                <w:rFonts w:asciiTheme="minorHAnsi" w:hAnsiTheme="minorHAnsi" w:cstheme="minorHAnsi"/>
                <w:sz w:val="20"/>
                <w:szCs w:val="20"/>
              </w:rPr>
            </w:pPr>
            <w:r>
              <w:rPr>
                <w:rFonts w:asciiTheme="minorHAnsi" w:hAnsiTheme="minorHAnsi" w:cstheme="minorHAnsi"/>
                <w:sz w:val="20"/>
                <w:szCs w:val="20"/>
              </w:rPr>
              <w:t>e) látek uvedených v příloze XVII nařízení Evropského parlamentu a Rady (ES) 1907/2006</w:t>
            </w:r>
            <w:r>
              <w:rPr>
                <w:rFonts w:asciiTheme="minorHAnsi" w:hAnsiTheme="minorHAnsi" w:cstheme="minorHAnsi"/>
                <w:sz w:val="20"/>
                <w:szCs w:val="20"/>
                <w:vertAlign w:val="superscript"/>
              </w:rPr>
              <w:footnoteReference w:id="144"/>
            </w:r>
            <w:r>
              <w:rPr>
                <w:rFonts w:asciiTheme="minorHAnsi" w:hAnsiTheme="minorHAnsi" w:cstheme="minorHAnsi"/>
                <w:sz w:val="20"/>
                <w:szCs w:val="20"/>
              </w:rPr>
              <w:t>, a to jak samotných, tak ve formě směsí nebo předmětů, kromě případů, které jsou plně v souladu s podmínkami stanovenými v uvedené příloze;</w:t>
            </w:r>
          </w:p>
          <w:p w14:paraId="0A173DD8" w14:textId="77777777" w:rsidR="006F000C" w:rsidRDefault="006F000C" w:rsidP="00FE7E4F">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f) látek, které splňují kritéria stanovená v článku 57 nařízení (ES) č. 1907/2006 a jsou identifikovány v souladu s čl. 59 odst. 1 uvedeného nařízení, a to jak samotných, tak ve formě směsí nebo předmětů, kromě případů, kdy bylo prokázáno, že jejich použití je pro společnost zásadní; </w:t>
            </w:r>
          </w:p>
          <w:p w14:paraId="38AC35C6" w14:textId="77777777" w:rsidR="006F000C" w:rsidRDefault="006F000C" w:rsidP="00FE7E4F">
            <w:pPr>
              <w:spacing w:after="0" w:line="240" w:lineRule="auto"/>
              <w:rPr>
                <w:rFonts w:asciiTheme="minorHAnsi" w:hAnsiTheme="minorHAnsi" w:cstheme="minorHAnsi"/>
                <w:color w:val="A6A6A6" w:themeColor="background1" w:themeShade="A6"/>
                <w:sz w:val="20"/>
                <w:szCs w:val="20"/>
              </w:rPr>
            </w:pPr>
            <w:r>
              <w:rPr>
                <w:rFonts w:asciiTheme="minorHAnsi" w:hAnsiTheme="minorHAnsi" w:cstheme="minorHAnsi"/>
                <w:sz w:val="20"/>
                <w:szCs w:val="20"/>
              </w:rPr>
              <w:t>g) jiných látek, které splňují kritéria stanovená v článku 57 nařízení (ES) č. 1907/2006, a to jak samotných, tak ve formě směsí nebo předmětů, kromě případů, kdy bylo prokázáno, že jejich použití je pro společnost zásadní.</w:t>
            </w:r>
          </w:p>
          <w:p w14:paraId="4197D082" w14:textId="77777777" w:rsidR="006F000C" w:rsidRDefault="006F000C" w:rsidP="00FE7E4F">
            <w:pPr>
              <w:spacing w:after="0" w:line="240" w:lineRule="auto"/>
              <w:rPr>
                <w:rFonts w:asciiTheme="minorHAnsi" w:hAnsiTheme="minorHAnsi" w:cstheme="minorHAnsi"/>
                <w:color w:val="A6A6A6" w:themeColor="background1" w:themeShade="A6"/>
                <w:sz w:val="20"/>
                <w:szCs w:val="20"/>
              </w:rPr>
            </w:pPr>
          </w:p>
          <w:p w14:paraId="7826F46C" w14:textId="77777777" w:rsidR="006F000C" w:rsidRDefault="006F000C" w:rsidP="00FE7E4F">
            <w:pPr>
              <w:spacing w:after="0" w:line="240" w:lineRule="auto"/>
              <w:rPr>
                <w:rFonts w:asciiTheme="minorHAnsi" w:hAnsiTheme="minorHAnsi" w:cstheme="minorHAnsi"/>
                <w:color w:val="A6A6A6" w:themeColor="background1" w:themeShade="A6"/>
                <w:sz w:val="20"/>
                <w:szCs w:val="20"/>
              </w:rPr>
            </w:pPr>
            <w:r>
              <w:rPr>
                <w:rFonts w:asciiTheme="minorHAnsi" w:hAnsiTheme="minorHAnsi" w:cstheme="minorHAnsi"/>
                <w:b/>
                <w:i/>
                <w:sz w:val="20"/>
                <w:szCs w:val="20"/>
              </w:rPr>
              <w:t>Tyto podmínky jsou přímo podmínkami DNSH (dodatek C) dle přílohy I a přílohy II nařízení EU 2021/2139 a jsou tímto ve fondech splněny</w:t>
            </w:r>
          </w:p>
        </w:tc>
      </w:tr>
      <w:tr w:rsidR="006F000C" w14:paraId="52C38121" w14:textId="77777777" w:rsidTr="00FE7E4F">
        <w:tc>
          <w:tcPr>
            <w:tcW w:w="570" w:type="pct"/>
            <w:vMerge/>
            <w:shd w:val="clear" w:color="auto" w:fill="F7CAAC" w:themeFill="accent2" w:themeFillTint="66"/>
          </w:tcPr>
          <w:p w14:paraId="6E8DBFE1" w14:textId="77777777" w:rsidR="006F000C" w:rsidRDefault="006F000C" w:rsidP="00FE7E4F">
            <w:pPr>
              <w:spacing w:after="0" w:line="240" w:lineRule="auto"/>
              <w:rPr>
                <w:rFonts w:asciiTheme="minorHAnsi" w:hAnsiTheme="minorHAnsi" w:cstheme="minorHAnsi"/>
                <w:b/>
                <w:sz w:val="20"/>
                <w:szCs w:val="20"/>
              </w:rPr>
            </w:pPr>
          </w:p>
        </w:tc>
        <w:tc>
          <w:tcPr>
            <w:tcW w:w="1150" w:type="pct"/>
            <w:shd w:val="clear" w:color="auto" w:fill="F7CAAC" w:themeFill="accent2" w:themeFillTint="66"/>
          </w:tcPr>
          <w:p w14:paraId="4F07165F" w14:textId="77777777" w:rsidR="006F000C" w:rsidRDefault="006F000C" w:rsidP="00FE7E4F">
            <w:pPr>
              <w:spacing w:after="0" w:line="240" w:lineRule="auto"/>
              <w:rPr>
                <w:rFonts w:asciiTheme="minorHAnsi" w:hAnsiTheme="minorHAnsi" w:cstheme="minorHAnsi"/>
                <w:bCs/>
                <w:color w:val="A6A6A6" w:themeColor="background1" w:themeShade="A6"/>
                <w:sz w:val="20"/>
                <w:szCs w:val="20"/>
              </w:rPr>
            </w:pPr>
            <w:r>
              <w:rPr>
                <w:rFonts w:asciiTheme="minorHAnsi" w:hAnsiTheme="minorHAnsi" w:cstheme="minorHAnsi"/>
                <w:color w:val="A6A6A6" w:themeColor="background1" w:themeShade="A6"/>
                <w:sz w:val="20"/>
                <w:szCs w:val="20"/>
              </w:rPr>
              <w:t>Ze stavebních prvků a materiálů použitých při stavbě, které mohou přijít do styku s uživateli</w:t>
            </w:r>
            <w:r>
              <w:rPr>
                <w:rFonts w:asciiTheme="minorHAnsi" w:hAnsiTheme="minorHAnsi" w:cstheme="minorHAnsi"/>
                <w:color w:val="A6A6A6" w:themeColor="background1" w:themeShade="A6"/>
                <w:sz w:val="20"/>
                <w:szCs w:val="20"/>
                <w:vertAlign w:val="superscript"/>
              </w:rPr>
              <w:footnoteReference w:id="145"/>
            </w:r>
            <w:r>
              <w:rPr>
                <w:rFonts w:asciiTheme="minorHAnsi" w:hAnsiTheme="minorHAnsi" w:cstheme="minorHAnsi"/>
                <w:color w:val="A6A6A6" w:themeColor="background1" w:themeShade="A6"/>
                <w:sz w:val="20"/>
                <w:szCs w:val="20"/>
              </w:rPr>
              <w:t xml:space="preserve">, se při zkouškách v </w:t>
            </w:r>
            <w:r>
              <w:rPr>
                <w:rFonts w:asciiTheme="minorHAnsi" w:hAnsiTheme="minorHAnsi" w:cstheme="minorHAnsi"/>
                <w:color w:val="A6A6A6" w:themeColor="background1" w:themeShade="A6"/>
                <w:sz w:val="20"/>
                <w:szCs w:val="20"/>
              </w:rPr>
              <w:lastRenderedPageBreak/>
              <w:t>souladu s podmínkami uvedenými v příloze XVII nařízení (ES) č. 1907/2006 uvolňuje méně než 0,06 mg formaldehydu na m³ materiálu nebo prvku a při zkouškách podle normy CEN/EN 16516</w:t>
            </w:r>
            <w:r>
              <w:rPr>
                <w:rFonts w:asciiTheme="minorHAnsi" w:hAnsiTheme="minorHAnsi" w:cstheme="minorHAnsi"/>
                <w:color w:val="A6A6A6" w:themeColor="background1" w:themeShade="A6"/>
                <w:sz w:val="20"/>
                <w:szCs w:val="20"/>
                <w:vertAlign w:val="superscript"/>
              </w:rPr>
              <w:footnoteReference w:id="146"/>
            </w:r>
            <w:r>
              <w:rPr>
                <w:rFonts w:asciiTheme="minorHAnsi" w:hAnsiTheme="minorHAnsi" w:cstheme="minorHAnsi"/>
                <w:color w:val="A6A6A6" w:themeColor="background1" w:themeShade="A6"/>
                <w:sz w:val="20"/>
                <w:szCs w:val="20"/>
              </w:rPr>
              <w:t xml:space="preserve"> a ISO 16000-3:2011</w:t>
            </w:r>
            <w:r>
              <w:rPr>
                <w:rFonts w:asciiTheme="minorHAnsi" w:hAnsiTheme="minorHAnsi" w:cstheme="minorHAnsi"/>
                <w:color w:val="A6A6A6" w:themeColor="background1" w:themeShade="A6"/>
                <w:sz w:val="20"/>
                <w:szCs w:val="20"/>
                <w:vertAlign w:val="superscript"/>
              </w:rPr>
              <w:footnoteReference w:id="147"/>
            </w:r>
            <w:r>
              <w:rPr>
                <w:rFonts w:asciiTheme="minorHAnsi" w:hAnsiTheme="minorHAnsi" w:cstheme="minorHAnsi"/>
                <w:color w:val="A6A6A6" w:themeColor="background1" w:themeShade="A6"/>
                <w:sz w:val="20"/>
                <w:szCs w:val="20"/>
              </w:rPr>
              <w:t xml:space="preserve"> nebo jiných srovnatelných standardizovaných zkušebních podmínek a metod stanovení</w:t>
            </w:r>
            <w:r>
              <w:rPr>
                <w:rFonts w:asciiTheme="minorHAnsi" w:hAnsiTheme="minorHAnsi" w:cstheme="minorHAnsi"/>
                <w:color w:val="A6A6A6" w:themeColor="background1" w:themeShade="A6"/>
                <w:sz w:val="20"/>
                <w:szCs w:val="20"/>
                <w:vertAlign w:val="superscript"/>
              </w:rPr>
              <w:footnoteReference w:id="148"/>
            </w:r>
            <w:r>
              <w:rPr>
                <w:rFonts w:asciiTheme="minorHAnsi" w:hAnsiTheme="minorHAnsi" w:cstheme="minorHAnsi"/>
                <w:color w:val="A6A6A6" w:themeColor="background1" w:themeShade="A6"/>
                <w:sz w:val="20"/>
                <w:szCs w:val="20"/>
              </w:rPr>
              <w:t xml:space="preserve"> méně než 0,001 mg jiných karcinogenních těkavých organických sloučenin kategorie 1A a 1B na m³ materiálu nebo prvku.</w:t>
            </w:r>
          </w:p>
        </w:tc>
        <w:tc>
          <w:tcPr>
            <w:tcW w:w="1114" w:type="pct"/>
            <w:shd w:val="clear" w:color="auto" w:fill="F7CAAC" w:themeFill="accent2" w:themeFillTint="66"/>
          </w:tcPr>
          <w:p w14:paraId="025DC1B9" w14:textId="77777777" w:rsidR="006F000C" w:rsidRDefault="006F000C" w:rsidP="00FE7E4F">
            <w:pPr>
              <w:spacing w:after="0" w:line="240" w:lineRule="auto"/>
              <w:rPr>
                <w:rFonts w:asciiTheme="minorHAnsi" w:hAnsiTheme="minorHAnsi" w:cstheme="minorHAnsi"/>
                <w:color w:val="A6A6A6" w:themeColor="background1" w:themeShade="A6"/>
                <w:sz w:val="20"/>
                <w:szCs w:val="20"/>
              </w:rPr>
            </w:pPr>
            <w:r>
              <w:rPr>
                <w:rFonts w:asciiTheme="minorHAnsi" w:hAnsiTheme="minorHAnsi" w:cstheme="minorHAnsi"/>
                <w:color w:val="A6A6A6" w:themeColor="background1" w:themeShade="A6"/>
                <w:sz w:val="20"/>
                <w:szCs w:val="20"/>
              </w:rPr>
              <w:lastRenderedPageBreak/>
              <w:t>Legislativní požadavek.</w:t>
            </w:r>
          </w:p>
          <w:p w14:paraId="61DD9359" w14:textId="77777777" w:rsidR="006F000C" w:rsidRDefault="006F000C" w:rsidP="00FE7E4F">
            <w:pPr>
              <w:spacing w:after="0" w:line="240" w:lineRule="auto"/>
              <w:rPr>
                <w:rFonts w:asciiTheme="minorHAnsi" w:hAnsiTheme="minorHAnsi" w:cstheme="minorHAnsi"/>
                <w:color w:val="A6A6A6" w:themeColor="background1" w:themeShade="A6"/>
                <w:sz w:val="20"/>
                <w:szCs w:val="20"/>
              </w:rPr>
            </w:pPr>
          </w:p>
          <w:p w14:paraId="2F358679" w14:textId="41790B64" w:rsidR="006F000C" w:rsidRDefault="006F000C" w:rsidP="00FE7E4F">
            <w:pPr>
              <w:spacing w:after="0" w:line="240" w:lineRule="auto"/>
              <w:rPr>
                <w:rFonts w:asciiTheme="minorHAnsi" w:hAnsiTheme="minorHAnsi" w:cstheme="minorHAnsi"/>
                <w:color w:val="A6A6A6" w:themeColor="background1" w:themeShade="A6"/>
                <w:sz w:val="20"/>
                <w:szCs w:val="20"/>
              </w:rPr>
            </w:pPr>
            <w:r w:rsidRPr="00253280">
              <w:rPr>
                <w:rFonts w:asciiTheme="minorHAnsi" w:hAnsiTheme="minorHAnsi" w:cstheme="minorHAnsi"/>
                <w:sz w:val="20"/>
                <w:szCs w:val="20"/>
              </w:rPr>
              <w:lastRenderedPageBreak/>
              <w:t>Poučení žadatele ohledně tohoto legislativního požadavku.</w:t>
            </w:r>
          </w:p>
        </w:tc>
        <w:tc>
          <w:tcPr>
            <w:tcW w:w="1064" w:type="pct"/>
            <w:shd w:val="clear" w:color="auto" w:fill="F7CAAC" w:themeFill="accent2" w:themeFillTint="66"/>
          </w:tcPr>
          <w:p w14:paraId="3374A29B" w14:textId="77777777" w:rsidR="006F000C" w:rsidRDefault="006F000C" w:rsidP="00FE7E4F">
            <w:pPr>
              <w:spacing w:after="0" w:line="240" w:lineRule="auto"/>
              <w:rPr>
                <w:rFonts w:asciiTheme="minorHAnsi" w:hAnsiTheme="minorHAnsi" w:cstheme="minorHAnsi"/>
                <w:sz w:val="20"/>
                <w:szCs w:val="20"/>
              </w:rPr>
            </w:pPr>
            <w:r>
              <w:rPr>
                <w:rFonts w:asciiTheme="minorHAnsi" w:hAnsiTheme="minorHAnsi" w:cstheme="minorHAnsi"/>
                <w:sz w:val="20"/>
                <w:szCs w:val="20"/>
              </w:rPr>
              <w:lastRenderedPageBreak/>
              <w:t xml:space="preserve">Sledování plnění tohoto ustanovení při kontrole projektové dokumentace předkládané v rámci žádosti o </w:t>
            </w:r>
            <w:r>
              <w:rPr>
                <w:rFonts w:asciiTheme="minorHAnsi" w:hAnsiTheme="minorHAnsi" w:cstheme="minorHAnsi"/>
                <w:sz w:val="20"/>
                <w:szCs w:val="20"/>
              </w:rPr>
              <w:lastRenderedPageBreak/>
              <w:t>podporu a dále v rámci kontrolní činnosti u realizovaných projektů.</w:t>
            </w:r>
          </w:p>
          <w:p w14:paraId="1C8ED533" w14:textId="77777777" w:rsidR="006F000C" w:rsidRDefault="006F000C" w:rsidP="00FE7E4F">
            <w:pPr>
              <w:spacing w:after="0" w:line="240" w:lineRule="auto"/>
              <w:rPr>
                <w:rFonts w:asciiTheme="minorHAnsi" w:hAnsiTheme="minorHAnsi" w:cstheme="minorHAnsi"/>
                <w:color w:val="A6A6A6" w:themeColor="background1" w:themeShade="A6"/>
                <w:sz w:val="20"/>
                <w:szCs w:val="20"/>
              </w:rPr>
            </w:pPr>
          </w:p>
          <w:p w14:paraId="2E95C48B" w14:textId="77777777" w:rsidR="006F000C" w:rsidRDefault="006F000C" w:rsidP="00FE7E4F">
            <w:pPr>
              <w:spacing w:after="0" w:line="240" w:lineRule="auto"/>
              <w:rPr>
                <w:rFonts w:asciiTheme="minorHAnsi" w:hAnsiTheme="minorHAnsi" w:cstheme="minorHAnsi"/>
                <w:sz w:val="20"/>
                <w:szCs w:val="20"/>
              </w:rPr>
            </w:pPr>
            <w:r>
              <w:rPr>
                <w:rFonts w:asciiTheme="minorHAnsi" w:hAnsiTheme="minorHAnsi" w:cstheme="minorHAnsi"/>
                <w:sz w:val="20"/>
                <w:szCs w:val="20"/>
              </w:rPr>
              <w:t>Alternativně a administrativně jednodušší je požadovat využití výrobků a směsí které mají k danému datu výzvy platné Prohlášení o shodě. Tím je splněn požadavek a zároveň jej lze relativně jednoduše u projektů kontrolovat.</w:t>
            </w:r>
          </w:p>
          <w:p w14:paraId="42A1D91E" w14:textId="77777777" w:rsidR="006F000C" w:rsidRDefault="006F000C" w:rsidP="00FE7E4F">
            <w:pPr>
              <w:spacing w:after="0" w:line="240" w:lineRule="auto"/>
              <w:rPr>
                <w:rFonts w:asciiTheme="minorHAnsi" w:hAnsiTheme="minorHAnsi" w:cstheme="minorHAnsi"/>
                <w:color w:val="A6A6A6" w:themeColor="background1" w:themeShade="A6"/>
                <w:sz w:val="20"/>
                <w:szCs w:val="20"/>
              </w:rPr>
            </w:pPr>
          </w:p>
          <w:p w14:paraId="56133ED2" w14:textId="77777777" w:rsidR="006F000C" w:rsidRDefault="006F000C" w:rsidP="00FE7E4F">
            <w:pPr>
              <w:spacing w:after="0" w:line="240" w:lineRule="auto"/>
              <w:rPr>
                <w:rFonts w:asciiTheme="minorHAnsi" w:hAnsiTheme="minorHAnsi" w:cstheme="minorHAnsi"/>
                <w:color w:val="A6A6A6" w:themeColor="background1" w:themeShade="A6"/>
                <w:sz w:val="20"/>
                <w:szCs w:val="20"/>
              </w:rPr>
            </w:pPr>
          </w:p>
        </w:tc>
        <w:tc>
          <w:tcPr>
            <w:tcW w:w="1102" w:type="pct"/>
            <w:shd w:val="clear" w:color="auto" w:fill="F7CAAC" w:themeFill="accent2" w:themeFillTint="66"/>
          </w:tcPr>
          <w:p w14:paraId="3B5DDFD9" w14:textId="77777777" w:rsidR="006F000C" w:rsidRDefault="006F000C" w:rsidP="00FE7E4F">
            <w:pPr>
              <w:spacing w:after="0" w:line="240" w:lineRule="auto"/>
              <w:rPr>
                <w:rFonts w:asciiTheme="minorHAnsi" w:hAnsiTheme="minorHAnsi" w:cstheme="minorHAnsi"/>
                <w:sz w:val="20"/>
                <w:szCs w:val="20"/>
              </w:rPr>
            </w:pPr>
            <w:r>
              <w:rPr>
                <w:rFonts w:asciiTheme="minorHAnsi" w:hAnsiTheme="minorHAnsi" w:cstheme="minorHAnsi"/>
                <w:sz w:val="20"/>
                <w:szCs w:val="20"/>
              </w:rPr>
              <w:lastRenderedPageBreak/>
              <w:t>Ze stavebních prvků a materiálů použitých při stavbě, které mohou přijít do styku s uživateli</w:t>
            </w:r>
            <w:r>
              <w:rPr>
                <w:rFonts w:asciiTheme="minorHAnsi" w:hAnsiTheme="minorHAnsi" w:cstheme="minorHAnsi"/>
                <w:sz w:val="20"/>
                <w:szCs w:val="20"/>
                <w:vertAlign w:val="superscript"/>
              </w:rPr>
              <w:footnoteReference w:id="149"/>
            </w:r>
            <w:r>
              <w:rPr>
                <w:rFonts w:asciiTheme="minorHAnsi" w:hAnsiTheme="minorHAnsi" w:cstheme="minorHAnsi"/>
                <w:sz w:val="20"/>
                <w:szCs w:val="20"/>
              </w:rPr>
              <w:t xml:space="preserve">, se při zkouškách </w:t>
            </w:r>
            <w:r>
              <w:rPr>
                <w:rFonts w:asciiTheme="minorHAnsi" w:hAnsiTheme="minorHAnsi" w:cstheme="minorHAnsi"/>
                <w:sz w:val="20"/>
                <w:szCs w:val="20"/>
              </w:rPr>
              <w:lastRenderedPageBreak/>
              <w:t>v souladu s podmínkami uvedenými v příloze XVII nařízení (ES) č. 1907/2006 uvolňuje méně než 0,06 mg formaldehydu na m³ materiálu nebo prvku a při zkouškách podle normy CEN/EN 16516</w:t>
            </w:r>
            <w:r>
              <w:rPr>
                <w:rFonts w:asciiTheme="minorHAnsi" w:hAnsiTheme="minorHAnsi" w:cstheme="minorHAnsi"/>
                <w:sz w:val="20"/>
                <w:szCs w:val="20"/>
                <w:vertAlign w:val="superscript"/>
              </w:rPr>
              <w:footnoteReference w:id="150"/>
            </w:r>
            <w:r>
              <w:rPr>
                <w:rFonts w:asciiTheme="minorHAnsi" w:hAnsiTheme="minorHAnsi" w:cstheme="minorHAnsi"/>
                <w:sz w:val="20"/>
                <w:szCs w:val="20"/>
              </w:rPr>
              <w:t xml:space="preserve"> a ISO 16000-3:2011</w:t>
            </w:r>
            <w:r>
              <w:rPr>
                <w:rFonts w:asciiTheme="minorHAnsi" w:hAnsiTheme="minorHAnsi" w:cstheme="minorHAnsi"/>
                <w:sz w:val="20"/>
                <w:szCs w:val="20"/>
                <w:vertAlign w:val="superscript"/>
              </w:rPr>
              <w:footnoteReference w:id="151"/>
            </w:r>
            <w:r>
              <w:rPr>
                <w:rFonts w:asciiTheme="minorHAnsi" w:hAnsiTheme="minorHAnsi" w:cstheme="minorHAnsi"/>
                <w:sz w:val="20"/>
                <w:szCs w:val="20"/>
              </w:rPr>
              <w:t xml:space="preserve"> nebo jiných srovnatelných standardizovaných zkušebních podmínek a metod stanovení</w:t>
            </w:r>
            <w:r>
              <w:rPr>
                <w:rFonts w:asciiTheme="minorHAnsi" w:hAnsiTheme="minorHAnsi" w:cstheme="minorHAnsi"/>
                <w:sz w:val="20"/>
                <w:szCs w:val="20"/>
                <w:vertAlign w:val="superscript"/>
              </w:rPr>
              <w:footnoteReference w:id="152"/>
            </w:r>
            <w:r>
              <w:rPr>
                <w:rFonts w:asciiTheme="minorHAnsi" w:hAnsiTheme="minorHAnsi" w:cstheme="minorHAnsi"/>
                <w:sz w:val="20"/>
                <w:szCs w:val="20"/>
              </w:rPr>
              <w:t xml:space="preserve"> méně než 0,001 mg jiných karcinogenních těkavých organických sloučenin kategorie 1A a 1B na m³ materiálu nebo prvku. </w:t>
            </w:r>
          </w:p>
          <w:p w14:paraId="1B614E58" w14:textId="77777777" w:rsidR="006F000C" w:rsidRDefault="006F000C" w:rsidP="00FE7E4F">
            <w:pPr>
              <w:spacing w:after="0" w:line="240" w:lineRule="auto"/>
              <w:rPr>
                <w:rFonts w:asciiTheme="minorHAnsi" w:hAnsiTheme="minorHAnsi" w:cstheme="minorHAnsi"/>
                <w:sz w:val="20"/>
                <w:szCs w:val="20"/>
              </w:rPr>
            </w:pPr>
          </w:p>
          <w:p w14:paraId="7F073685" w14:textId="77777777" w:rsidR="006F000C" w:rsidRDefault="006F000C" w:rsidP="00FE7E4F">
            <w:pPr>
              <w:spacing w:after="0" w:line="240" w:lineRule="auto"/>
              <w:rPr>
                <w:rFonts w:asciiTheme="minorHAnsi" w:hAnsiTheme="minorHAnsi" w:cstheme="minorHAnsi"/>
                <w:color w:val="A6A6A6" w:themeColor="background1" w:themeShade="A6"/>
                <w:sz w:val="20"/>
                <w:szCs w:val="20"/>
              </w:rPr>
            </w:pPr>
            <w:r>
              <w:rPr>
                <w:rFonts w:asciiTheme="minorHAnsi" w:hAnsiTheme="minorHAnsi" w:cstheme="minorHAnsi"/>
                <w:b/>
                <w:i/>
                <w:sz w:val="20"/>
                <w:szCs w:val="20"/>
              </w:rPr>
              <w:t>Tyto podmínky jsou přímo podmínkami DNSH dle přílohy I a přílohy II nařízení EU 2021/2139 a jsou tímto ve fondech splněny</w:t>
            </w:r>
          </w:p>
        </w:tc>
      </w:tr>
      <w:tr w:rsidR="006F000C" w14:paraId="7682C25A" w14:textId="77777777" w:rsidTr="00FE7E4F">
        <w:tc>
          <w:tcPr>
            <w:tcW w:w="570" w:type="pct"/>
            <w:vMerge/>
            <w:shd w:val="clear" w:color="auto" w:fill="F7CAAC" w:themeFill="accent2" w:themeFillTint="66"/>
          </w:tcPr>
          <w:p w14:paraId="313DAFB9" w14:textId="77777777" w:rsidR="006F000C" w:rsidRDefault="006F000C" w:rsidP="00FE7E4F">
            <w:pPr>
              <w:spacing w:after="0" w:line="240" w:lineRule="auto"/>
              <w:rPr>
                <w:rFonts w:asciiTheme="minorHAnsi" w:hAnsiTheme="minorHAnsi" w:cstheme="minorHAnsi"/>
                <w:b/>
                <w:sz w:val="20"/>
                <w:szCs w:val="20"/>
              </w:rPr>
            </w:pPr>
          </w:p>
        </w:tc>
        <w:tc>
          <w:tcPr>
            <w:tcW w:w="1150" w:type="pct"/>
            <w:shd w:val="clear" w:color="auto" w:fill="F7CAAC" w:themeFill="accent2" w:themeFillTint="66"/>
          </w:tcPr>
          <w:p w14:paraId="41021572" w14:textId="0AC37F57" w:rsidR="006F000C" w:rsidRPr="009B4AE3" w:rsidRDefault="006F000C" w:rsidP="00FE7E4F">
            <w:pPr>
              <w:spacing w:after="0" w:line="240" w:lineRule="auto"/>
              <w:rPr>
                <w:rFonts w:asciiTheme="minorHAnsi" w:hAnsiTheme="minorHAnsi" w:cstheme="minorHAnsi"/>
                <w:bCs/>
                <w:sz w:val="20"/>
                <w:szCs w:val="20"/>
              </w:rPr>
            </w:pPr>
            <w:r w:rsidRPr="009B4AE3">
              <w:rPr>
                <w:rFonts w:asciiTheme="minorHAnsi" w:hAnsiTheme="minorHAnsi" w:cstheme="minorHAnsi"/>
                <w:bCs/>
                <w:sz w:val="20"/>
                <w:szCs w:val="20"/>
              </w:rPr>
              <w:t xml:space="preserve">Pokud se budova nachází v kontaminované nebo potenciálně kontaminované lokalitě </w:t>
            </w:r>
            <w:r w:rsidR="00970926">
              <w:rPr>
                <w:rFonts w:asciiTheme="minorHAnsi" w:hAnsiTheme="minorHAnsi" w:cstheme="minorHAnsi"/>
                <w:bCs/>
                <w:sz w:val="20"/>
                <w:szCs w:val="20"/>
              </w:rPr>
              <w:t>evidované v databázi SEKM</w:t>
            </w:r>
            <w:r w:rsidRPr="009B4AE3">
              <w:rPr>
                <w:rFonts w:asciiTheme="minorHAnsi" w:hAnsiTheme="minorHAnsi" w:cstheme="minorHAnsi"/>
                <w:bCs/>
                <w:sz w:val="20"/>
                <w:szCs w:val="20"/>
              </w:rPr>
              <w:t xml:space="preserve">, bude lokalita nejprve prozkoumána </w:t>
            </w:r>
            <w:r>
              <w:rPr>
                <w:rFonts w:asciiTheme="minorHAnsi" w:hAnsiTheme="minorHAnsi" w:cstheme="minorHAnsi"/>
                <w:bCs/>
                <w:sz w:val="20"/>
                <w:szCs w:val="20"/>
              </w:rPr>
              <w:t xml:space="preserve">ekologickým auditem nebo </w:t>
            </w:r>
            <w:r w:rsidRPr="009B4AE3">
              <w:rPr>
                <w:rFonts w:asciiTheme="minorHAnsi" w:hAnsiTheme="minorHAnsi" w:cstheme="minorHAnsi"/>
                <w:bCs/>
                <w:sz w:val="20"/>
                <w:szCs w:val="20"/>
              </w:rPr>
              <w:t>analýzou rizik dle příslušných metodických pokynů MŽP</w:t>
            </w:r>
            <w:r>
              <w:rPr>
                <w:rFonts w:asciiTheme="minorHAnsi" w:hAnsiTheme="minorHAnsi" w:cstheme="minorHAnsi"/>
                <w:bCs/>
                <w:sz w:val="20"/>
                <w:szCs w:val="20"/>
              </w:rPr>
              <w:t>. Pokud jsou zjištěna rizika</w:t>
            </w:r>
            <w:r w:rsidRPr="009B4AE3">
              <w:rPr>
                <w:rFonts w:asciiTheme="minorHAnsi" w:hAnsiTheme="minorHAnsi" w:cstheme="minorHAnsi"/>
                <w:bCs/>
                <w:sz w:val="20"/>
                <w:szCs w:val="20"/>
              </w:rPr>
              <w:t xml:space="preserve"> musí další postup (stavební záměr) respektovat výsledky a doporučení analýzy rizik.</w:t>
            </w:r>
          </w:p>
          <w:p w14:paraId="405CAD45" w14:textId="77777777" w:rsidR="006F000C" w:rsidRDefault="006F000C" w:rsidP="00FE7E4F">
            <w:pPr>
              <w:spacing w:after="0" w:line="240" w:lineRule="auto"/>
              <w:rPr>
                <w:rFonts w:asciiTheme="minorHAnsi" w:hAnsiTheme="minorHAnsi" w:cstheme="minorHAnsi"/>
                <w:sz w:val="20"/>
                <w:szCs w:val="20"/>
              </w:rPr>
            </w:pPr>
          </w:p>
        </w:tc>
        <w:tc>
          <w:tcPr>
            <w:tcW w:w="1114" w:type="pct"/>
            <w:shd w:val="clear" w:color="auto" w:fill="F7CAAC" w:themeFill="accent2" w:themeFillTint="66"/>
          </w:tcPr>
          <w:p w14:paraId="5444FCA9" w14:textId="2F2DA594" w:rsidR="006F000C" w:rsidRDefault="006F000C" w:rsidP="00FE7E4F">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Nastavení podmínek podpory, pro projekty, které by se nacházely v lokalitách </w:t>
            </w:r>
            <w:r>
              <w:rPr>
                <w:rFonts w:asciiTheme="minorHAnsi" w:hAnsiTheme="minorHAnsi" w:cstheme="minorHAnsi"/>
                <w:bCs/>
                <w:sz w:val="20"/>
                <w:szCs w:val="20"/>
              </w:rPr>
              <w:t>evidovaných v databázi SEKM je nutné první provést ekologický audit a dle jeho výstupů provést opatření před vlastní realizací nového záměru</w:t>
            </w:r>
            <w:r>
              <w:rPr>
                <w:rFonts w:asciiTheme="minorHAnsi" w:hAnsiTheme="minorHAnsi" w:cstheme="minorHAnsi"/>
                <w:sz w:val="20"/>
                <w:szCs w:val="20"/>
              </w:rPr>
              <w:t xml:space="preserve">. Výstupy ekologického auditu a provedená opatření je nutné zanést do databáze SEKM v souladu s </w:t>
            </w:r>
            <w:r w:rsidRPr="005C25D7">
              <w:rPr>
                <w:rFonts w:asciiTheme="minorHAnsi" w:hAnsiTheme="minorHAnsi" w:cstheme="minorHAnsi"/>
                <w:sz w:val="20"/>
                <w:szCs w:val="20"/>
              </w:rPr>
              <w:t>vyhlášk</w:t>
            </w:r>
            <w:r>
              <w:rPr>
                <w:rFonts w:asciiTheme="minorHAnsi" w:hAnsiTheme="minorHAnsi" w:cstheme="minorHAnsi"/>
                <w:sz w:val="20"/>
                <w:szCs w:val="20"/>
              </w:rPr>
              <w:t>ou</w:t>
            </w:r>
            <w:r w:rsidRPr="005C25D7">
              <w:rPr>
                <w:rFonts w:asciiTheme="minorHAnsi" w:hAnsiTheme="minorHAnsi" w:cstheme="minorHAnsi"/>
                <w:sz w:val="20"/>
                <w:szCs w:val="20"/>
              </w:rPr>
              <w:t xml:space="preserve"> </w:t>
            </w:r>
            <w:r>
              <w:rPr>
                <w:rFonts w:asciiTheme="minorHAnsi" w:hAnsiTheme="minorHAnsi" w:cstheme="minorHAnsi"/>
                <w:sz w:val="20"/>
                <w:szCs w:val="20"/>
              </w:rPr>
              <w:t xml:space="preserve">č. </w:t>
            </w:r>
            <w:r w:rsidRPr="005C25D7">
              <w:rPr>
                <w:rFonts w:asciiTheme="minorHAnsi" w:hAnsiTheme="minorHAnsi" w:cstheme="minorHAnsi"/>
                <w:sz w:val="20"/>
                <w:szCs w:val="20"/>
              </w:rPr>
              <w:t xml:space="preserve">369/2004 Sb. </w:t>
            </w:r>
            <w:r>
              <w:rPr>
                <w:rFonts w:asciiTheme="minorHAnsi" w:hAnsiTheme="minorHAnsi" w:cstheme="minorHAnsi"/>
                <w:sz w:val="20"/>
                <w:szCs w:val="20"/>
              </w:rPr>
              <w:t xml:space="preserve">o </w:t>
            </w:r>
            <w:r w:rsidRPr="005C25D7">
              <w:rPr>
                <w:rFonts w:asciiTheme="minorHAnsi" w:hAnsiTheme="minorHAnsi" w:cstheme="minorHAnsi"/>
                <w:sz w:val="20"/>
                <w:szCs w:val="20"/>
              </w:rPr>
              <w:t>geologických pracích</w:t>
            </w:r>
            <w:r>
              <w:rPr>
                <w:rFonts w:asciiTheme="minorHAnsi" w:hAnsiTheme="minorHAnsi" w:cstheme="minorHAnsi"/>
                <w:sz w:val="20"/>
                <w:szCs w:val="20"/>
              </w:rPr>
              <w:t>.</w:t>
            </w:r>
          </w:p>
        </w:tc>
        <w:tc>
          <w:tcPr>
            <w:tcW w:w="1064" w:type="pct"/>
            <w:shd w:val="clear" w:color="auto" w:fill="F7CAAC" w:themeFill="accent2" w:themeFillTint="66"/>
          </w:tcPr>
          <w:p w14:paraId="759DD328" w14:textId="77777777" w:rsidR="006F000C" w:rsidRDefault="006F000C" w:rsidP="00FE7E4F">
            <w:pPr>
              <w:spacing w:after="0" w:line="240" w:lineRule="auto"/>
              <w:rPr>
                <w:rFonts w:asciiTheme="minorHAnsi" w:hAnsiTheme="minorHAnsi" w:cstheme="minorHAnsi"/>
                <w:sz w:val="20"/>
                <w:szCs w:val="20"/>
              </w:rPr>
            </w:pPr>
            <w:r>
              <w:rPr>
                <w:rFonts w:asciiTheme="minorHAnsi" w:hAnsiTheme="minorHAnsi" w:cstheme="minorHAnsi"/>
                <w:sz w:val="20"/>
                <w:szCs w:val="20"/>
              </w:rPr>
              <w:t>Doložit formulářem Systému evidence kontaminovaných míst</w:t>
            </w:r>
            <w:r>
              <w:rPr>
                <w:rStyle w:val="Znakapoznpodarou"/>
                <w:rFonts w:asciiTheme="minorHAnsi" w:hAnsiTheme="minorHAnsi" w:cstheme="minorHAnsi"/>
                <w:sz w:val="20"/>
                <w:szCs w:val="20"/>
              </w:rPr>
              <w:footnoteReference w:id="153"/>
            </w:r>
            <w:r>
              <w:rPr>
                <w:rFonts w:asciiTheme="minorHAnsi" w:hAnsiTheme="minorHAnsi" w:cstheme="minorHAnsi"/>
                <w:sz w:val="20"/>
                <w:szCs w:val="20"/>
              </w:rPr>
              <w:t xml:space="preserve">, případně stanoviskem Odboru environmentálních rizik a ekologických škod MŽP. </w:t>
            </w:r>
          </w:p>
        </w:tc>
        <w:tc>
          <w:tcPr>
            <w:tcW w:w="1102" w:type="pct"/>
            <w:shd w:val="clear" w:color="auto" w:fill="F7CAAC" w:themeFill="accent2" w:themeFillTint="66"/>
          </w:tcPr>
          <w:p w14:paraId="42BA97B9" w14:textId="4B968C06" w:rsidR="006F000C" w:rsidRDefault="00EB0DCB" w:rsidP="00FE7E4F">
            <w:pPr>
              <w:spacing w:after="0" w:line="240" w:lineRule="auto"/>
              <w:rPr>
                <w:rFonts w:asciiTheme="minorHAnsi" w:hAnsiTheme="minorHAnsi" w:cstheme="minorHAnsi"/>
                <w:sz w:val="20"/>
                <w:szCs w:val="20"/>
              </w:rPr>
            </w:pPr>
            <w:r w:rsidRPr="00EB0DCB">
              <w:rPr>
                <w:rFonts w:asciiTheme="minorHAnsi" w:hAnsiTheme="minorHAnsi" w:cstheme="minorHAnsi"/>
                <w:sz w:val="20"/>
                <w:szCs w:val="20"/>
              </w:rPr>
              <w:t>Pokud je nová stavba umístěna na potenciálně kontaminovaném místě (brownfield), bylo na staveništi provedeno šetření na potenciální kontaminující látky, například podle normy ISO 18400</w:t>
            </w:r>
            <w:r w:rsidR="00FB2A0F">
              <w:rPr>
                <w:rFonts w:asciiTheme="minorHAnsi" w:hAnsiTheme="minorHAnsi" w:cstheme="minorHAnsi"/>
                <w:sz w:val="20"/>
                <w:szCs w:val="20"/>
              </w:rPr>
              <w:t xml:space="preserve"> </w:t>
            </w:r>
            <w:r w:rsidRPr="00EB0DCB">
              <w:rPr>
                <w:rFonts w:asciiTheme="minorHAnsi" w:hAnsiTheme="minorHAnsi" w:cstheme="minorHAnsi"/>
                <w:sz w:val="20"/>
                <w:szCs w:val="20"/>
              </w:rPr>
              <w:t>série Kvalita půdy – Odběr vzorků</w:t>
            </w:r>
            <w:r w:rsidR="006F000C">
              <w:rPr>
                <w:rFonts w:asciiTheme="minorHAnsi" w:hAnsiTheme="minorHAnsi" w:cstheme="minorHAnsi"/>
                <w:sz w:val="20"/>
                <w:szCs w:val="20"/>
              </w:rPr>
              <w:t>.</w:t>
            </w:r>
          </w:p>
          <w:p w14:paraId="0B5B6728" w14:textId="77777777" w:rsidR="006F000C" w:rsidRDefault="006F000C" w:rsidP="00FE7E4F">
            <w:pPr>
              <w:spacing w:after="0" w:line="240" w:lineRule="auto"/>
              <w:rPr>
                <w:rFonts w:asciiTheme="minorHAnsi" w:hAnsiTheme="minorHAnsi" w:cstheme="minorHAnsi"/>
                <w:sz w:val="20"/>
                <w:szCs w:val="20"/>
              </w:rPr>
            </w:pPr>
          </w:p>
          <w:p w14:paraId="4C911FEE" w14:textId="21E9E3A5" w:rsidR="006F000C" w:rsidRDefault="006F000C" w:rsidP="00FE7E4F">
            <w:pPr>
              <w:spacing w:after="0" w:line="240" w:lineRule="auto"/>
              <w:rPr>
                <w:rFonts w:asciiTheme="minorHAnsi" w:hAnsiTheme="minorHAnsi" w:cstheme="minorHAnsi"/>
                <w:sz w:val="20"/>
                <w:szCs w:val="20"/>
              </w:rPr>
            </w:pPr>
            <w:r>
              <w:rPr>
                <w:rFonts w:asciiTheme="minorHAnsi" w:hAnsiTheme="minorHAnsi" w:cstheme="minorHAnsi"/>
                <w:b/>
                <w:i/>
                <w:sz w:val="20"/>
                <w:szCs w:val="20"/>
              </w:rPr>
              <w:t xml:space="preserve">Podmínky </w:t>
            </w:r>
            <w:r w:rsidR="00EB0DCB">
              <w:rPr>
                <w:rFonts w:asciiTheme="minorHAnsi" w:hAnsiTheme="minorHAnsi" w:cstheme="minorHAnsi"/>
                <w:b/>
                <w:i/>
                <w:sz w:val="20"/>
                <w:szCs w:val="20"/>
              </w:rPr>
              <w:t xml:space="preserve">naplňují </w:t>
            </w:r>
            <w:r>
              <w:rPr>
                <w:rFonts w:asciiTheme="minorHAnsi" w:hAnsiTheme="minorHAnsi" w:cstheme="minorHAnsi"/>
                <w:b/>
                <w:i/>
                <w:sz w:val="20"/>
                <w:szCs w:val="20"/>
              </w:rPr>
              <w:t>podmínk</w:t>
            </w:r>
            <w:r w:rsidR="00EB0DCB">
              <w:rPr>
                <w:rFonts w:asciiTheme="minorHAnsi" w:hAnsiTheme="minorHAnsi" w:cstheme="minorHAnsi"/>
                <w:b/>
                <w:i/>
                <w:sz w:val="20"/>
                <w:szCs w:val="20"/>
              </w:rPr>
              <w:t>y</w:t>
            </w:r>
            <w:r>
              <w:rPr>
                <w:rFonts w:asciiTheme="minorHAnsi" w:hAnsiTheme="minorHAnsi" w:cstheme="minorHAnsi"/>
                <w:b/>
                <w:i/>
                <w:sz w:val="20"/>
                <w:szCs w:val="20"/>
              </w:rPr>
              <w:t xml:space="preserve"> DNSH dle přílohy I a přílohy II nařízení EU 2021/2139 a jsou tímto ve fondech splněny za předpokladu jejich splnění na úrovni individuálního projektu</w:t>
            </w:r>
          </w:p>
        </w:tc>
      </w:tr>
      <w:tr w:rsidR="006F000C" w14:paraId="7FC2E8E8" w14:textId="77777777" w:rsidTr="00FE7E4F">
        <w:tc>
          <w:tcPr>
            <w:tcW w:w="570" w:type="pct"/>
            <w:vMerge/>
            <w:shd w:val="clear" w:color="auto" w:fill="F7CAAC" w:themeFill="accent2" w:themeFillTint="66"/>
          </w:tcPr>
          <w:p w14:paraId="1166EF2F" w14:textId="77777777" w:rsidR="006F000C" w:rsidRDefault="006F000C" w:rsidP="00FE7E4F">
            <w:pPr>
              <w:spacing w:after="0" w:line="240" w:lineRule="auto"/>
              <w:rPr>
                <w:rFonts w:asciiTheme="minorHAnsi" w:hAnsiTheme="minorHAnsi" w:cstheme="minorHAnsi"/>
                <w:b/>
                <w:sz w:val="20"/>
                <w:szCs w:val="20"/>
              </w:rPr>
            </w:pPr>
          </w:p>
        </w:tc>
        <w:tc>
          <w:tcPr>
            <w:tcW w:w="1150" w:type="pct"/>
            <w:shd w:val="clear" w:color="auto" w:fill="F7CAAC" w:themeFill="accent2" w:themeFillTint="66"/>
          </w:tcPr>
          <w:p w14:paraId="34F2948C" w14:textId="77777777" w:rsidR="006F000C" w:rsidRDefault="006F000C" w:rsidP="00FE7E4F">
            <w:pPr>
              <w:spacing w:after="0" w:line="240" w:lineRule="auto"/>
              <w:rPr>
                <w:rFonts w:asciiTheme="minorHAnsi" w:hAnsiTheme="minorHAnsi" w:cstheme="minorHAnsi"/>
                <w:color w:val="A6A6A6" w:themeColor="background1" w:themeShade="A6"/>
                <w:sz w:val="20"/>
                <w:szCs w:val="20"/>
              </w:rPr>
            </w:pPr>
            <w:r>
              <w:rPr>
                <w:rFonts w:asciiTheme="minorHAnsi" w:hAnsiTheme="minorHAnsi" w:cstheme="minorHAnsi"/>
                <w:color w:val="A6A6A6" w:themeColor="background1" w:themeShade="A6"/>
                <w:sz w:val="20"/>
                <w:szCs w:val="20"/>
              </w:rPr>
              <w:t>Přijímají se opatření ke snížení hluku, prachu a emisí znečišťujících látek při stavebních nebo údržbářských pracích.</w:t>
            </w:r>
          </w:p>
        </w:tc>
        <w:tc>
          <w:tcPr>
            <w:tcW w:w="1114" w:type="pct"/>
            <w:shd w:val="clear" w:color="auto" w:fill="F7CAAC" w:themeFill="accent2" w:themeFillTint="66"/>
          </w:tcPr>
          <w:p w14:paraId="77C3C376" w14:textId="77777777" w:rsidR="006F000C" w:rsidRDefault="006F000C" w:rsidP="00FE7E4F">
            <w:pPr>
              <w:spacing w:after="0" w:line="240" w:lineRule="auto"/>
              <w:rPr>
                <w:rFonts w:asciiTheme="minorHAnsi" w:hAnsiTheme="minorHAnsi" w:cstheme="minorHAnsi"/>
                <w:color w:val="A6A6A6" w:themeColor="background1" w:themeShade="A6"/>
                <w:sz w:val="20"/>
                <w:szCs w:val="20"/>
              </w:rPr>
            </w:pPr>
            <w:r>
              <w:rPr>
                <w:rFonts w:asciiTheme="minorHAnsi" w:hAnsiTheme="minorHAnsi" w:cstheme="minorHAnsi"/>
                <w:color w:val="A6A6A6" w:themeColor="background1" w:themeShade="A6"/>
                <w:sz w:val="20"/>
                <w:szCs w:val="20"/>
              </w:rPr>
              <w:t>Legislativní požadavek.</w:t>
            </w:r>
          </w:p>
          <w:p w14:paraId="2FCDD57F" w14:textId="77777777" w:rsidR="006F000C" w:rsidRDefault="006F000C" w:rsidP="00FE7E4F">
            <w:pPr>
              <w:spacing w:after="0" w:line="240" w:lineRule="auto"/>
              <w:rPr>
                <w:rFonts w:asciiTheme="minorHAnsi" w:hAnsiTheme="minorHAnsi" w:cstheme="minorHAnsi"/>
                <w:color w:val="A6A6A6" w:themeColor="background1" w:themeShade="A6"/>
                <w:sz w:val="20"/>
                <w:szCs w:val="20"/>
              </w:rPr>
            </w:pPr>
          </w:p>
          <w:p w14:paraId="7FBD0F02" w14:textId="1C0BD329" w:rsidR="006F000C" w:rsidRDefault="006F000C" w:rsidP="00FE7E4F">
            <w:pPr>
              <w:spacing w:after="0" w:line="240" w:lineRule="auto"/>
              <w:rPr>
                <w:rFonts w:asciiTheme="minorHAnsi" w:hAnsiTheme="minorHAnsi" w:cstheme="minorHAnsi"/>
                <w:sz w:val="20"/>
                <w:szCs w:val="20"/>
              </w:rPr>
            </w:pPr>
            <w:r>
              <w:rPr>
                <w:rFonts w:asciiTheme="minorHAnsi" w:hAnsiTheme="minorHAnsi" w:cstheme="minorHAnsi"/>
                <w:sz w:val="20"/>
                <w:szCs w:val="20"/>
              </w:rPr>
              <w:t>Poučit žadatele o vhodných postupech viz</w:t>
            </w:r>
          </w:p>
          <w:p w14:paraId="53AD252F" w14:textId="3E0D0F5D" w:rsidR="006F000C" w:rsidRPr="00ED5B33" w:rsidRDefault="006F000C" w:rsidP="00FE7E4F">
            <w:pPr>
              <w:pStyle w:val="Odstavecseseznamem"/>
              <w:numPr>
                <w:ilvl w:val="0"/>
                <w:numId w:val="63"/>
              </w:numPr>
              <w:spacing w:after="0" w:line="240" w:lineRule="auto"/>
              <w:rPr>
                <w:rFonts w:cstheme="minorHAnsi"/>
                <w:sz w:val="20"/>
                <w:szCs w:val="20"/>
              </w:rPr>
            </w:pPr>
            <w:r w:rsidRPr="00BF3921">
              <w:rPr>
                <w:rFonts w:asciiTheme="minorHAnsi" w:hAnsiTheme="minorHAnsi" w:cstheme="minorHAnsi"/>
                <w:sz w:val="20"/>
                <w:szCs w:val="20"/>
              </w:rPr>
              <w:t xml:space="preserve">Katalog doporučených opatření k omezení emisí ze stavebních strojů a z dalších stavebních činností </w:t>
            </w:r>
            <w:r w:rsidRPr="00ED5B33">
              <w:rPr>
                <w:rFonts w:asciiTheme="minorHAnsi" w:hAnsiTheme="minorHAnsi" w:cstheme="minorHAnsi"/>
                <w:sz w:val="20"/>
                <w:szCs w:val="20"/>
              </w:rPr>
              <w:t>naleznete např. v Metodickém návodu Ministerstva životního prostředí</w:t>
            </w:r>
            <w:r w:rsidRPr="00ED5B33">
              <w:rPr>
                <w:rStyle w:val="Znakapoznpodarou"/>
                <w:rFonts w:asciiTheme="minorHAnsi" w:hAnsiTheme="minorHAnsi" w:cstheme="minorHAnsi"/>
                <w:sz w:val="20"/>
                <w:szCs w:val="20"/>
              </w:rPr>
              <w:footnoteReference w:id="154"/>
            </w:r>
            <w:r w:rsidRPr="00ED5B33">
              <w:rPr>
                <w:rFonts w:asciiTheme="minorHAnsi" w:hAnsiTheme="minorHAnsi" w:cstheme="minorHAnsi"/>
                <w:sz w:val="20"/>
                <w:szCs w:val="20"/>
              </w:rPr>
              <w:t>.</w:t>
            </w:r>
          </w:p>
          <w:p w14:paraId="2C2E8493" w14:textId="27CC8DD9" w:rsidR="006F000C" w:rsidRPr="00BF3921" w:rsidRDefault="006F000C" w:rsidP="00FE7E4F">
            <w:pPr>
              <w:pStyle w:val="Odstavecseseznamem"/>
              <w:numPr>
                <w:ilvl w:val="0"/>
                <w:numId w:val="63"/>
              </w:numPr>
              <w:spacing w:after="0" w:line="240" w:lineRule="auto"/>
              <w:rPr>
                <w:rFonts w:asciiTheme="minorHAnsi" w:hAnsiTheme="minorHAnsi" w:cstheme="minorHAnsi"/>
                <w:color w:val="A6A6A6" w:themeColor="background1" w:themeShade="A6"/>
                <w:sz w:val="18"/>
                <w:szCs w:val="18"/>
              </w:rPr>
            </w:pPr>
            <w:r w:rsidRPr="00ED5B33">
              <w:rPr>
                <w:rFonts w:cstheme="minorHAnsi"/>
                <w:sz w:val="18"/>
                <w:szCs w:val="18"/>
              </w:rPr>
              <w:t xml:space="preserve">Pro přehled nástrojů pro efektivní minimalizaci, hluku, prachu a emisí v průběhu výstavby doporučujeme </w:t>
            </w:r>
            <w:r>
              <w:rPr>
                <w:rFonts w:cstheme="minorHAnsi"/>
                <w:sz w:val="18"/>
                <w:szCs w:val="18"/>
              </w:rPr>
              <w:t xml:space="preserve">následovat </w:t>
            </w:r>
            <w:r w:rsidRPr="00ED5B33">
              <w:rPr>
                <w:rFonts w:cstheme="minorHAnsi"/>
                <w:sz w:val="18"/>
                <w:szCs w:val="18"/>
              </w:rPr>
              <w:t>Průvodce udržitelností a zásadou DNSH pro budovy</w:t>
            </w:r>
            <w:r w:rsidRPr="00ED5B33">
              <w:rPr>
                <w:rStyle w:val="Znakapoznpodarou"/>
                <w:rFonts w:cstheme="minorHAnsi"/>
                <w:sz w:val="18"/>
                <w:szCs w:val="18"/>
              </w:rPr>
              <w:footnoteReference w:id="155"/>
            </w:r>
            <w:r w:rsidRPr="00ED5B33">
              <w:rPr>
                <w:rFonts w:cstheme="minorHAnsi"/>
                <w:sz w:val="18"/>
                <w:szCs w:val="18"/>
              </w:rPr>
              <w:t>.</w:t>
            </w:r>
          </w:p>
        </w:tc>
        <w:tc>
          <w:tcPr>
            <w:tcW w:w="1064" w:type="pct"/>
            <w:shd w:val="clear" w:color="auto" w:fill="F7CAAC" w:themeFill="accent2" w:themeFillTint="66"/>
          </w:tcPr>
          <w:p w14:paraId="0FA0B4E0" w14:textId="77777777" w:rsidR="006F000C" w:rsidRDefault="006F000C" w:rsidP="00FE7E4F">
            <w:pPr>
              <w:spacing w:after="0" w:line="240" w:lineRule="auto"/>
              <w:rPr>
                <w:rFonts w:asciiTheme="minorHAnsi" w:hAnsiTheme="minorHAnsi" w:cstheme="minorHAnsi"/>
                <w:color w:val="A6A6A6" w:themeColor="background1" w:themeShade="A6"/>
                <w:sz w:val="20"/>
                <w:szCs w:val="20"/>
              </w:rPr>
            </w:pPr>
          </w:p>
        </w:tc>
        <w:tc>
          <w:tcPr>
            <w:tcW w:w="1102" w:type="pct"/>
            <w:shd w:val="clear" w:color="auto" w:fill="F7CAAC" w:themeFill="accent2" w:themeFillTint="66"/>
          </w:tcPr>
          <w:p w14:paraId="2347B511" w14:textId="77777777" w:rsidR="006F000C" w:rsidRDefault="006F000C" w:rsidP="00FE7E4F">
            <w:pPr>
              <w:spacing w:after="0" w:line="240" w:lineRule="auto"/>
              <w:rPr>
                <w:rFonts w:asciiTheme="minorHAnsi" w:hAnsiTheme="minorHAnsi" w:cstheme="minorHAnsi"/>
                <w:sz w:val="20"/>
                <w:szCs w:val="20"/>
              </w:rPr>
            </w:pPr>
            <w:r>
              <w:rPr>
                <w:rFonts w:asciiTheme="minorHAnsi" w:hAnsiTheme="minorHAnsi" w:cstheme="minorHAnsi"/>
                <w:sz w:val="20"/>
                <w:szCs w:val="20"/>
              </w:rPr>
              <w:t>Přijímají se opatření ke snížení hluku, prachu a emisí znečišťujících látek při stavebních nebo údržbářských pracích.</w:t>
            </w:r>
          </w:p>
          <w:p w14:paraId="10FA0FCA" w14:textId="77777777" w:rsidR="006F000C" w:rsidRDefault="006F000C" w:rsidP="00FE7E4F">
            <w:pPr>
              <w:spacing w:after="0" w:line="240" w:lineRule="auto"/>
              <w:rPr>
                <w:rFonts w:asciiTheme="minorHAnsi" w:hAnsiTheme="minorHAnsi" w:cstheme="minorHAnsi"/>
                <w:color w:val="A6A6A6" w:themeColor="background1" w:themeShade="A6"/>
                <w:sz w:val="20"/>
                <w:szCs w:val="20"/>
              </w:rPr>
            </w:pPr>
          </w:p>
          <w:p w14:paraId="643C7E37" w14:textId="77777777" w:rsidR="006F000C" w:rsidRDefault="006F000C" w:rsidP="00FE7E4F">
            <w:pPr>
              <w:spacing w:after="0" w:line="240" w:lineRule="auto"/>
              <w:rPr>
                <w:rFonts w:asciiTheme="minorHAnsi" w:hAnsiTheme="minorHAnsi" w:cstheme="minorHAnsi"/>
                <w:color w:val="A6A6A6" w:themeColor="background1" w:themeShade="A6"/>
                <w:sz w:val="20"/>
                <w:szCs w:val="20"/>
              </w:rPr>
            </w:pPr>
            <w:r>
              <w:rPr>
                <w:rFonts w:asciiTheme="minorHAnsi" w:hAnsiTheme="minorHAnsi" w:cstheme="minorHAnsi"/>
                <w:b/>
                <w:i/>
                <w:sz w:val="20"/>
                <w:szCs w:val="20"/>
              </w:rPr>
              <w:t>Podmínky jsou přímo podmínkami DNSH dle přílohy I a přílohy II nařízení EU 2021/2139 a jsou tímto ve fondech splněny</w:t>
            </w:r>
          </w:p>
        </w:tc>
      </w:tr>
      <w:tr w:rsidR="006F000C" w14:paraId="530DAFC4" w14:textId="77777777" w:rsidTr="00FE7E4F">
        <w:tc>
          <w:tcPr>
            <w:tcW w:w="570" w:type="pct"/>
            <w:vMerge/>
            <w:shd w:val="clear" w:color="auto" w:fill="F7CAAC" w:themeFill="accent2" w:themeFillTint="66"/>
          </w:tcPr>
          <w:p w14:paraId="3330DAAD" w14:textId="77777777" w:rsidR="006F000C" w:rsidRDefault="006F000C" w:rsidP="00FE7E4F">
            <w:pPr>
              <w:spacing w:after="0" w:line="240" w:lineRule="auto"/>
              <w:rPr>
                <w:rFonts w:asciiTheme="minorHAnsi" w:hAnsiTheme="minorHAnsi" w:cstheme="minorHAnsi"/>
                <w:b/>
                <w:sz w:val="20"/>
                <w:szCs w:val="20"/>
              </w:rPr>
            </w:pPr>
          </w:p>
        </w:tc>
        <w:tc>
          <w:tcPr>
            <w:tcW w:w="1150" w:type="pct"/>
            <w:shd w:val="clear" w:color="auto" w:fill="F7CAAC" w:themeFill="accent2" w:themeFillTint="66"/>
          </w:tcPr>
          <w:p w14:paraId="7441FDA1" w14:textId="161327F2" w:rsidR="006F000C" w:rsidRDefault="006F000C" w:rsidP="00FE7E4F">
            <w:pPr>
              <w:spacing w:after="0" w:line="240" w:lineRule="auto"/>
              <w:rPr>
                <w:rFonts w:asciiTheme="minorHAnsi" w:hAnsiTheme="minorHAnsi" w:cstheme="minorHAnsi"/>
                <w:color w:val="A6A6A6" w:themeColor="background1" w:themeShade="A6"/>
                <w:sz w:val="20"/>
                <w:szCs w:val="20"/>
              </w:rPr>
            </w:pPr>
            <w:r>
              <w:rPr>
                <w:rFonts w:asciiTheme="minorHAnsi" w:hAnsiTheme="minorHAnsi" w:cstheme="minorHAnsi"/>
                <w:bCs/>
                <w:sz w:val="20"/>
                <w:szCs w:val="20"/>
              </w:rPr>
              <w:t>Minimalizace negativního dopadu světelného znečištění na životní prostředí</w:t>
            </w:r>
          </w:p>
        </w:tc>
        <w:tc>
          <w:tcPr>
            <w:tcW w:w="1114" w:type="pct"/>
            <w:shd w:val="clear" w:color="auto" w:fill="F7CAAC" w:themeFill="accent2" w:themeFillTint="66"/>
          </w:tcPr>
          <w:p w14:paraId="5BBE4511" w14:textId="77777777" w:rsidR="006F000C" w:rsidRPr="00C35425" w:rsidRDefault="006F000C" w:rsidP="00FE7E4F">
            <w:pPr>
              <w:spacing w:after="0" w:line="240" w:lineRule="auto"/>
              <w:rPr>
                <w:rFonts w:asciiTheme="minorHAnsi" w:hAnsiTheme="minorHAnsi" w:cstheme="minorHAnsi"/>
                <w:sz w:val="20"/>
                <w:szCs w:val="20"/>
              </w:rPr>
            </w:pPr>
            <w:r w:rsidRPr="00C35425">
              <w:rPr>
                <w:rFonts w:asciiTheme="minorHAnsi" w:hAnsiTheme="minorHAnsi" w:cstheme="minorHAnsi"/>
                <w:sz w:val="20"/>
                <w:szCs w:val="20"/>
              </w:rPr>
              <w:t xml:space="preserve">Nastavení podmínek podpory. </w:t>
            </w:r>
          </w:p>
          <w:p w14:paraId="2D6C8A1F" w14:textId="77777777" w:rsidR="006F000C" w:rsidRPr="00C35425" w:rsidRDefault="006F000C" w:rsidP="00FE7E4F">
            <w:pPr>
              <w:spacing w:after="0" w:line="240" w:lineRule="auto"/>
              <w:rPr>
                <w:rFonts w:asciiTheme="minorHAnsi" w:hAnsiTheme="minorHAnsi" w:cstheme="minorHAnsi"/>
                <w:sz w:val="20"/>
                <w:szCs w:val="20"/>
              </w:rPr>
            </w:pPr>
          </w:p>
          <w:p w14:paraId="1C924377" w14:textId="77777777" w:rsidR="006F000C" w:rsidRDefault="006F000C" w:rsidP="00FE7E4F">
            <w:pPr>
              <w:pStyle w:val="Odstavecseseznamem"/>
              <w:numPr>
                <w:ilvl w:val="0"/>
                <w:numId w:val="31"/>
              </w:numPr>
              <w:spacing w:after="0" w:line="240" w:lineRule="auto"/>
              <w:rPr>
                <w:rFonts w:asciiTheme="minorHAnsi" w:hAnsiTheme="minorHAnsi" w:cstheme="minorHAnsi"/>
                <w:sz w:val="20"/>
                <w:szCs w:val="20"/>
              </w:rPr>
            </w:pPr>
            <w:r>
              <w:rPr>
                <w:rFonts w:asciiTheme="minorHAnsi" w:hAnsiTheme="minorHAnsi" w:cstheme="minorHAnsi"/>
                <w:sz w:val="20"/>
                <w:szCs w:val="20"/>
              </w:rPr>
              <w:t>P</w:t>
            </w:r>
            <w:r w:rsidRPr="001A199F">
              <w:rPr>
                <w:rFonts w:asciiTheme="minorHAnsi" w:hAnsiTheme="minorHAnsi" w:cstheme="minorHAnsi"/>
                <w:sz w:val="20"/>
                <w:szCs w:val="20"/>
              </w:rPr>
              <w:t>ři výměně či nové instalaci</w:t>
            </w:r>
            <w:r>
              <w:rPr>
                <w:rFonts w:asciiTheme="minorHAnsi" w:hAnsiTheme="minorHAnsi" w:cstheme="minorHAnsi"/>
                <w:sz w:val="20"/>
                <w:szCs w:val="20"/>
              </w:rPr>
              <w:t xml:space="preserve"> osvětlení</w:t>
            </w:r>
            <w:r w:rsidRPr="001A199F">
              <w:rPr>
                <w:rFonts w:asciiTheme="minorHAnsi" w:hAnsiTheme="minorHAnsi" w:cstheme="minorHAnsi"/>
                <w:sz w:val="20"/>
                <w:szCs w:val="20"/>
              </w:rPr>
              <w:t xml:space="preserve"> </w:t>
            </w:r>
            <w:r>
              <w:rPr>
                <w:rFonts w:asciiTheme="minorHAnsi" w:hAnsiTheme="minorHAnsi" w:cstheme="minorHAnsi"/>
                <w:sz w:val="20"/>
                <w:szCs w:val="20"/>
              </w:rPr>
              <w:t xml:space="preserve">je nutné </w:t>
            </w:r>
            <w:r w:rsidRPr="001A199F">
              <w:rPr>
                <w:rFonts w:asciiTheme="minorHAnsi" w:hAnsiTheme="minorHAnsi" w:cstheme="minorHAnsi"/>
                <w:sz w:val="20"/>
                <w:szCs w:val="20"/>
              </w:rPr>
              <w:t>vycházet</w:t>
            </w:r>
            <w:r>
              <w:rPr>
                <w:rFonts w:asciiTheme="minorHAnsi" w:hAnsiTheme="minorHAnsi" w:cstheme="minorHAnsi"/>
                <w:sz w:val="20"/>
                <w:szCs w:val="20"/>
              </w:rPr>
              <w:t xml:space="preserve"> z 5 principů zodpovědného osvětlování dle asociace </w:t>
            </w:r>
            <w:hyperlink r:id="rId138" w:history="1">
              <w:proofErr w:type="spellStart"/>
              <w:r w:rsidRPr="0005304B">
                <w:rPr>
                  <w:rStyle w:val="Hypertextovodkaz"/>
                  <w:rFonts w:asciiTheme="minorHAnsi" w:hAnsiTheme="minorHAnsi" w:cstheme="minorHAnsi"/>
                  <w:sz w:val="20"/>
                  <w:szCs w:val="20"/>
                </w:rPr>
                <w:t>DarkSky</w:t>
              </w:r>
              <w:proofErr w:type="spellEnd"/>
              <w:r w:rsidRPr="0005304B">
                <w:rPr>
                  <w:rStyle w:val="Hypertextovodkaz"/>
                  <w:rFonts w:asciiTheme="minorHAnsi" w:hAnsiTheme="minorHAnsi" w:cstheme="minorHAnsi"/>
                  <w:sz w:val="20"/>
                  <w:szCs w:val="20"/>
                </w:rPr>
                <w:t xml:space="preserve"> International</w:t>
              </w:r>
            </w:hyperlink>
            <w:r>
              <w:rPr>
                <w:rFonts w:asciiTheme="minorHAnsi" w:hAnsiTheme="minorHAnsi" w:cstheme="minorHAnsi"/>
                <w:sz w:val="20"/>
                <w:szCs w:val="20"/>
              </w:rPr>
              <w:t xml:space="preserve">. </w:t>
            </w:r>
          </w:p>
          <w:p w14:paraId="3BB20BD8" w14:textId="1B9039AA" w:rsidR="006F000C" w:rsidRPr="001A199F" w:rsidRDefault="009F131A" w:rsidP="00FE7E4F">
            <w:pPr>
              <w:pStyle w:val="Odstavecseseznamem"/>
              <w:numPr>
                <w:ilvl w:val="0"/>
                <w:numId w:val="59"/>
              </w:numPr>
              <w:spacing w:after="0" w:line="240" w:lineRule="auto"/>
              <w:rPr>
                <w:rFonts w:asciiTheme="minorHAnsi" w:hAnsiTheme="minorHAnsi" w:cstheme="minorHAnsi"/>
                <w:color w:val="A6A6A6" w:themeColor="background1" w:themeShade="A6"/>
                <w:sz w:val="20"/>
                <w:szCs w:val="20"/>
              </w:rPr>
            </w:pPr>
            <w:r w:rsidRPr="009F131A">
              <w:rPr>
                <w:rFonts w:asciiTheme="minorHAnsi" w:hAnsiTheme="minorHAnsi" w:cstheme="minorHAnsi"/>
                <w:sz w:val="20"/>
                <w:szCs w:val="20"/>
              </w:rPr>
              <w:t>Pro snížení negativního dopadu na životní prostředí, je nezbytné postupovat v souladu s technickou normou ČSN 360459 Omezování nežádoucích dopadů venkovního osvětlení a omezovat využití zdrojů s vysokým podílem krátkovlnného záření (do 500nm).</w:t>
            </w:r>
          </w:p>
        </w:tc>
        <w:tc>
          <w:tcPr>
            <w:tcW w:w="1064" w:type="pct"/>
            <w:shd w:val="clear" w:color="auto" w:fill="F7CAAC" w:themeFill="accent2" w:themeFillTint="66"/>
          </w:tcPr>
          <w:p w14:paraId="387D446C" w14:textId="0E07E87E" w:rsidR="006F000C" w:rsidRDefault="006F000C" w:rsidP="00FE7E4F">
            <w:pPr>
              <w:spacing w:after="0" w:line="240" w:lineRule="auto"/>
              <w:rPr>
                <w:rFonts w:asciiTheme="minorHAnsi" w:hAnsiTheme="minorHAnsi" w:cstheme="minorHAnsi"/>
                <w:color w:val="A6A6A6" w:themeColor="background1" w:themeShade="A6"/>
                <w:sz w:val="20"/>
                <w:szCs w:val="20"/>
              </w:rPr>
            </w:pPr>
            <w:r>
              <w:rPr>
                <w:rFonts w:asciiTheme="minorHAnsi" w:hAnsiTheme="minorHAnsi" w:cstheme="minorHAnsi"/>
                <w:sz w:val="20"/>
                <w:szCs w:val="20"/>
              </w:rPr>
              <w:t>V rámci žádosti o podporu vyžadovat čestné prohlášení o zapracování opatření k minimalizaci negativního dopadu světelného znečištění do projektové dokumentace a jejich provedení.</w:t>
            </w:r>
          </w:p>
        </w:tc>
        <w:tc>
          <w:tcPr>
            <w:tcW w:w="1102" w:type="pct"/>
            <w:shd w:val="clear" w:color="auto" w:fill="F7CAAC" w:themeFill="accent2" w:themeFillTint="66"/>
          </w:tcPr>
          <w:p w14:paraId="38B6ACBD" w14:textId="77777777" w:rsidR="006F000C" w:rsidRDefault="006F000C" w:rsidP="00FE7E4F">
            <w:pPr>
              <w:spacing w:after="0" w:line="240" w:lineRule="auto"/>
              <w:rPr>
                <w:rFonts w:asciiTheme="minorHAnsi" w:hAnsiTheme="minorHAnsi" w:cstheme="minorHAnsi"/>
                <w:sz w:val="20"/>
                <w:szCs w:val="20"/>
              </w:rPr>
            </w:pPr>
          </w:p>
        </w:tc>
      </w:tr>
      <w:tr w:rsidR="003A4B0B" w14:paraId="0EEA17BE" w14:textId="77777777" w:rsidTr="00FE7E4F">
        <w:tc>
          <w:tcPr>
            <w:tcW w:w="570" w:type="pct"/>
            <w:vMerge/>
            <w:shd w:val="clear" w:color="auto" w:fill="F7CAAC" w:themeFill="accent2" w:themeFillTint="66"/>
          </w:tcPr>
          <w:p w14:paraId="5D746C1F" w14:textId="77777777" w:rsidR="003A4B0B" w:rsidRDefault="003A4B0B" w:rsidP="003A4B0B">
            <w:pPr>
              <w:spacing w:after="0" w:line="240" w:lineRule="auto"/>
              <w:rPr>
                <w:rFonts w:asciiTheme="minorHAnsi" w:hAnsiTheme="minorHAnsi" w:cstheme="minorHAnsi"/>
                <w:b/>
                <w:sz w:val="20"/>
                <w:szCs w:val="20"/>
              </w:rPr>
            </w:pPr>
          </w:p>
        </w:tc>
        <w:tc>
          <w:tcPr>
            <w:tcW w:w="1150" w:type="pct"/>
            <w:shd w:val="clear" w:color="auto" w:fill="F7CAAC" w:themeFill="accent2" w:themeFillTint="66"/>
          </w:tcPr>
          <w:p w14:paraId="5664C537" w14:textId="4B3CA8A4" w:rsidR="003A4B0B" w:rsidRDefault="003A4B0B" w:rsidP="003A4B0B">
            <w:pPr>
              <w:spacing w:after="0" w:line="240" w:lineRule="auto"/>
              <w:rPr>
                <w:rFonts w:asciiTheme="minorHAnsi" w:hAnsiTheme="minorHAnsi" w:cstheme="minorHAnsi"/>
                <w:bCs/>
                <w:sz w:val="20"/>
                <w:szCs w:val="20"/>
              </w:rPr>
            </w:pPr>
            <w:r w:rsidRPr="006A45B6">
              <w:rPr>
                <w:rFonts w:asciiTheme="minorHAnsi" w:hAnsiTheme="minorHAnsi" w:cstheme="minorHAnsi"/>
                <w:bCs/>
                <w:sz w:val="20"/>
                <w:szCs w:val="20"/>
              </w:rPr>
              <w:t xml:space="preserve">Omezení využívání látek vzbuzujících mimořádné obavy (SVHC) (viz </w:t>
            </w:r>
            <w:hyperlink r:id="rId139" w:history="1">
              <w:r w:rsidRPr="006A45B6">
                <w:rPr>
                  <w:rStyle w:val="Hypertextovodkaz"/>
                  <w:rFonts w:asciiTheme="minorHAnsi" w:hAnsiTheme="minorHAnsi" w:cstheme="minorHAnsi"/>
                  <w:bCs/>
                  <w:sz w:val="20"/>
                  <w:szCs w:val="20"/>
                </w:rPr>
                <w:t xml:space="preserve">Seznam látek vzbuzujících mimořádné obavy podléhajících </w:t>
              </w:r>
              <w:proofErr w:type="gramStart"/>
              <w:r w:rsidRPr="006A45B6">
                <w:rPr>
                  <w:rStyle w:val="Hypertextovodkaz"/>
                  <w:rFonts w:asciiTheme="minorHAnsi" w:hAnsiTheme="minorHAnsi" w:cstheme="minorHAnsi"/>
                  <w:bCs/>
                  <w:sz w:val="20"/>
                  <w:szCs w:val="20"/>
                </w:rPr>
                <w:t>povolení - ECHA</w:t>
              </w:r>
              <w:proofErr w:type="gramEnd"/>
            </w:hyperlink>
            <w:r w:rsidRPr="006A45B6">
              <w:rPr>
                <w:rFonts w:asciiTheme="minorHAnsi" w:hAnsiTheme="minorHAnsi" w:cstheme="minorHAnsi"/>
                <w:bCs/>
                <w:sz w:val="20"/>
                <w:szCs w:val="20"/>
              </w:rPr>
              <w:t>). Tyto látky jsou definovány nařízením Evropského parlamentu a Rady (ES) č. 1907/2006 o registraci, hodnocení, povolování a omezování chemických látek (REACH) jako nebezpečné chemické látky</w:t>
            </w:r>
            <w:r w:rsidRPr="00A64A04">
              <w:rPr>
                <w:rFonts w:asciiTheme="minorHAnsi" w:hAnsiTheme="minorHAnsi" w:cstheme="minorHAnsi"/>
                <w:bCs/>
                <w:sz w:val="20"/>
                <w:szCs w:val="20"/>
              </w:rPr>
              <w:t>.</w:t>
            </w:r>
          </w:p>
        </w:tc>
        <w:tc>
          <w:tcPr>
            <w:tcW w:w="1114" w:type="pct"/>
            <w:shd w:val="clear" w:color="auto" w:fill="F7CAAC" w:themeFill="accent2" w:themeFillTint="66"/>
          </w:tcPr>
          <w:p w14:paraId="711E7BB5" w14:textId="77777777" w:rsidR="003A4B0B" w:rsidRDefault="003A4B0B" w:rsidP="003A4B0B">
            <w:pPr>
              <w:spacing w:after="0" w:line="240" w:lineRule="auto"/>
              <w:rPr>
                <w:rFonts w:asciiTheme="minorHAnsi" w:hAnsiTheme="minorHAnsi" w:cstheme="minorHAnsi"/>
                <w:sz w:val="20"/>
                <w:szCs w:val="20"/>
              </w:rPr>
            </w:pPr>
            <w:r>
              <w:rPr>
                <w:rFonts w:asciiTheme="minorHAnsi" w:hAnsiTheme="minorHAnsi" w:cstheme="minorHAnsi"/>
                <w:sz w:val="20"/>
                <w:szCs w:val="20"/>
              </w:rPr>
              <w:t>Nastavení podmínek podpory.</w:t>
            </w:r>
          </w:p>
          <w:p w14:paraId="397CD0AE" w14:textId="77777777" w:rsidR="003A4B0B" w:rsidRDefault="003A4B0B" w:rsidP="003A4B0B">
            <w:pPr>
              <w:spacing w:after="0" w:line="240" w:lineRule="auto"/>
              <w:rPr>
                <w:rFonts w:asciiTheme="minorHAnsi" w:hAnsiTheme="minorHAnsi" w:cstheme="minorHAnsi"/>
                <w:sz w:val="20"/>
                <w:szCs w:val="20"/>
              </w:rPr>
            </w:pPr>
          </w:p>
          <w:p w14:paraId="72EEB4A8" w14:textId="6986A83B" w:rsidR="003A4B0B" w:rsidRPr="00C35425" w:rsidRDefault="003A4B0B" w:rsidP="003A4B0B">
            <w:pPr>
              <w:spacing w:after="0" w:line="240" w:lineRule="auto"/>
              <w:rPr>
                <w:rFonts w:asciiTheme="minorHAnsi" w:hAnsiTheme="minorHAnsi" w:cstheme="minorHAnsi"/>
                <w:sz w:val="20"/>
                <w:szCs w:val="20"/>
              </w:rPr>
            </w:pPr>
            <w:r>
              <w:rPr>
                <w:rFonts w:asciiTheme="minorHAnsi" w:hAnsiTheme="minorHAnsi" w:cstheme="minorHAnsi"/>
                <w:sz w:val="20"/>
                <w:szCs w:val="20"/>
              </w:rPr>
              <w:t>Žadatel by měl prověřit, zda připravovaný projekt zahrnuje použití SVHC látek</w:t>
            </w:r>
            <w:r>
              <w:rPr>
                <w:rStyle w:val="Znakapoznpodarou"/>
                <w:rFonts w:asciiTheme="minorHAnsi" w:hAnsiTheme="minorHAnsi" w:cstheme="minorHAnsi"/>
                <w:sz w:val="20"/>
                <w:szCs w:val="20"/>
              </w:rPr>
              <w:footnoteReference w:id="156"/>
            </w:r>
            <w:r>
              <w:rPr>
                <w:rFonts w:asciiTheme="minorHAnsi" w:hAnsiTheme="minorHAnsi" w:cstheme="minorHAnsi"/>
                <w:sz w:val="20"/>
                <w:szCs w:val="20"/>
              </w:rPr>
              <w:t xml:space="preserve"> a případně zvážit možnost jejich náhrady bezpečnějšími alternativami, pokud jsou dostupné. V případě, že není možné se látkám SVHC vyhnout, mělo by být součástí projektové dokumentace odůvodnění, proč není možné látky nahradit bezpečnější alternativou (např. technická nemožnost, neexistence alternativy)</w:t>
            </w:r>
            <w:r w:rsidR="00F72BA4">
              <w:rPr>
                <w:rFonts w:asciiTheme="minorHAnsi" w:hAnsiTheme="minorHAnsi" w:cstheme="minorHAnsi"/>
                <w:sz w:val="20"/>
                <w:szCs w:val="20"/>
              </w:rPr>
              <w:t>.</w:t>
            </w:r>
          </w:p>
        </w:tc>
        <w:tc>
          <w:tcPr>
            <w:tcW w:w="1064" w:type="pct"/>
            <w:shd w:val="clear" w:color="auto" w:fill="F7CAAC" w:themeFill="accent2" w:themeFillTint="66"/>
          </w:tcPr>
          <w:p w14:paraId="2FA3B6D5" w14:textId="77777777" w:rsidR="003A4B0B" w:rsidRDefault="003A4B0B" w:rsidP="003A4B0B">
            <w:pPr>
              <w:spacing w:after="0" w:line="240" w:lineRule="auto"/>
              <w:rPr>
                <w:rFonts w:asciiTheme="minorHAnsi" w:hAnsiTheme="minorHAnsi" w:cstheme="minorHAnsi"/>
                <w:sz w:val="20"/>
                <w:szCs w:val="20"/>
              </w:rPr>
            </w:pPr>
            <w:r>
              <w:rPr>
                <w:rFonts w:asciiTheme="minorHAnsi" w:hAnsiTheme="minorHAnsi" w:cstheme="minorHAnsi"/>
                <w:sz w:val="20"/>
                <w:szCs w:val="20"/>
              </w:rPr>
              <w:t>Sledování plnění tohoto ustanovení při kontrole projektové dokumentace předkládané v rámci žádosti o podporu a dále v rámci kontrolní činnosti u realizovaných projektů.</w:t>
            </w:r>
          </w:p>
          <w:p w14:paraId="36A9D19C" w14:textId="77777777" w:rsidR="003A4B0B" w:rsidRDefault="003A4B0B" w:rsidP="003A4B0B">
            <w:pPr>
              <w:spacing w:after="0" w:line="240" w:lineRule="auto"/>
              <w:rPr>
                <w:rFonts w:asciiTheme="minorHAnsi" w:hAnsiTheme="minorHAnsi" w:cstheme="minorHAnsi"/>
                <w:sz w:val="20"/>
                <w:szCs w:val="20"/>
              </w:rPr>
            </w:pPr>
          </w:p>
          <w:p w14:paraId="4A957D87" w14:textId="2BDB2B69" w:rsidR="003A4B0B" w:rsidRDefault="003A4B0B" w:rsidP="003A4B0B">
            <w:pPr>
              <w:spacing w:after="0" w:line="240" w:lineRule="auto"/>
              <w:rPr>
                <w:rFonts w:asciiTheme="minorHAnsi" w:hAnsiTheme="minorHAnsi" w:cstheme="minorHAnsi"/>
                <w:sz w:val="20"/>
                <w:szCs w:val="20"/>
              </w:rPr>
            </w:pPr>
            <w:r>
              <w:rPr>
                <w:rFonts w:asciiTheme="minorHAnsi" w:hAnsiTheme="minorHAnsi" w:cstheme="minorHAnsi"/>
                <w:sz w:val="20"/>
                <w:szCs w:val="20"/>
              </w:rPr>
              <w:t>Alternativně se doporučuje vyžadovat čestné prohlášení žadatele, že při své činnosti nepoužívá látky SVHC. P</w:t>
            </w:r>
            <w:r w:rsidRPr="0089676B">
              <w:rPr>
                <w:rFonts w:asciiTheme="minorHAnsi" w:hAnsiTheme="minorHAnsi" w:cstheme="minorHAnsi"/>
                <w:sz w:val="20"/>
                <w:szCs w:val="20"/>
              </w:rPr>
              <w:t xml:space="preserve">ři fyzické kontrole stavby </w:t>
            </w:r>
            <w:r>
              <w:rPr>
                <w:rFonts w:asciiTheme="minorHAnsi" w:hAnsiTheme="minorHAnsi" w:cstheme="minorHAnsi"/>
                <w:sz w:val="20"/>
                <w:szCs w:val="20"/>
              </w:rPr>
              <w:t xml:space="preserve">pak </w:t>
            </w:r>
            <w:r w:rsidRPr="0089676B">
              <w:rPr>
                <w:rFonts w:asciiTheme="minorHAnsi" w:hAnsiTheme="minorHAnsi" w:cstheme="minorHAnsi"/>
                <w:sz w:val="20"/>
                <w:szCs w:val="20"/>
              </w:rPr>
              <w:t>mohou být ověřeny dodané materiály (štítky, označení CE, bezpečnostní listy).</w:t>
            </w:r>
          </w:p>
        </w:tc>
        <w:tc>
          <w:tcPr>
            <w:tcW w:w="1102" w:type="pct"/>
            <w:shd w:val="clear" w:color="auto" w:fill="F7CAAC" w:themeFill="accent2" w:themeFillTint="66"/>
          </w:tcPr>
          <w:p w14:paraId="63FD7E7B" w14:textId="77777777" w:rsidR="003A4B0B" w:rsidRDefault="003A4B0B" w:rsidP="003A4B0B">
            <w:pPr>
              <w:spacing w:after="0" w:line="240" w:lineRule="auto"/>
              <w:rPr>
                <w:rFonts w:asciiTheme="minorHAnsi" w:hAnsiTheme="minorHAnsi" w:cstheme="minorHAnsi"/>
                <w:sz w:val="20"/>
                <w:szCs w:val="20"/>
              </w:rPr>
            </w:pPr>
          </w:p>
        </w:tc>
      </w:tr>
      <w:tr w:rsidR="0042372D" w14:paraId="6A1EAA65" w14:textId="77777777" w:rsidTr="00FE7E4F">
        <w:tc>
          <w:tcPr>
            <w:tcW w:w="570" w:type="pct"/>
            <w:shd w:val="clear" w:color="auto" w:fill="C5E0B3" w:themeFill="accent6" w:themeFillTint="66"/>
          </w:tcPr>
          <w:p w14:paraId="5796D54C" w14:textId="66E341C6" w:rsidR="0042372D" w:rsidRDefault="0042372D" w:rsidP="006C1B48">
            <w:pPr>
              <w:spacing w:after="0" w:line="240" w:lineRule="auto"/>
              <w:jc w:val="left"/>
              <w:rPr>
                <w:rFonts w:asciiTheme="minorHAnsi" w:hAnsiTheme="minorHAnsi" w:cstheme="minorHAnsi"/>
                <w:b/>
                <w:sz w:val="20"/>
                <w:szCs w:val="20"/>
              </w:rPr>
            </w:pPr>
            <w:r>
              <w:rPr>
                <w:rFonts w:asciiTheme="minorHAnsi" w:hAnsiTheme="minorHAnsi" w:cstheme="minorHAnsi"/>
                <w:b/>
                <w:sz w:val="20"/>
                <w:szCs w:val="20"/>
              </w:rPr>
              <w:t>Ochrana a obnova biologické rozmanitosti a ekosystémů</w:t>
            </w:r>
          </w:p>
        </w:tc>
        <w:tc>
          <w:tcPr>
            <w:tcW w:w="1150" w:type="pct"/>
            <w:shd w:val="clear" w:color="auto" w:fill="C5E0B3" w:themeFill="accent6" w:themeFillTint="66"/>
          </w:tcPr>
          <w:p w14:paraId="3A71E5DC" w14:textId="77777777" w:rsidR="0042372D" w:rsidRPr="00927F0E" w:rsidRDefault="0042372D" w:rsidP="0042372D">
            <w:pPr>
              <w:spacing w:after="0" w:line="240" w:lineRule="auto"/>
              <w:rPr>
                <w:rFonts w:asciiTheme="minorHAnsi" w:hAnsiTheme="minorHAnsi" w:cstheme="minorHAnsi"/>
                <w:sz w:val="20"/>
                <w:szCs w:val="20"/>
              </w:rPr>
            </w:pPr>
            <w:r>
              <w:rPr>
                <w:rFonts w:asciiTheme="minorHAnsi" w:hAnsiTheme="minorHAnsi" w:cstheme="minorHAnsi"/>
                <w:sz w:val="20"/>
                <w:szCs w:val="20"/>
              </w:rPr>
              <w:t>Nová budova</w:t>
            </w:r>
            <w:r w:rsidRPr="00927F0E">
              <w:rPr>
                <w:rFonts w:asciiTheme="minorHAnsi" w:hAnsiTheme="minorHAnsi" w:cstheme="minorHAnsi"/>
                <w:sz w:val="20"/>
                <w:szCs w:val="20"/>
              </w:rPr>
              <w:t>:</w:t>
            </w:r>
          </w:p>
          <w:p w14:paraId="3E8C005D" w14:textId="77777777" w:rsidR="0042372D" w:rsidRDefault="0042372D" w:rsidP="0042372D">
            <w:pPr>
              <w:spacing w:after="0" w:line="240" w:lineRule="auto"/>
              <w:rPr>
                <w:rFonts w:asciiTheme="minorHAnsi" w:hAnsiTheme="minorHAnsi" w:cstheme="minorHAnsi"/>
                <w:sz w:val="20"/>
                <w:szCs w:val="20"/>
              </w:rPr>
            </w:pPr>
            <w:r w:rsidRPr="002A79F8">
              <w:rPr>
                <w:rFonts w:asciiTheme="minorHAnsi" w:hAnsiTheme="minorHAnsi" w:cstheme="minorHAnsi"/>
                <w:sz w:val="20"/>
                <w:szCs w:val="20"/>
              </w:rPr>
              <w:t>a)</w:t>
            </w:r>
            <w:r w:rsidRPr="002A79F8">
              <w:rPr>
                <w:rFonts w:asciiTheme="minorHAnsi" w:hAnsiTheme="minorHAnsi" w:cstheme="minorHAnsi"/>
                <w:sz w:val="20"/>
                <w:szCs w:val="20"/>
              </w:rPr>
              <w:tab/>
            </w:r>
            <w:r w:rsidRPr="00142A82">
              <w:rPr>
                <w:rFonts w:asciiTheme="minorHAnsi" w:hAnsiTheme="minorHAnsi" w:cstheme="minorHAnsi"/>
                <w:sz w:val="20"/>
                <w:szCs w:val="20"/>
              </w:rPr>
              <w:t xml:space="preserve"> není realizována na zemědělské půdě zařazené do I. nebo II. třídy ochrany dle BPEJ, a současně pro III. – V. třídu před rozhodnutím o přidělení dotace již bylo posouzeno odnětí zemědělské půdy ze zemědělského půdního fondu, a to s kladným výsledkem;</w:t>
            </w:r>
          </w:p>
          <w:p w14:paraId="1BF6C8A7" w14:textId="77777777" w:rsidR="0042372D" w:rsidRPr="002A79F8" w:rsidRDefault="0042372D" w:rsidP="0042372D">
            <w:pPr>
              <w:spacing w:after="0" w:line="240" w:lineRule="auto"/>
              <w:rPr>
                <w:rFonts w:asciiTheme="minorHAnsi" w:hAnsiTheme="minorHAnsi" w:cstheme="minorHAnsi"/>
                <w:sz w:val="20"/>
                <w:szCs w:val="20"/>
              </w:rPr>
            </w:pPr>
          </w:p>
          <w:p w14:paraId="657C727A" w14:textId="77777777" w:rsidR="0042372D" w:rsidRDefault="0042372D" w:rsidP="0042372D">
            <w:pPr>
              <w:spacing w:after="0" w:line="240" w:lineRule="auto"/>
              <w:rPr>
                <w:rFonts w:asciiTheme="minorHAnsi" w:hAnsiTheme="minorHAnsi" w:cstheme="minorHAnsi"/>
                <w:sz w:val="20"/>
                <w:szCs w:val="20"/>
              </w:rPr>
            </w:pPr>
            <w:r>
              <w:rPr>
                <w:rFonts w:asciiTheme="minorHAnsi" w:hAnsiTheme="minorHAnsi" w:cstheme="minorHAnsi"/>
                <w:sz w:val="20"/>
                <w:szCs w:val="20"/>
              </w:rPr>
              <w:t>b)</w:t>
            </w:r>
            <w:r>
              <w:rPr>
                <w:rFonts w:asciiTheme="minorHAnsi" w:hAnsiTheme="minorHAnsi" w:cstheme="minorHAnsi"/>
                <w:sz w:val="20"/>
                <w:szCs w:val="20"/>
              </w:rPr>
              <w:tab/>
              <w:t xml:space="preserve">není postavena na uznávané na ploše s vysokou hodnotou biologické rozmanitosti </w:t>
            </w:r>
            <w:r>
              <w:rPr>
                <w:rFonts w:asciiTheme="minorHAnsi" w:hAnsiTheme="minorHAnsi" w:cstheme="minorHAnsi"/>
                <w:i/>
                <w:sz w:val="20"/>
                <w:szCs w:val="20"/>
              </w:rPr>
              <w:t xml:space="preserve">(pozn. interpretováno jako vymezená přírodní stanoviště </w:t>
            </w:r>
            <w:hyperlink r:id="rId140" w:anchor="tocId36" w:tooltip="https://eur-lex.europa.eu/legal-content/CS/TXT/HTML/?uri=CELEX:01992L0043-20130701&amp;from=EN#tocId36" w:history="1">
              <w:r>
                <w:rPr>
                  <w:rStyle w:val="Hypertextovodkaz"/>
                  <w:rFonts w:asciiTheme="minorHAnsi" w:hAnsiTheme="minorHAnsi" w:cstheme="minorHAnsi"/>
                  <w:i/>
                  <w:sz w:val="20"/>
                  <w:szCs w:val="20"/>
                </w:rPr>
                <w:t>přílohy č. I směrnice 92/43/EHS o stanovištích</w:t>
              </w:r>
            </w:hyperlink>
            <w:r>
              <w:rPr>
                <w:rStyle w:val="Znakapoznpodarou"/>
                <w:rFonts w:asciiTheme="minorHAnsi" w:hAnsiTheme="minorHAnsi" w:cstheme="minorHAnsi"/>
                <w:i/>
                <w:sz w:val="20"/>
                <w:szCs w:val="20"/>
              </w:rPr>
              <w:footnoteReference w:id="157"/>
            </w:r>
            <w:r>
              <w:rPr>
                <w:rFonts w:asciiTheme="minorHAnsi" w:hAnsiTheme="minorHAnsi" w:cstheme="minorHAnsi"/>
                <w:i/>
                <w:sz w:val="20"/>
                <w:szCs w:val="20"/>
              </w:rPr>
              <w:t>)</w:t>
            </w:r>
            <w:r>
              <w:rPr>
                <w:rFonts w:asciiTheme="minorHAnsi" w:hAnsiTheme="minorHAnsi" w:cstheme="minorHAnsi"/>
                <w:sz w:val="20"/>
                <w:szCs w:val="20"/>
              </w:rPr>
              <w:t xml:space="preserve"> a půdě, která slouží jako stanoviště ohrožených druhů (flóry a fauny) </w:t>
            </w:r>
            <w:r>
              <w:rPr>
                <w:rFonts w:asciiTheme="minorHAnsi" w:hAnsiTheme="minorHAnsi" w:cstheme="minorHAnsi"/>
                <w:sz w:val="20"/>
                <w:szCs w:val="20"/>
                <w:vertAlign w:val="superscript"/>
              </w:rPr>
              <w:footnoteReference w:id="158"/>
            </w:r>
            <w:r>
              <w:rPr>
                <w:rFonts w:asciiTheme="minorHAnsi" w:hAnsiTheme="minorHAnsi" w:cstheme="minorHAnsi"/>
                <w:sz w:val="20"/>
                <w:szCs w:val="20"/>
              </w:rPr>
              <w:t>;</w:t>
            </w:r>
          </w:p>
          <w:p w14:paraId="72409AEB" w14:textId="77777777" w:rsidR="0042372D" w:rsidRDefault="0042372D" w:rsidP="0042372D">
            <w:pPr>
              <w:spacing w:after="0" w:line="240" w:lineRule="auto"/>
              <w:rPr>
                <w:rFonts w:asciiTheme="minorHAnsi" w:hAnsiTheme="minorHAnsi" w:cstheme="minorHAnsi"/>
                <w:sz w:val="20"/>
                <w:szCs w:val="20"/>
              </w:rPr>
            </w:pPr>
          </w:p>
          <w:p w14:paraId="33841917" w14:textId="77777777" w:rsidR="0042372D" w:rsidRDefault="0042372D" w:rsidP="0042372D">
            <w:pPr>
              <w:spacing w:after="0" w:line="240" w:lineRule="auto"/>
              <w:rPr>
                <w:rFonts w:asciiTheme="minorHAnsi" w:hAnsiTheme="minorHAnsi" w:cstheme="minorHAnsi"/>
                <w:color w:val="808080" w:themeColor="background1" w:themeShade="80"/>
                <w:sz w:val="20"/>
                <w:szCs w:val="20"/>
              </w:rPr>
            </w:pPr>
            <w:r>
              <w:rPr>
                <w:rFonts w:asciiTheme="minorHAnsi" w:hAnsiTheme="minorHAnsi" w:cstheme="minorHAnsi"/>
                <w:color w:val="808080" w:themeColor="background1" w:themeShade="80"/>
                <w:sz w:val="20"/>
                <w:szCs w:val="20"/>
              </w:rPr>
              <w:lastRenderedPageBreak/>
              <w:t>c</w:t>
            </w:r>
            <w:r w:rsidRPr="00803E86">
              <w:rPr>
                <w:rFonts w:asciiTheme="minorHAnsi" w:hAnsiTheme="minorHAnsi" w:cstheme="minorHAnsi"/>
                <w:color w:val="808080" w:themeColor="background1" w:themeShade="80"/>
                <w:sz w:val="20"/>
                <w:szCs w:val="20"/>
              </w:rPr>
              <w:t>)</w:t>
            </w:r>
            <w:r w:rsidRPr="00803E86">
              <w:rPr>
                <w:rFonts w:asciiTheme="minorHAnsi" w:hAnsiTheme="minorHAnsi" w:cstheme="minorHAnsi"/>
                <w:color w:val="808080" w:themeColor="background1" w:themeShade="80"/>
                <w:sz w:val="20"/>
                <w:szCs w:val="20"/>
              </w:rPr>
              <w:tab/>
            </w:r>
            <w:r>
              <w:rPr>
                <w:rFonts w:asciiTheme="minorHAnsi" w:hAnsiTheme="minorHAnsi" w:cstheme="minorHAnsi"/>
                <w:color w:val="808080" w:themeColor="background1" w:themeShade="80"/>
                <w:sz w:val="20"/>
                <w:szCs w:val="20"/>
              </w:rPr>
              <w:t xml:space="preserve">není postavena na </w:t>
            </w:r>
            <w:r w:rsidRPr="00803E86">
              <w:rPr>
                <w:rFonts w:asciiTheme="minorHAnsi" w:hAnsiTheme="minorHAnsi" w:cstheme="minorHAnsi"/>
                <w:color w:val="808080" w:themeColor="background1" w:themeShade="80"/>
                <w:sz w:val="20"/>
                <w:szCs w:val="20"/>
              </w:rPr>
              <w:t>půdě, která odpovídá definici lesa stanovené ve vnitrostátních právních předpisech nebo používané v národní inventuře skleníkových plynů, nebo pokud taková definice neexistuje, půdě, která je v souladu s definicí lesa podle FAO</w:t>
            </w:r>
            <w:r w:rsidRPr="002A79F8">
              <w:rPr>
                <w:rFonts w:asciiTheme="minorHAnsi" w:hAnsiTheme="minorHAnsi" w:cstheme="minorHAnsi"/>
                <w:color w:val="808080" w:themeColor="background1" w:themeShade="80"/>
                <w:sz w:val="20"/>
                <w:szCs w:val="20"/>
                <w:vertAlign w:val="superscript"/>
              </w:rPr>
              <w:footnoteReference w:id="159"/>
            </w:r>
            <w:r>
              <w:rPr>
                <w:rFonts w:asciiTheme="minorHAnsi" w:hAnsiTheme="minorHAnsi" w:cstheme="minorHAnsi"/>
                <w:color w:val="808080" w:themeColor="background1" w:themeShade="80"/>
                <w:sz w:val="20"/>
                <w:szCs w:val="20"/>
              </w:rPr>
              <w:t>;</w:t>
            </w:r>
          </w:p>
          <w:p w14:paraId="6DC35A99" w14:textId="77777777" w:rsidR="0042372D" w:rsidRDefault="0042372D" w:rsidP="0042372D">
            <w:pPr>
              <w:spacing w:after="0" w:line="240" w:lineRule="auto"/>
              <w:rPr>
                <w:rFonts w:asciiTheme="minorHAnsi" w:hAnsiTheme="minorHAnsi" w:cstheme="minorHAnsi"/>
                <w:color w:val="808080" w:themeColor="background1" w:themeShade="80"/>
                <w:sz w:val="20"/>
                <w:szCs w:val="20"/>
              </w:rPr>
            </w:pPr>
          </w:p>
          <w:p w14:paraId="0C0E5945" w14:textId="431F4219" w:rsidR="0042372D" w:rsidRPr="00D77C59" w:rsidRDefault="0042372D" w:rsidP="0042372D">
            <w:pPr>
              <w:spacing w:after="0" w:line="240" w:lineRule="auto"/>
              <w:rPr>
                <w:rFonts w:asciiTheme="minorHAnsi" w:hAnsiTheme="minorHAnsi" w:cstheme="minorHAnsi"/>
                <w:color w:val="808080" w:themeColor="background1" w:themeShade="80"/>
                <w:sz w:val="20"/>
                <w:szCs w:val="20"/>
              </w:rPr>
            </w:pPr>
            <w:r w:rsidRPr="002A79F8">
              <w:rPr>
                <w:rFonts w:asciiTheme="minorHAnsi" w:hAnsiTheme="minorHAnsi" w:cstheme="minorHAnsi"/>
                <w:sz w:val="20"/>
                <w:szCs w:val="20"/>
              </w:rPr>
              <w:t>d) Realizace projektu ani nad rámec vlastního záboru nevede k šíření invazních druhů a ke snížení biologické hodnoty území</w:t>
            </w:r>
            <w:r w:rsidRPr="002A79F8">
              <w:rPr>
                <w:rStyle w:val="Znakapoznpodarou"/>
                <w:rFonts w:asciiTheme="minorHAnsi" w:hAnsiTheme="minorHAnsi" w:cstheme="minorHAnsi"/>
                <w:sz w:val="20"/>
                <w:szCs w:val="20"/>
              </w:rPr>
              <w:footnoteReference w:id="160"/>
            </w:r>
          </w:p>
        </w:tc>
        <w:tc>
          <w:tcPr>
            <w:tcW w:w="1114" w:type="pct"/>
            <w:shd w:val="clear" w:color="auto" w:fill="C5E0B3" w:themeFill="accent6" w:themeFillTint="66"/>
          </w:tcPr>
          <w:p w14:paraId="24E7B131" w14:textId="77777777" w:rsidR="0042372D" w:rsidRDefault="0042372D" w:rsidP="0042372D">
            <w:pPr>
              <w:spacing w:after="0" w:line="240" w:lineRule="auto"/>
              <w:rPr>
                <w:rFonts w:asciiTheme="minorHAnsi" w:hAnsiTheme="minorHAnsi" w:cstheme="minorHAnsi"/>
                <w:sz w:val="20"/>
                <w:szCs w:val="20"/>
              </w:rPr>
            </w:pPr>
            <w:r>
              <w:rPr>
                <w:rFonts w:asciiTheme="minorHAnsi" w:hAnsiTheme="minorHAnsi" w:cstheme="minorHAnsi"/>
                <w:sz w:val="20"/>
                <w:szCs w:val="20"/>
              </w:rPr>
              <w:lastRenderedPageBreak/>
              <w:t>Nastavení podmínek podpory:</w:t>
            </w:r>
          </w:p>
          <w:p w14:paraId="678573B3" w14:textId="77777777" w:rsidR="0042372D" w:rsidRDefault="0042372D" w:rsidP="0042372D">
            <w:pPr>
              <w:spacing w:after="0" w:line="240" w:lineRule="auto"/>
              <w:rPr>
                <w:rFonts w:asciiTheme="minorHAnsi" w:hAnsiTheme="minorHAnsi" w:cstheme="minorHAnsi"/>
                <w:sz w:val="20"/>
                <w:szCs w:val="20"/>
              </w:rPr>
            </w:pPr>
          </w:p>
          <w:p w14:paraId="05B47E23" w14:textId="77777777" w:rsidR="0042372D" w:rsidRDefault="0042372D" w:rsidP="0042372D">
            <w:pPr>
              <w:spacing w:after="0" w:line="240" w:lineRule="auto"/>
              <w:rPr>
                <w:rFonts w:asciiTheme="minorHAnsi" w:hAnsiTheme="minorHAnsi" w:cstheme="minorHAnsi"/>
                <w:bCs/>
                <w:sz w:val="20"/>
                <w:szCs w:val="20"/>
              </w:rPr>
            </w:pPr>
            <w:r w:rsidRPr="002A79F8">
              <w:rPr>
                <w:rFonts w:asciiTheme="minorHAnsi" w:hAnsiTheme="minorHAnsi" w:cstheme="minorHAnsi"/>
                <w:sz w:val="20"/>
                <w:szCs w:val="20"/>
              </w:rPr>
              <w:t>Ad a)</w:t>
            </w:r>
            <w:r w:rsidRPr="002A79F8">
              <w:rPr>
                <w:rFonts w:asciiTheme="minorHAnsi" w:hAnsiTheme="minorHAnsi" w:cstheme="minorHAnsi"/>
                <w:sz w:val="20"/>
                <w:szCs w:val="20"/>
              </w:rPr>
              <w:tab/>
            </w:r>
            <w:r w:rsidRPr="009B6EBB">
              <w:rPr>
                <w:rFonts w:asciiTheme="minorHAnsi" w:hAnsiTheme="minorHAnsi" w:cstheme="minorHAnsi"/>
                <w:bCs/>
                <w:sz w:val="20"/>
                <w:szCs w:val="20"/>
              </w:rPr>
              <w:t xml:space="preserve">Nastavení podmínek podpory tak, aby se podpora nevztahovala na záměry umístěné na pozemcích, která jsou anebo před odnětím pro realizaci záměru byly zemědělskou půdou zařazenou do I. nebo II. třídy ochrany dle BPEJ. V případě III. až V. třídy ochrany je nutné požadovat, aby před rozhodnutím o přidělení dotace již bylo posouzeno odnětí zemědělské půdy ze zemědělského půdního fondu s kladným výsledkem, tj. aby byl pro záměr již vydán souhlas s odnětím zemědělské půdy ze zemědělského půdního fondu dle z. č. 334/1992 Sb., o ochraně zemědělského půdního fondu, </w:t>
            </w:r>
            <w:r w:rsidRPr="009B6EBB">
              <w:rPr>
                <w:rFonts w:asciiTheme="minorHAnsi" w:hAnsiTheme="minorHAnsi" w:cstheme="minorHAnsi"/>
                <w:bCs/>
                <w:sz w:val="20"/>
                <w:szCs w:val="20"/>
              </w:rPr>
              <w:lastRenderedPageBreak/>
              <w:t>resp. kladné JES, pokud se pro záměr má vydat.</w:t>
            </w:r>
          </w:p>
          <w:p w14:paraId="7857AB99" w14:textId="77777777" w:rsidR="0042372D" w:rsidRDefault="0042372D" w:rsidP="0042372D">
            <w:pPr>
              <w:spacing w:after="0" w:line="240" w:lineRule="auto"/>
              <w:rPr>
                <w:rFonts w:asciiTheme="minorHAnsi" w:hAnsiTheme="minorHAnsi" w:cstheme="minorHAnsi"/>
                <w:bCs/>
                <w:sz w:val="20"/>
                <w:szCs w:val="20"/>
              </w:rPr>
            </w:pPr>
          </w:p>
          <w:p w14:paraId="565F1733" w14:textId="77777777" w:rsidR="0042372D" w:rsidRDefault="0042372D" w:rsidP="0042372D">
            <w:pPr>
              <w:spacing w:after="0" w:line="240" w:lineRule="auto"/>
              <w:rPr>
                <w:rFonts w:asciiTheme="minorHAnsi" w:hAnsiTheme="minorHAnsi" w:cstheme="minorHAnsi"/>
                <w:bCs/>
                <w:sz w:val="20"/>
                <w:szCs w:val="20"/>
              </w:rPr>
            </w:pPr>
            <w:r>
              <w:rPr>
                <w:rFonts w:asciiTheme="minorHAnsi" w:hAnsiTheme="minorHAnsi" w:cstheme="minorHAnsi"/>
                <w:bCs/>
                <w:sz w:val="20"/>
                <w:szCs w:val="20"/>
              </w:rPr>
              <w:t xml:space="preserve">Ad b) Dotčení přírodních stanovišť či druhů červeného seznamu se provádí prostorovým překryvem parcely určené k výstavbě s vrstvou mapování biotopů a Nálezovou databází ochrany přírody, a to prostřednictvím aplikace </w:t>
            </w:r>
            <w:hyperlink r:id="rId141" w:history="1">
              <w:proofErr w:type="spellStart"/>
              <w:r w:rsidRPr="00803E86">
                <w:rPr>
                  <w:rStyle w:val="Hypertextovodkaz"/>
                  <w:rFonts w:asciiTheme="minorHAnsi" w:hAnsiTheme="minorHAnsi" w:cstheme="minorHAnsi"/>
                  <w:bCs/>
                  <w:sz w:val="20"/>
                  <w:szCs w:val="20"/>
                </w:rPr>
                <w:t>GeoReport</w:t>
              </w:r>
              <w:proofErr w:type="spellEnd"/>
            </w:hyperlink>
            <w:r>
              <w:rPr>
                <w:rFonts w:asciiTheme="minorHAnsi" w:hAnsiTheme="minorHAnsi" w:cstheme="minorHAnsi"/>
                <w:bCs/>
                <w:sz w:val="20"/>
                <w:szCs w:val="20"/>
              </w:rPr>
              <w:t xml:space="preserve">. </w:t>
            </w:r>
          </w:p>
          <w:p w14:paraId="1909DADE" w14:textId="77777777" w:rsidR="0042372D" w:rsidRPr="00561C98" w:rsidRDefault="0042372D" w:rsidP="0042372D">
            <w:pPr>
              <w:spacing w:after="0" w:line="240" w:lineRule="auto"/>
              <w:rPr>
                <w:rFonts w:asciiTheme="minorHAnsi" w:hAnsiTheme="minorHAnsi" w:cstheme="minorHAnsi"/>
                <w:bCs/>
                <w:sz w:val="20"/>
                <w:szCs w:val="20"/>
              </w:rPr>
            </w:pPr>
          </w:p>
          <w:p w14:paraId="2A1E3A3C" w14:textId="77777777" w:rsidR="0042372D" w:rsidRDefault="0042372D" w:rsidP="0042372D">
            <w:pPr>
              <w:spacing w:after="0" w:line="240" w:lineRule="auto"/>
              <w:rPr>
                <w:rFonts w:asciiTheme="minorHAnsi" w:hAnsiTheme="minorHAnsi" w:cstheme="minorHAnsi"/>
                <w:bCs/>
                <w:i/>
                <w:iCs/>
                <w:sz w:val="20"/>
                <w:szCs w:val="20"/>
              </w:rPr>
            </w:pPr>
            <w:r>
              <w:rPr>
                <w:rFonts w:asciiTheme="minorHAnsi" w:hAnsiTheme="minorHAnsi" w:cstheme="minorHAnsi"/>
                <w:bCs/>
                <w:sz w:val="20"/>
                <w:szCs w:val="20"/>
              </w:rPr>
              <w:t xml:space="preserve">Pro tyto účely je k dispozici návod: </w:t>
            </w:r>
            <w:hyperlink r:id="rId142" w:history="1">
              <w:r w:rsidRPr="00561C98">
                <w:rPr>
                  <w:rStyle w:val="Hypertextovodkaz"/>
                  <w:rFonts w:asciiTheme="minorHAnsi" w:hAnsiTheme="minorHAnsi" w:cstheme="minorHAnsi"/>
                  <w:bCs/>
                  <w:sz w:val="20"/>
                  <w:szCs w:val="20"/>
                </w:rPr>
                <w:t>Postup pro žadatele pro účely doložení, že nová budova není postavena na „</w:t>
              </w:r>
              <w:r w:rsidRPr="00561C98">
                <w:rPr>
                  <w:rStyle w:val="Hypertextovodkaz"/>
                  <w:rFonts w:asciiTheme="minorHAnsi" w:hAnsiTheme="minorHAnsi" w:cstheme="minorHAnsi"/>
                  <w:bCs/>
                  <w:i/>
                  <w:iCs/>
                  <w:sz w:val="20"/>
                  <w:szCs w:val="20"/>
                </w:rPr>
                <w:t>zelené louce s uznávanou vysokou hodnotou biologické rozmanitosti (pozn. interpretováno jako vymezená přírodní stanoviště přílohy č. I směrnice 92/43/EHS o stanovištích1) a půdě, která slouží jako stanoviště ohrožených d</w:t>
              </w:r>
              <w:r w:rsidRPr="00795D41">
                <w:rPr>
                  <w:rStyle w:val="Hypertextovodkaz"/>
                  <w:rFonts w:asciiTheme="minorHAnsi" w:hAnsiTheme="minorHAnsi" w:cstheme="minorHAnsi"/>
                  <w:bCs/>
                  <w:i/>
                  <w:iCs/>
                  <w:sz w:val="20"/>
                  <w:szCs w:val="20"/>
                </w:rPr>
                <w:t xml:space="preserve">ruhů (flóry a fauny) uvedených na </w:t>
              </w:r>
              <w:r w:rsidRPr="002A79F8">
                <w:rPr>
                  <w:rStyle w:val="Hypertextovodkaz"/>
                  <w:rFonts w:asciiTheme="minorHAnsi" w:hAnsiTheme="minorHAnsi" w:cstheme="minorHAnsi"/>
                  <w:bCs/>
                  <w:i/>
                  <w:iCs/>
                  <w:sz w:val="20"/>
                  <w:szCs w:val="20"/>
                </w:rPr>
                <w:t>národním</w:t>
              </w:r>
              <w:r w:rsidRPr="00795D41">
                <w:rPr>
                  <w:rStyle w:val="Hypertextovodkaz"/>
                  <w:rFonts w:asciiTheme="minorHAnsi" w:hAnsiTheme="minorHAnsi" w:cstheme="minorHAnsi"/>
                  <w:bCs/>
                  <w:i/>
                  <w:iCs/>
                  <w:sz w:val="20"/>
                  <w:szCs w:val="20"/>
                </w:rPr>
                <w:t xml:space="preserve"> </w:t>
              </w:r>
              <w:r w:rsidRPr="00561C98">
                <w:rPr>
                  <w:rStyle w:val="Hypertextovodkaz"/>
                  <w:rFonts w:asciiTheme="minorHAnsi" w:hAnsiTheme="minorHAnsi" w:cstheme="minorHAnsi"/>
                  <w:bCs/>
                  <w:i/>
                  <w:iCs/>
                  <w:sz w:val="20"/>
                  <w:szCs w:val="20"/>
                </w:rPr>
                <w:t>Červeném seznamu ohrožených druhů</w:t>
              </w:r>
            </w:hyperlink>
            <w:r w:rsidRPr="00561C98">
              <w:rPr>
                <w:rFonts w:asciiTheme="minorHAnsi" w:hAnsiTheme="minorHAnsi" w:cstheme="minorHAnsi"/>
                <w:bCs/>
                <w:i/>
                <w:iCs/>
                <w:sz w:val="20"/>
                <w:szCs w:val="20"/>
              </w:rPr>
              <w:t>.</w:t>
            </w:r>
          </w:p>
          <w:p w14:paraId="64ACE37D" w14:textId="77777777" w:rsidR="0042372D" w:rsidRDefault="0042372D" w:rsidP="0042372D">
            <w:pPr>
              <w:spacing w:after="0" w:line="240" w:lineRule="auto"/>
              <w:rPr>
                <w:rFonts w:asciiTheme="minorHAnsi" w:hAnsiTheme="minorHAnsi" w:cstheme="minorHAnsi"/>
                <w:bCs/>
                <w:i/>
                <w:iCs/>
                <w:sz w:val="20"/>
                <w:szCs w:val="20"/>
              </w:rPr>
            </w:pPr>
          </w:p>
          <w:p w14:paraId="57A02E7E" w14:textId="77777777" w:rsidR="0042372D" w:rsidRPr="008F5796" w:rsidRDefault="0042372D" w:rsidP="0042372D">
            <w:pPr>
              <w:spacing w:after="0" w:line="240" w:lineRule="auto"/>
              <w:rPr>
                <w:rFonts w:asciiTheme="minorHAnsi" w:hAnsiTheme="minorHAnsi" w:cstheme="minorHAnsi"/>
                <w:bCs/>
                <w:sz w:val="20"/>
                <w:szCs w:val="20"/>
              </w:rPr>
            </w:pPr>
            <w:r w:rsidRPr="008F5796">
              <w:rPr>
                <w:rFonts w:asciiTheme="minorHAnsi" w:hAnsiTheme="minorHAnsi" w:cstheme="minorHAnsi"/>
                <w:bCs/>
                <w:sz w:val="20"/>
                <w:szCs w:val="20"/>
              </w:rPr>
              <w:t>Požadování dokládání uvedené podmínky ze strany administrátorů EU fondů se nevztahuje na jednoduché stavby dle přílohy 2 stavebního zákona č. 283/2021 Sb.</w:t>
            </w:r>
          </w:p>
          <w:p w14:paraId="372469D2" w14:textId="77777777" w:rsidR="0042372D" w:rsidRDefault="0042372D" w:rsidP="0042372D">
            <w:pPr>
              <w:spacing w:after="0" w:line="240" w:lineRule="auto"/>
              <w:rPr>
                <w:rFonts w:asciiTheme="minorHAnsi" w:hAnsiTheme="minorHAnsi" w:cstheme="minorHAnsi"/>
                <w:sz w:val="20"/>
                <w:szCs w:val="20"/>
              </w:rPr>
            </w:pPr>
          </w:p>
          <w:p w14:paraId="0AFC7329" w14:textId="77777777" w:rsidR="0042372D" w:rsidRPr="00803E86" w:rsidRDefault="0042372D" w:rsidP="0042372D">
            <w:pPr>
              <w:spacing w:after="0" w:line="240" w:lineRule="auto"/>
              <w:rPr>
                <w:rFonts w:asciiTheme="minorHAnsi" w:hAnsiTheme="minorHAnsi" w:cstheme="minorHAnsi"/>
                <w:color w:val="808080" w:themeColor="background1" w:themeShade="80"/>
                <w:sz w:val="20"/>
                <w:szCs w:val="20"/>
              </w:rPr>
            </w:pPr>
            <w:r w:rsidRPr="00803E86">
              <w:rPr>
                <w:rFonts w:asciiTheme="minorHAnsi" w:hAnsiTheme="minorHAnsi" w:cstheme="minorHAnsi"/>
                <w:color w:val="808080" w:themeColor="background1" w:themeShade="80"/>
                <w:sz w:val="20"/>
                <w:szCs w:val="20"/>
              </w:rPr>
              <w:t xml:space="preserve">Ad </w:t>
            </w:r>
            <w:r>
              <w:rPr>
                <w:rFonts w:asciiTheme="minorHAnsi" w:hAnsiTheme="minorHAnsi" w:cstheme="minorHAnsi"/>
                <w:color w:val="808080" w:themeColor="background1" w:themeShade="80"/>
                <w:sz w:val="20"/>
                <w:szCs w:val="20"/>
              </w:rPr>
              <w:t>c</w:t>
            </w:r>
            <w:r w:rsidRPr="00803E86">
              <w:rPr>
                <w:rFonts w:asciiTheme="minorHAnsi" w:hAnsiTheme="minorHAnsi" w:cstheme="minorHAnsi"/>
                <w:color w:val="808080" w:themeColor="background1" w:themeShade="80"/>
                <w:sz w:val="20"/>
                <w:szCs w:val="20"/>
              </w:rPr>
              <w:t>) legislativní požadavek.</w:t>
            </w:r>
          </w:p>
          <w:p w14:paraId="11DAA584" w14:textId="77777777" w:rsidR="0042372D" w:rsidRDefault="0042372D" w:rsidP="0042372D">
            <w:pPr>
              <w:spacing w:after="0" w:line="240" w:lineRule="auto"/>
              <w:rPr>
                <w:rFonts w:asciiTheme="minorHAnsi" w:hAnsiTheme="minorHAnsi" w:cstheme="minorHAnsi"/>
                <w:bCs/>
                <w:color w:val="A6A6A6" w:themeColor="background1" w:themeShade="A6"/>
                <w:sz w:val="20"/>
                <w:szCs w:val="20"/>
              </w:rPr>
            </w:pPr>
          </w:p>
          <w:p w14:paraId="0C0C8695" w14:textId="77777777" w:rsidR="0042372D" w:rsidRPr="002A79F8" w:rsidRDefault="0042372D" w:rsidP="0042372D">
            <w:pPr>
              <w:spacing w:after="0" w:line="240" w:lineRule="auto"/>
              <w:rPr>
                <w:rFonts w:asciiTheme="minorHAnsi" w:hAnsiTheme="minorHAnsi" w:cstheme="minorHAnsi"/>
                <w:sz w:val="20"/>
                <w:szCs w:val="20"/>
              </w:rPr>
            </w:pPr>
            <w:r w:rsidRPr="002A79F8">
              <w:rPr>
                <w:rFonts w:asciiTheme="minorHAnsi" w:hAnsiTheme="minorHAnsi" w:cstheme="minorHAnsi"/>
                <w:bCs/>
                <w:sz w:val="20"/>
                <w:szCs w:val="20"/>
              </w:rPr>
              <w:t xml:space="preserve">Ad d) </w:t>
            </w:r>
            <w:r w:rsidRPr="002A79F8">
              <w:rPr>
                <w:rFonts w:asciiTheme="minorHAnsi" w:hAnsiTheme="minorHAnsi" w:cstheme="minorHAnsi"/>
                <w:sz w:val="20"/>
                <w:szCs w:val="20"/>
              </w:rPr>
              <w:t xml:space="preserve">Zdůvodnění, že výstavba a provoz nové budovy nepovede k uvedeným </w:t>
            </w:r>
            <w:r w:rsidRPr="002A79F8">
              <w:rPr>
                <w:rFonts w:asciiTheme="minorHAnsi" w:hAnsiTheme="minorHAnsi" w:cstheme="minorHAnsi"/>
                <w:sz w:val="20"/>
                <w:szCs w:val="20"/>
              </w:rPr>
              <w:lastRenderedPageBreak/>
              <w:t>skutečnostem, včetně popisu přijatých opatření (jako příklad je možné uvést opatření, která zamezí šíření invazních druhů a poškozování přírodních stanovišť při převážení zeminy mimo zábor projektu), bude povinnou součástí projektové dokumentace předkládané v rámci žádosti o podporu.</w:t>
            </w:r>
          </w:p>
          <w:p w14:paraId="5793BC7F" w14:textId="77777777" w:rsidR="0042372D" w:rsidRDefault="0042372D" w:rsidP="0042372D">
            <w:pPr>
              <w:spacing w:after="0" w:line="240" w:lineRule="auto"/>
              <w:rPr>
                <w:rFonts w:asciiTheme="minorHAnsi" w:hAnsiTheme="minorHAnsi" w:cstheme="minorHAnsi"/>
                <w:sz w:val="20"/>
                <w:szCs w:val="20"/>
              </w:rPr>
            </w:pPr>
          </w:p>
          <w:p w14:paraId="59B34115" w14:textId="77777777" w:rsidR="0042372D" w:rsidRDefault="0042372D" w:rsidP="0042372D">
            <w:pPr>
              <w:spacing w:after="0" w:line="240" w:lineRule="auto"/>
              <w:rPr>
                <w:rFonts w:asciiTheme="minorHAnsi" w:hAnsiTheme="minorHAnsi" w:cstheme="minorHAnsi"/>
                <w:sz w:val="20"/>
                <w:szCs w:val="20"/>
              </w:rPr>
            </w:pPr>
            <w:r w:rsidRPr="00E909F0">
              <w:rPr>
                <w:rFonts w:asciiTheme="minorHAnsi" w:hAnsiTheme="minorHAnsi" w:cstheme="minorHAnsi"/>
                <w:sz w:val="20"/>
                <w:szCs w:val="20"/>
              </w:rPr>
              <w:t>Zhodnocení dopadu na biologickou hodnotu území bude povinnou součástí projektové dokumentace předkládané v rámci žádosti o podporu.</w:t>
            </w:r>
          </w:p>
          <w:p w14:paraId="4CD4A083" w14:textId="77777777" w:rsidR="0042372D" w:rsidRDefault="0042372D" w:rsidP="0042372D">
            <w:pPr>
              <w:spacing w:after="0" w:line="240" w:lineRule="auto"/>
              <w:rPr>
                <w:rFonts w:asciiTheme="minorHAnsi" w:hAnsiTheme="minorHAnsi" w:cstheme="minorHAnsi"/>
                <w:sz w:val="20"/>
                <w:szCs w:val="20"/>
              </w:rPr>
            </w:pPr>
          </w:p>
          <w:p w14:paraId="7B3C86ED" w14:textId="679BABAE" w:rsidR="0042372D" w:rsidRDefault="0042372D" w:rsidP="0042372D">
            <w:pPr>
              <w:spacing w:after="0" w:line="240" w:lineRule="auto"/>
              <w:rPr>
                <w:rFonts w:asciiTheme="minorHAnsi" w:hAnsiTheme="minorHAnsi" w:cstheme="minorHAnsi"/>
                <w:bCs/>
                <w:color w:val="A6A6A6" w:themeColor="background1" w:themeShade="A6"/>
                <w:sz w:val="20"/>
                <w:szCs w:val="20"/>
              </w:rPr>
            </w:pPr>
            <w:r w:rsidRPr="008F5796">
              <w:rPr>
                <w:rFonts w:asciiTheme="minorHAnsi" w:hAnsiTheme="minorHAnsi" w:cstheme="minorHAnsi"/>
                <w:sz w:val="20"/>
                <w:szCs w:val="20"/>
              </w:rPr>
              <w:t>Požadování dokládání uvedené podmínky ze strany administrátorů EU fondů se nevztahuje na jednoduché stavby dle přílohy 2 stavebního zákona č. 283/2021 Sb.</w:t>
            </w:r>
          </w:p>
        </w:tc>
        <w:tc>
          <w:tcPr>
            <w:tcW w:w="1064" w:type="pct"/>
            <w:shd w:val="clear" w:color="auto" w:fill="C5E0B3" w:themeFill="accent6" w:themeFillTint="66"/>
          </w:tcPr>
          <w:p w14:paraId="5F1E2D9D" w14:textId="77777777" w:rsidR="0042372D" w:rsidRDefault="0042372D" w:rsidP="0042372D">
            <w:pPr>
              <w:spacing w:after="0" w:line="240" w:lineRule="auto"/>
              <w:rPr>
                <w:rFonts w:asciiTheme="minorHAnsi" w:hAnsiTheme="minorHAnsi" w:cstheme="minorHAnsi"/>
                <w:sz w:val="20"/>
                <w:szCs w:val="20"/>
              </w:rPr>
            </w:pPr>
            <w:r>
              <w:rPr>
                <w:rFonts w:asciiTheme="minorHAnsi" w:hAnsiTheme="minorHAnsi" w:cstheme="minorHAnsi"/>
                <w:sz w:val="20"/>
                <w:szCs w:val="20"/>
              </w:rPr>
              <w:lastRenderedPageBreak/>
              <w:t xml:space="preserve">Ad a) </w:t>
            </w:r>
            <w:r w:rsidRPr="009B6EBB">
              <w:rPr>
                <w:rFonts w:asciiTheme="minorHAnsi" w:hAnsiTheme="minorHAnsi" w:cstheme="minorHAnsi"/>
                <w:sz w:val="20"/>
                <w:szCs w:val="20"/>
              </w:rPr>
              <w:t>Podkladem pro prokázání splnění podmínky je souhlas s odnětím zemědělské půdy ze zemědělského půdního fondu, resp. souhlasné stanovisko JES, které uvádí, zda záměr byl dotčen ochranou dle z. č. 334/1992 Sb., o ochraně zemědělského půdního fondu a v jaké třídě ochrany (tzn. pro kontrolu vyloučení I. a II. třídy). V případě záměrů, pro které se nevydává souhlas s odnětím zemědělské půdy ze zemědělského půdního fondu, resp. JES, lze provést kontrolu skrze katastr nemovitostí pro ujištění, zda a v jaké třídě ochrany zemědělské půdy se záměr nachází.</w:t>
            </w:r>
          </w:p>
          <w:p w14:paraId="23C8C843" w14:textId="77777777" w:rsidR="0042372D" w:rsidRDefault="0042372D" w:rsidP="0042372D">
            <w:pPr>
              <w:spacing w:after="0" w:line="240" w:lineRule="auto"/>
              <w:rPr>
                <w:rFonts w:asciiTheme="minorHAnsi" w:hAnsiTheme="minorHAnsi" w:cstheme="minorHAnsi"/>
                <w:sz w:val="20"/>
                <w:szCs w:val="20"/>
              </w:rPr>
            </w:pPr>
          </w:p>
          <w:p w14:paraId="68B77F37" w14:textId="77777777" w:rsidR="0042372D" w:rsidRDefault="0042372D" w:rsidP="0042372D">
            <w:pPr>
              <w:spacing w:after="0" w:line="240" w:lineRule="auto"/>
              <w:rPr>
                <w:rFonts w:asciiTheme="minorHAnsi" w:hAnsiTheme="minorHAnsi" w:cstheme="minorHAnsi"/>
                <w:sz w:val="20"/>
                <w:szCs w:val="20"/>
              </w:rPr>
            </w:pPr>
            <w:r>
              <w:rPr>
                <w:rFonts w:asciiTheme="minorHAnsi" w:hAnsiTheme="minorHAnsi" w:cstheme="minorHAnsi"/>
                <w:sz w:val="20"/>
                <w:szCs w:val="20"/>
              </w:rPr>
              <w:lastRenderedPageBreak/>
              <w:t>Ad b) V rámci žádosti o podporu vyžadovat po žadateli doložit výpis z </w:t>
            </w:r>
            <w:proofErr w:type="spellStart"/>
            <w:r>
              <w:rPr>
                <w:rFonts w:asciiTheme="minorHAnsi" w:hAnsiTheme="minorHAnsi" w:cstheme="minorHAnsi"/>
                <w:sz w:val="20"/>
                <w:szCs w:val="20"/>
              </w:rPr>
              <w:t>georeportu</w:t>
            </w:r>
            <w:proofErr w:type="spellEnd"/>
            <w:r>
              <w:rPr>
                <w:rFonts w:asciiTheme="minorHAnsi" w:hAnsiTheme="minorHAnsi" w:cstheme="minorHAnsi"/>
                <w:sz w:val="20"/>
                <w:szCs w:val="20"/>
              </w:rPr>
              <w:t xml:space="preserve"> potvrzující, že na dotčeném území záměrem nejsou chráněná přírodní stanoviště, ani stanoviště ohrožených druhů (</w:t>
            </w:r>
            <w:r w:rsidRPr="00A91367">
              <w:rPr>
                <w:rFonts w:asciiTheme="minorHAnsi" w:hAnsiTheme="minorHAnsi" w:cstheme="minorHAnsi"/>
                <w:sz w:val="20"/>
                <w:szCs w:val="20"/>
              </w:rPr>
              <w:t>případně doložit v případě výskytu druhů červeného seznamu stanovisko orgánu ochrany přírody, že se nejedná o závažný zásah</w:t>
            </w:r>
            <w:r w:rsidRPr="007B13E7">
              <w:rPr>
                <w:rFonts w:asciiTheme="minorHAnsi" w:hAnsiTheme="minorHAnsi" w:cstheme="minorHAnsi"/>
                <w:sz w:val="20"/>
                <w:szCs w:val="20"/>
              </w:rPr>
              <w:t>, pokud je vydáno v rámci řízení k záměru</w:t>
            </w:r>
            <w:r>
              <w:rPr>
                <w:rFonts w:asciiTheme="minorHAnsi" w:hAnsiTheme="minorHAnsi" w:cstheme="minorHAnsi"/>
                <w:sz w:val="20"/>
                <w:szCs w:val="20"/>
              </w:rPr>
              <w:t>).</w:t>
            </w:r>
          </w:p>
          <w:p w14:paraId="629848C1" w14:textId="77777777" w:rsidR="0042372D" w:rsidRDefault="0042372D" w:rsidP="0042372D">
            <w:pPr>
              <w:spacing w:after="0" w:line="240" w:lineRule="auto"/>
              <w:rPr>
                <w:rFonts w:asciiTheme="minorHAnsi" w:hAnsiTheme="minorHAnsi" w:cstheme="minorHAnsi"/>
                <w:sz w:val="20"/>
                <w:szCs w:val="20"/>
              </w:rPr>
            </w:pPr>
          </w:p>
          <w:p w14:paraId="072C03E9" w14:textId="77777777" w:rsidR="0042372D" w:rsidRDefault="0042372D" w:rsidP="0042372D">
            <w:pPr>
              <w:spacing w:after="0" w:line="240" w:lineRule="auto"/>
              <w:rPr>
                <w:rFonts w:asciiTheme="minorHAnsi" w:hAnsiTheme="minorHAnsi" w:cstheme="minorHAnsi"/>
                <w:sz w:val="20"/>
                <w:szCs w:val="20"/>
              </w:rPr>
            </w:pPr>
            <w:r>
              <w:rPr>
                <w:rFonts w:asciiTheme="minorHAnsi" w:hAnsiTheme="minorHAnsi" w:cstheme="minorHAnsi"/>
                <w:sz w:val="20"/>
                <w:szCs w:val="20"/>
              </w:rPr>
              <w:t>Ad d) V rámci žádosti o podporu vyžadovat čestné prohlášení o zpracování posouzení a provedení přijatých opatření.</w:t>
            </w:r>
          </w:p>
          <w:p w14:paraId="5A6A38A1" w14:textId="26D5BAB7" w:rsidR="0042372D" w:rsidRDefault="0042372D" w:rsidP="0042372D">
            <w:pPr>
              <w:spacing w:after="0" w:line="240" w:lineRule="auto"/>
              <w:rPr>
                <w:rFonts w:asciiTheme="minorHAnsi" w:hAnsiTheme="minorHAnsi" w:cstheme="minorHAnsi"/>
                <w:sz w:val="20"/>
                <w:szCs w:val="20"/>
              </w:rPr>
            </w:pPr>
          </w:p>
        </w:tc>
        <w:tc>
          <w:tcPr>
            <w:tcW w:w="1102" w:type="pct"/>
            <w:shd w:val="clear" w:color="auto" w:fill="C5E0B3" w:themeFill="accent6" w:themeFillTint="66"/>
          </w:tcPr>
          <w:p w14:paraId="21DEADAA" w14:textId="77777777" w:rsidR="0042372D" w:rsidRDefault="0042372D" w:rsidP="0042372D">
            <w:pPr>
              <w:spacing w:after="0" w:line="240" w:lineRule="auto"/>
              <w:rPr>
                <w:rFonts w:asciiTheme="minorHAnsi" w:hAnsiTheme="minorHAnsi" w:cstheme="minorHAnsi"/>
                <w:sz w:val="20"/>
                <w:szCs w:val="20"/>
              </w:rPr>
            </w:pPr>
            <w:r>
              <w:rPr>
                <w:rFonts w:asciiTheme="minorHAnsi" w:hAnsiTheme="minorHAnsi" w:cstheme="minorHAnsi"/>
                <w:sz w:val="20"/>
                <w:szCs w:val="20"/>
              </w:rPr>
              <w:lastRenderedPageBreak/>
              <w:t>Nová budova není postavena na:</w:t>
            </w:r>
          </w:p>
          <w:p w14:paraId="76B92194" w14:textId="77777777" w:rsidR="0042372D" w:rsidRDefault="0042372D" w:rsidP="0042372D">
            <w:pPr>
              <w:spacing w:after="0" w:line="240" w:lineRule="auto"/>
              <w:rPr>
                <w:rFonts w:asciiTheme="minorHAnsi" w:hAnsiTheme="minorHAnsi" w:cstheme="minorHAnsi"/>
                <w:sz w:val="20"/>
                <w:szCs w:val="20"/>
              </w:rPr>
            </w:pPr>
            <w:r>
              <w:rPr>
                <w:rFonts w:asciiTheme="minorHAnsi" w:hAnsiTheme="minorHAnsi" w:cstheme="minorHAnsi"/>
                <w:sz w:val="20"/>
                <w:szCs w:val="20"/>
              </w:rPr>
              <w:t>a)</w:t>
            </w:r>
            <w:r>
              <w:rPr>
                <w:rFonts w:asciiTheme="minorHAnsi" w:hAnsiTheme="minorHAnsi" w:cstheme="minorHAnsi"/>
                <w:sz w:val="20"/>
                <w:szCs w:val="20"/>
              </w:rPr>
              <w:tab/>
              <w:t>orné půdě a zemědělské půdě se střední až vysokou úrovní úrodnosti a podzemní biologické rozmanitosti podle průzkumu EU LUCAS</w:t>
            </w:r>
            <w:r>
              <w:rPr>
                <w:rFonts w:asciiTheme="minorHAnsi" w:hAnsiTheme="minorHAnsi" w:cstheme="minorHAnsi"/>
                <w:sz w:val="20"/>
                <w:szCs w:val="20"/>
                <w:vertAlign w:val="superscript"/>
              </w:rPr>
              <w:footnoteReference w:id="161"/>
            </w:r>
            <w:r>
              <w:rPr>
                <w:rFonts w:asciiTheme="minorHAnsi" w:hAnsiTheme="minorHAnsi" w:cstheme="minorHAnsi"/>
                <w:sz w:val="20"/>
                <w:szCs w:val="20"/>
              </w:rPr>
              <w:t>;</w:t>
            </w:r>
          </w:p>
          <w:p w14:paraId="374A2E44" w14:textId="77777777" w:rsidR="0042372D" w:rsidRDefault="0042372D" w:rsidP="0042372D">
            <w:pPr>
              <w:spacing w:after="0" w:line="240" w:lineRule="auto"/>
              <w:rPr>
                <w:rFonts w:asciiTheme="minorHAnsi" w:hAnsiTheme="minorHAnsi" w:cstheme="minorHAnsi"/>
                <w:sz w:val="20"/>
                <w:szCs w:val="20"/>
              </w:rPr>
            </w:pPr>
          </w:p>
          <w:p w14:paraId="33DDB827" w14:textId="77777777" w:rsidR="0042372D" w:rsidRDefault="0042372D" w:rsidP="0042372D">
            <w:pPr>
              <w:spacing w:after="0" w:line="240" w:lineRule="auto"/>
              <w:rPr>
                <w:rFonts w:asciiTheme="minorHAnsi" w:hAnsiTheme="minorHAnsi" w:cstheme="minorHAnsi"/>
                <w:sz w:val="20"/>
                <w:szCs w:val="20"/>
              </w:rPr>
            </w:pPr>
            <w:r>
              <w:rPr>
                <w:rFonts w:asciiTheme="minorHAnsi" w:hAnsiTheme="minorHAnsi" w:cstheme="minorHAnsi"/>
                <w:sz w:val="20"/>
                <w:szCs w:val="20"/>
              </w:rPr>
              <w:t>b)</w:t>
            </w:r>
            <w:r>
              <w:rPr>
                <w:rFonts w:asciiTheme="minorHAnsi" w:hAnsiTheme="minorHAnsi" w:cstheme="minorHAnsi"/>
                <w:sz w:val="20"/>
                <w:szCs w:val="20"/>
              </w:rPr>
              <w:tab/>
              <w:t>zelené louce s uznávanou vysokou hodnotou biologické rozmanitosti a půdě, která slouží jako stanoviště ohrožených druhů (flóry a fauny) uvedených na Evropském červeném seznamu</w:t>
            </w:r>
            <w:r>
              <w:rPr>
                <w:rFonts w:asciiTheme="minorHAnsi" w:hAnsiTheme="minorHAnsi" w:cstheme="minorHAnsi"/>
                <w:sz w:val="20"/>
                <w:szCs w:val="20"/>
                <w:vertAlign w:val="superscript"/>
              </w:rPr>
              <w:footnoteReference w:id="162"/>
            </w:r>
            <w:r>
              <w:rPr>
                <w:rFonts w:asciiTheme="minorHAnsi" w:hAnsiTheme="minorHAnsi" w:cstheme="minorHAnsi"/>
                <w:sz w:val="20"/>
                <w:szCs w:val="20"/>
              </w:rPr>
              <w:t xml:space="preserve"> nebo na Červeném seznamu ohrožených druhů IUCN</w:t>
            </w:r>
            <w:r>
              <w:rPr>
                <w:rFonts w:asciiTheme="minorHAnsi" w:hAnsiTheme="minorHAnsi" w:cstheme="minorHAnsi"/>
                <w:sz w:val="20"/>
                <w:szCs w:val="20"/>
                <w:vertAlign w:val="superscript"/>
              </w:rPr>
              <w:footnoteReference w:id="163"/>
            </w:r>
            <w:r>
              <w:rPr>
                <w:rFonts w:asciiTheme="minorHAnsi" w:hAnsiTheme="minorHAnsi" w:cstheme="minorHAnsi"/>
                <w:sz w:val="20"/>
                <w:szCs w:val="20"/>
              </w:rPr>
              <w:t>;</w:t>
            </w:r>
          </w:p>
          <w:p w14:paraId="5BEE74A7" w14:textId="77777777" w:rsidR="0042372D" w:rsidRDefault="0042372D" w:rsidP="0042372D">
            <w:pPr>
              <w:spacing w:after="0" w:line="240" w:lineRule="auto"/>
              <w:rPr>
                <w:rFonts w:asciiTheme="minorHAnsi" w:hAnsiTheme="minorHAnsi" w:cstheme="minorHAnsi"/>
                <w:sz w:val="20"/>
                <w:szCs w:val="20"/>
              </w:rPr>
            </w:pPr>
          </w:p>
          <w:p w14:paraId="65FE0541" w14:textId="77777777" w:rsidR="0042372D" w:rsidRDefault="0042372D" w:rsidP="0042372D">
            <w:pPr>
              <w:spacing w:after="0" w:line="240" w:lineRule="auto"/>
              <w:rPr>
                <w:rFonts w:asciiTheme="minorHAnsi" w:hAnsiTheme="minorHAnsi" w:cstheme="minorHAnsi"/>
                <w:sz w:val="20"/>
                <w:szCs w:val="20"/>
              </w:rPr>
            </w:pPr>
            <w:r>
              <w:rPr>
                <w:rFonts w:asciiTheme="minorHAnsi" w:hAnsiTheme="minorHAnsi" w:cstheme="minorHAnsi"/>
                <w:sz w:val="20"/>
                <w:szCs w:val="20"/>
              </w:rPr>
              <w:t>c)</w:t>
            </w:r>
            <w:r>
              <w:rPr>
                <w:rFonts w:asciiTheme="minorHAnsi" w:hAnsiTheme="minorHAnsi" w:cstheme="minorHAnsi"/>
                <w:sz w:val="20"/>
                <w:szCs w:val="20"/>
              </w:rPr>
              <w:tab/>
              <w:t xml:space="preserve">půdě, která odpovídá definici lesa stanovené ve vnitrostátních právních předpisech nebo používané v </w:t>
            </w:r>
            <w:r>
              <w:rPr>
                <w:rFonts w:asciiTheme="minorHAnsi" w:hAnsiTheme="minorHAnsi" w:cstheme="minorHAnsi"/>
                <w:sz w:val="20"/>
                <w:szCs w:val="20"/>
              </w:rPr>
              <w:lastRenderedPageBreak/>
              <w:t>národní inventuře skleníkových plynů, nebo pokud taková definice neexistuje, půdě, která je v souladu s definicí lesa podle FAO</w:t>
            </w:r>
            <w:r>
              <w:rPr>
                <w:rFonts w:asciiTheme="minorHAnsi" w:hAnsiTheme="minorHAnsi" w:cstheme="minorHAnsi"/>
                <w:sz w:val="20"/>
                <w:szCs w:val="20"/>
                <w:vertAlign w:val="superscript"/>
              </w:rPr>
              <w:footnoteReference w:id="164"/>
            </w:r>
            <w:r>
              <w:rPr>
                <w:rFonts w:asciiTheme="minorHAnsi" w:hAnsiTheme="minorHAnsi" w:cstheme="minorHAnsi"/>
                <w:sz w:val="20"/>
                <w:szCs w:val="20"/>
              </w:rPr>
              <w:t>.</w:t>
            </w:r>
          </w:p>
          <w:p w14:paraId="5D1C7F9B" w14:textId="77777777" w:rsidR="0042372D" w:rsidRDefault="0042372D" w:rsidP="0042372D">
            <w:pPr>
              <w:spacing w:after="0" w:line="240" w:lineRule="auto"/>
              <w:rPr>
                <w:rFonts w:asciiTheme="minorHAnsi" w:hAnsiTheme="minorHAnsi" w:cstheme="minorHAnsi"/>
                <w:sz w:val="20"/>
                <w:szCs w:val="20"/>
              </w:rPr>
            </w:pPr>
          </w:p>
          <w:p w14:paraId="295833DA" w14:textId="77777777" w:rsidR="0042372D" w:rsidRDefault="0042372D" w:rsidP="0042372D">
            <w:pPr>
              <w:spacing w:after="0" w:line="240" w:lineRule="auto"/>
              <w:rPr>
                <w:rFonts w:asciiTheme="minorHAnsi" w:hAnsiTheme="minorHAnsi" w:cstheme="minorHAnsi"/>
                <w:b/>
                <w:i/>
                <w:sz w:val="20"/>
                <w:szCs w:val="20"/>
              </w:rPr>
            </w:pPr>
            <w:r>
              <w:rPr>
                <w:rFonts w:asciiTheme="minorHAnsi" w:hAnsiTheme="minorHAnsi" w:cstheme="minorHAnsi"/>
                <w:b/>
                <w:i/>
                <w:sz w:val="20"/>
                <w:szCs w:val="20"/>
              </w:rPr>
              <w:t>Ad a) podmínka nenaplňuje podmínky DNSH dle přílohy I a přílohy II nařízení EU 2021/2139, pro naplnění by musel být plně vyloučen zábor odpovídající v legislativě I. až III. třídě ochrany (BPEJ).</w:t>
            </w:r>
          </w:p>
          <w:p w14:paraId="37CA042B" w14:textId="77777777" w:rsidR="0042372D" w:rsidRDefault="0042372D" w:rsidP="0042372D">
            <w:pPr>
              <w:spacing w:after="0" w:line="240" w:lineRule="auto"/>
              <w:rPr>
                <w:rFonts w:asciiTheme="minorHAnsi" w:hAnsiTheme="minorHAnsi" w:cstheme="minorHAnsi"/>
                <w:b/>
                <w:i/>
                <w:sz w:val="20"/>
                <w:szCs w:val="20"/>
              </w:rPr>
            </w:pPr>
          </w:p>
          <w:p w14:paraId="33CD6815" w14:textId="25AE312E" w:rsidR="0042372D" w:rsidRDefault="0042372D" w:rsidP="0042372D">
            <w:pPr>
              <w:spacing w:after="0" w:line="240" w:lineRule="auto"/>
              <w:rPr>
                <w:rFonts w:asciiTheme="minorHAnsi" w:hAnsiTheme="minorHAnsi" w:cstheme="minorHAnsi"/>
                <w:sz w:val="20"/>
                <w:szCs w:val="20"/>
              </w:rPr>
            </w:pPr>
            <w:r>
              <w:rPr>
                <w:rFonts w:asciiTheme="minorHAnsi" w:hAnsiTheme="minorHAnsi" w:cstheme="minorHAnsi"/>
                <w:b/>
                <w:i/>
                <w:sz w:val="20"/>
                <w:szCs w:val="20"/>
              </w:rPr>
              <w:t xml:space="preserve">Ad b) a c) Podmínky jsou přímo podmínkami DNSH dle přílohy I a přílohy II nařízení EU 2021/2139 a jsou tímto ve fondech splněny za předpokladu jejich splnění na úrovni individuálního projektu. </w:t>
            </w:r>
            <w:r w:rsidRPr="009C1C3A">
              <w:rPr>
                <w:rFonts w:asciiTheme="minorHAnsi" w:hAnsiTheme="minorHAnsi" w:cstheme="minorHAnsi"/>
                <w:bCs/>
                <w:i/>
                <w:sz w:val="20"/>
                <w:szCs w:val="20"/>
              </w:rPr>
              <w:t>Pozn. V</w:t>
            </w:r>
            <w:r>
              <w:rPr>
                <w:rFonts w:asciiTheme="minorHAnsi" w:hAnsiTheme="minorHAnsi" w:cstheme="minorHAnsi"/>
                <w:bCs/>
                <w:i/>
                <w:sz w:val="20"/>
                <w:szCs w:val="20"/>
              </w:rPr>
              <w:t> </w:t>
            </w:r>
            <w:r w:rsidRPr="009C1C3A">
              <w:rPr>
                <w:rFonts w:asciiTheme="minorHAnsi" w:hAnsiTheme="minorHAnsi" w:cstheme="minorHAnsi"/>
                <w:bCs/>
                <w:i/>
                <w:sz w:val="20"/>
                <w:szCs w:val="20"/>
              </w:rPr>
              <w:t>případ</w:t>
            </w:r>
            <w:r>
              <w:rPr>
                <w:rFonts w:asciiTheme="minorHAnsi" w:hAnsiTheme="minorHAnsi" w:cstheme="minorHAnsi"/>
                <w:bCs/>
                <w:i/>
                <w:sz w:val="20"/>
                <w:szCs w:val="20"/>
              </w:rPr>
              <w:t>ě podmínky týkající se druhů červených seznamů se vychází z národních červených seznamů, které jsou sestaveny na základě mezinárodních kritérií IUCN</w:t>
            </w:r>
          </w:p>
        </w:tc>
      </w:tr>
      <w:tr w:rsidR="0042372D" w14:paraId="306D5F94" w14:textId="77777777" w:rsidTr="00AF460E">
        <w:tc>
          <w:tcPr>
            <w:tcW w:w="570" w:type="pct"/>
            <w:shd w:val="clear" w:color="auto" w:fill="E7E6E6" w:themeFill="background2"/>
          </w:tcPr>
          <w:p w14:paraId="357BCA72" w14:textId="47ABF134" w:rsidR="0042372D" w:rsidRDefault="0042372D" w:rsidP="006C1B48">
            <w:pPr>
              <w:spacing w:after="0" w:line="240" w:lineRule="auto"/>
              <w:jc w:val="left"/>
              <w:rPr>
                <w:rFonts w:asciiTheme="minorHAnsi" w:hAnsiTheme="minorHAnsi" w:cstheme="minorHAnsi"/>
                <w:b/>
                <w:sz w:val="20"/>
                <w:szCs w:val="20"/>
              </w:rPr>
            </w:pPr>
            <w:r>
              <w:rPr>
                <w:rFonts w:asciiTheme="minorHAnsi" w:hAnsiTheme="minorHAnsi" w:cstheme="minorHAnsi"/>
                <w:b/>
                <w:sz w:val="20"/>
                <w:szCs w:val="20"/>
              </w:rPr>
              <w:lastRenderedPageBreak/>
              <w:t>Průřezová podmínka relevantní ke všem cílům (zejm. vůči ochraně vod, omezování znečištění a biodiverzitě)</w:t>
            </w:r>
          </w:p>
        </w:tc>
        <w:tc>
          <w:tcPr>
            <w:tcW w:w="1150" w:type="pct"/>
            <w:shd w:val="clear" w:color="auto" w:fill="E7E6E6" w:themeFill="background2"/>
          </w:tcPr>
          <w:p w14:paraId="69124483" w14:textId="26A179FB" w:rsidR="0042372D" w:rsidRPr="001A199F" w:rsidRDefault="0042372D" w:rsidP="0042372D">
            <w:pPr>
              <w:spacing w:after="0" w:line="240" w:lineRule="auto"/>
              <w:rPr>
                <w:rFonts w:asciiTheme="minorHAnsi" w:hAnsiTheme="minorHAnsi" w:cstheme="minorHAnsi"/>
                <w:bCs/>
                <w:color w:val="808080" w:themeColor="background1" w:themeShade="80"/>
                <w:sz w:val="20"/>
                <w:szCs w:val="20"/>
              </w:rPr>
            </w:pPr>
            <w:r>
              <w:rPr>
                <w:rFonts w:asciiTheme="minorHAnsi" w:hAnsiTheme="minorHAnsi" w:cstheme="minorHAnsi"/>
                <w:sz w:val="20"/>
                <w:szCs w:val="20"/>
              </w:rPr>
              <w:t>Soulad s legislativou a zajištění p</w:t>
            </w:r>
            <w:r w:rsidRPr="00F003F8">
              <w:rPr>
                <w:rFonts w:asciiTheme="minorHAnsi" w:hAnsiTheme="minorHAnsi" w:cstheme="minorHAnsi"/>
                <w:sz w:val="20"/>
                <w:szCs w:val="20"/>
              </w:rPr>
              <w:t>rovedení opatření vzešlých z posuzování vlivů na životní prostředí (EIA), z jednotného environmentálního stanoviska nebo společného rozhodnutí dle ustanovení § 83 ZOPK</w:t>
            </w:r>
            <w:r>
              <w:rPr>
                <w:rFonts w:asciiTheme="minorHAnsi" w:hAnsiTheme="minorHAnsi" w:cstheme="minorHAnsi"/>
                <w:sz w:val="20"/>
                <w:szCs w:val="20"/>
              </w:rPr>
              <w:t>. R</w:t>
            </w:r>
            <w:r w:rsidRPr="0037631F">
              <w:rPr>
                <w:rFonts w:asciiTheme="minorHAnsi" w:hAnsiTheme="minorHAnsi" w:cstheme="minorHAnsi"/>
                <w:sz w:val="20"/>
                <w:szCs w:val="20"/>
              </w:rPr>
              <w:t>espektová</w:t>
            </w:r>
            <w:r>
              <w:rPr>
                <w:rFonts w:asciiTheme="minorHAnsi" w:hAnsiTheme="minorHAnsi" w:cstheme="minorHAnsi"/>
                <w:sz w:val="20"/>
                <w:szCs w:val="20"/>
              </w:rPr>
              <w:t>ní</w:t>
            </w:r>
            <w:r w:rsidRPr="0037631F">
              <w:rPr>
                <w:rFonts w:asciiTheme="minorHAnsi" w:hAnsiTheme="minorHAnsi" w:cstheme="minorHAnsi"/>
                <w:sz w:val="20"/>
                <w:szCs w:val="20"/>
              </w:rPr>
              <w:t xml:space="preserve"> limit</w:t>
            </w:r>
            <w:r>
              <w:rPr>
                <w:rFonts w:asciiTheme="minorHAnsi" w:hAnsiTheme="minorHAnsi" w:cstheme="minorHAnsi"/>
                <w:sz w:val="20"/>
                <w:szCs w:val="20"/>
              </w:rPr>
              <w:t>ů</w:t>
            </w:r>
            <w:r w:rsidRPr="0037631F">
              <w:rPr>
                <w:rFonts w:asciiTheme="minorHAnsi" w:hAnsiTheme="minorHAnsi" w:cstheme="minorHAnsi"/>
                <w:sz w:val="20"/>
                <w:szCs w:val="20"/>
              </w:rPr>
              <w:t xml:space="preserve"> zákona č. 114/1992 Sb. o ochraně přírody a krajiny.</w:t>
            </w:r>
          </w:p>
        </w:tc>
        <w:tc>
          <w:tcPr>
            <w:tcW w:w="1114" w:type="pct"/>
            <w:shd w:val="clear" w:color="auto" w:fill="E7E6E6" w:themeFill="background2"/>
          </w:tcPr>
          <w:p w14:paraId="796D880C" w14:textId="77777777" w:rsidR="0042372D" w:rsidRPr="00DC5D8F" w:rsidRDefault="0042372D" w:rsidP="0042372D">
            <w:pPr>
              <w:spacing w:after="0" w:line="240" w:lineRule="auto"/>
              <w:rPr>
                <w:rFonts w:asciiTheme="minorHAnsi" w:hAnsiTheme="minorHAnsi" w:cstheme="minorHAnsi"/>
                <w:sz w:val="20"/>
                <w:szCs w:val="20"/>
              </w:rPr>
            </w:pPr>
            <w:r w:rsidRPr="00DC5D8F">
              <w:rPr>
                <w:rFonts w:asciiTheme="minorHAnsi" w:hAnsiTheme="minorHAnsi" w:cstheme="minorHAnsi"/>
                <w:sz w:val="20"/>
                <w:szCs w:val="20"/>
              </w:rPr>
              <w:t>Nastavení podmínek podpory.</w:t>
            </w:r>
          </w:p>
          <w:p w14:paraId="7A092BF1" w14:textId="77777777" w:rsidR="0042372D" w:rsidRPr="00CB10CF" w:rsidRDefault="0042372D" w:rsidP="0042372D">
            <w:pPr>
              <w:spacing w:after="0" w:line="240" w:lineRule="auto"/>
              <w:rPr>
                <w:rFonts w:asciiTheme="minorHAnsi" w:hAnsiTheme="minorHAnsi" w:cstheme="minorHAnsi"/>
                <w:sz w:val="20"/>
                <w:szCs w:val="20"/>
              </w:rPr>
            </w:pPr>
          </w:p>
          <w:p w14:paraId="4CE7B8DB" w14:textId="77777777" w:rsidR="0042372D" w:rsidRPr="00CB10CF" w:rsidRDefault="0042372D" w:rsidP="0042372D">
            <w:pPr>
              <w:spacing w:after="0" w:line="240" w:lineRule="auto"/>
              <w:rPr>
                <w:rFonts w:asciiTheme="minorHAnsi" w:hAnsiTheme="minorHAnsi" w:cstheme="minorHAnsi"/>
                <w:sz w:val="20"/>
                <w:szCs w:val="20"/>
              </w:rPr>
            </w:pPr>
            <w:r w:rsidRPr="00CB10CF">
              <w:rPr>
                <w:rFonts w:asciiTheme="minorHAnsi" w:hAnsiTheme="minorHAnsi" w:cstheme="minorHAnsi"/>
                <w:sz w:val="20"/>
                <w:szCs w:val="20"/>
              </w:rPr>
              <w:t>V případě, že bylo provedeno posuzování vlivů na životní prostředí (EIA), screening v souladu se směrnicí 2011/92/EU, nebo spadá záměr opatření pod složkovou environmentální legislativu integrovanou do jednotného environmentálního stanoviska</w:t>
            </w:r>
            <w:r>
              <w:rPr>
                <w:rFonts w:asciiTheme="minorHAnsi" w:hAnsiTheme="minorHAnsi" w:cstheme="minorHAnsi"/>
                <w:sz w:val="20"/>
                <w:szCs w:val="20"/>
              </w:rPr>
              <w:t xml:space="preserve"> (případně do společného rozhodnutí dle § 83 ZOPK)</w:t>
            </w:r>
            <w:r w:rsidRPr="00CB10CF">
              <w:rPr>
                <w:rFonts w:asciiTheme="minorHAnsi" w:hAnsiTheme="minorHAnsi" w:cstheme="minorHAnsi"/>
                <w:sz w:val="20"/>
                <w:szCs w:val="20"/>
              </w:rPr>
              <w:t>, je nutné zajistit, že byla provedena požadovaná zmírňující a kompenzační opatření na ochranu životního prostředí.</w:t>
            </w:r>
          </w:p>
          <w:p w14:paraId="70AB9095" w14:textId="77777777" w:rsidR="0042372D" w:rsidRPr="00CB10CF" w:rsidRDefault="0042372D" w:rsidP="0042372D">
            <w:pPr>
              <w:spacing w:after="0" w:line="240" w:lineRule="auto"/>
              <w:rPr>
                <w:rFonts w:asciiTheme="minorHAnsi" w:hAnsiTheme="minorHAnsi" w:cstheme="minorHAnsi"/>
                <w:sz w:val="20"/>
                <w:szCs w:val="20"/>
              </w:rPr>
            </w:pPr>
          </w:p>
          <w:p w14:paraId="00D69AF8" w14:textId="77777777" w:rsidR="0042372D" w:rsidRPr="00CB10CF" w:rsidRDefault="0042372D" w:rsidP="0042372D">
            <w:pPr>
              <w:spacing w:after="0" w:line="240" w:lineRule="auto"/>
              <w:rPr>
                <w:rFonts w:asciiTheme="minorHAnsi" w:hAnsiTheme="minorHAnsi" w:cstheme="minorHAnsi"/>
                <w:sz w:val="20"/>
                <w:szCs w:val="20"/>
              </w:rPr>
            </w:pPr>
            <w:r w:rsidRPr="00CB10CF">
              <w:rPr>
                <w:rFonts w:asciiTheme="minorHAnsi" w:hAnsiTheme="minorHAnsi" w:cstheme="minorHAnsi"/>
                <w:sz w:val="20"/>
                <w:szCs w:val="20"/>
              </w:rPr>
              <w:t xml:space="preserve">Zmírňující a kompenzační opatření na ochranu životního prostředí by měla být </w:t>
            </w:r>
            <w:r w:rsidRPr="00CB10CF">
              <w:rPr>
                <w:rFonts w:asciiTheme="minorHAnsi" w:hAnsiTheme="minorHAnsi" w:cstheme="minorHAnsi"/>
                <w:sz w:val="20"/>
                <w:szCs w:val="20"/>
              </w:rPr>
              <w:lastRenderedPageBreak/>
              <w:t xml:space="preserve">součástí </w:t>
            </w:r>
            <w:r>
              <w:rPr>
                <w:rFonts w:asciiTheme="minorHAnsi" w:hAnsiTheme="minorHAnsi" w:cstheme="minorHAnsi"/>
                <w:sz w:val="20"/>
                <w:szCs w:val="20"/>
              </w:rPr>
              <w:t>souhrnné technické zprávy projektu</w:t>
            </w:r>
            <w:r w:rsidRPr="00CB10CF">
              <w:rPr>
                <w:rFonts w:asciiTheme="minorHAnsi" w:hAnsiTheme="minorHAnsi" w:cstheme="minorHAnsi"/>
                <w:sz w:val="20"/>
                <w:szCs w:val="20"/>
              </w:rPr>
              <w:t>. Tyto jsou poté kontrolovány v rámci stavebního řízení, finálně však ve smyslu, že byla provedena zmírňující a kompenzační opatření až při kolaudaci.</w:t>
            </w:r>
          </w:p>
          <w:p w14:paraId="4403D2DE" w14:textId="77777777" w:rsidR="0042372D" w:rsidRPr="00CB10CF" w:rsidRDefault="0042372D" w:rsidP="0042372D">
            <w:pPr>
              <w:spacing w:after="0" w:line="240" w:lineRule="auto"/>
              <w:rPr>
                <w:rFonts w:asciiTheme="minorHAnsi" w:hAnsiTheme="minorHAnsi" w:cstheme="minorHAnsi"/>
                <w:sz w:val="20"/>
                <w:szCs w:val="20"/>
              </w:rPr>
            </w:pPr>
          </w:p>
          <w:p w14:paraId="61BD6005" w14:textId="77777777" w:rsidR="0042372D" w:rsidRDefault="0042372D" w:rsidP="0042372D">
            <w:pPr>
              <w:spacing w:after="0" w:line="240" w:lineRule="auto"/>
              <w:rPr>
                <w:rFonts w:asciiTheme="minorHAnsi" w:hAnsiTheme="minorHAnsi" w:cstheme="minorHAnsi"/>
                <w:sz w:val="20"/>
                <w:szCs w:val="20"/>
              </w:rPr>
            </w:pPr>
            <w:r w:rsidRPr="00F003F8">
              <w:rPr>
                <w:rFonts w:asciiTheme="minorHAnsi" w:hAnsiTheme="minorHAnsi" w:cstheme="minorHAnsi"/>
                <w:sz w:val="20"/>
                <w:szCs w:val="20"/>
              </w:rPr>
              <w:t>Uzavření stavebního řízení se však nemusí setkat v čase s rozhodnutím o poskytnutí dotace, proto je potřeba požadovat čestné prohlášení ohledně provedení zmírňujících a kompenzačních opatření na ochranu životního prostředí vyplývajících z uvedených řízení.</w:t>
            </w:r>
          </w:p>
          <w:p w14:paraId="39198F29" w14:textId="77777777" w:rsidR="0042372D" w:rsidRDefault="0042372D" w:rsidP="0042372D">
            <w:pPr>
              <w:spacing w:after="0" w:line="240" w:lineRule="auto"/>
              <w:rPr>
                <w:rFonts w:asciiTheme="minorHAnsi" w:hAnsiTheme="minorHAnsi" w:cstheme="minorHAnsi"/>
                <w:sz w:val="20"/>
                <w:szCs w:val="20"/>
              </w:rPr>
            </w:pPr>
          </w:p>
          <w:p w14:paraId="06E9577A" w14:textId="534B515D" w:rsidR="0042372D" w:rsidRPr="001A199F" w:rsidRDefault="0042372D" w:rsidP="0042372D">
            <w:pPr>
              <w:spacing w:after="0" w:line="240" w:lineRule="auto"/>
              <w:rPr>
                <w:rFonts w:asciiTheme="minorHAnsi" w:hAnsiTheme="minorHAnsi" w:cstheme="minorHAnsi"/>
                <w:color w:val="808080" w:themeColor="background1" w:themeShade="80"/>
                <w:sz w:val="20"/>
                <w:szCs w:val="20"/>
              </w:rPr>
            </w:pPr>
            <w:r w:rsidRPr="0040694E">
              <w:rPr>
                <w:rFonts w:asciiTheme="minorHAnsi" w:hAnsiTheme="minorHAnsi" w:cstheme="minorHAnsi"/>
                <w:sz w:val="20"/>
                <w:szCs w:val="20"/>
              </w:rPr>
              <w:t xml:space="preserve">Pokud je jedním z opatření projektu zlepšení tepelně technických vlastností obvodových konstrukcí budovy, musí být na objektu proveden zoologický průzkum a na jeho základě zpracovaný odborný posudek k možnému výskytu synantropních zvláště chráněných druhů živočichů. Pokud je výskyt synantropních zvláště chráněných druhů živočichů prokázán, je nezbytné jejich sídla (hnízdiště, sezónní úkryty atp.) zachovat v původní nebo modifikované podobě, případně, pokud charakter stavebních úprav jejich zachování vylučuje, zajistit v odpovídajícím rozsahu jejich náhradu v souladu s ustanoveními zákona č. 114/1992 Sb., o ochraně přírody a krajiny, ve znění pozdějších předpisů a obecně postupovat v souladu s </w:t>
            </w:r>
            <w:r w:rsidRPr="0040694E">
              <w:rPr>
                <w:rFonts w:asciiTheme="minorHAnsi" w:hAnsiTheme="minorHAnsi" w:cstheme="minorHAnsi"/>
                <w:sz w:val="20"/>
                <w:szCs w:val="20"/>
              </w:rPr>
              <w:lastRenderedPageBreak/>
              <w:t>„</w:t>
            </w:r>
            <w:hyperlink r:id="rId143" w:history="1">
              <w:r w:rsidRPr="0040694E">
                <w:rPr>
                  <w:rStyle w:val="Hypertextovodkaz"/>
                  <w:rFonts w:asciiTheme="minorHAnsi" w:hAnsiTheme="minorHAnsi" w:cstheme="minorHAnsi"/>
                  <w:sz w:val="20"/>
                  <w:szCs w:val="20"/>
                </w:rPr>
                <w:t>Metodikou posuzování staveb z hlediska výskytu obecně a zvláště chráněných synantropních druhů živočichů</w:t>
              </w:r>
            </w:hyperlink>
            <w:r w:rsidRPr="0040694E">
              <w:rPr>
                <w:rFonts w:asciiTheme="minorHAnsi" w:hAnsiTheme="minorHAnsi" w:cstheme="minorHAnsi"/>
                <w:sz w:val="20"/>
                <w:szCs w:val="20"/>
              </w:rPr>
              <w:t>“.</w:t>
            </w:r>
          </w:p>
        </w:tc>
        <w:tc>
          <w:tcPr>
            <w:tcW w:w="1064" w:type="pct"/>
            <w:shd w:val="clear" w:color="auto" w:fill="E7E6E6" w:themeFill="background2"/>
          </w:tcPr>
          <w:p w14:paraId="6E3D471E" w14:textId="77777777" w:rsidR="0042372D" w:rsidRDefault="0042372D" w:rsidP="0042372D">
            <w:pPr>
              <w:spacing w:after="0" w:line="240" w:lineRule="auto"/>
              <w:rPr>
                <w:rFonts w:asciiTheme="minorHAnsi" w:hAnsiTheme="minorHAnsi" w:cstheme="minorHAnsi"/>
                <w:sz w:val="20"/>
                <w:szCs w:val="20"/>
              </w:rPr>
            </w:pPr>
            <w:r w:rsidRPr="00CB10CF">
              <w:rPr>
                <w:rFonts w:asciiTheme="minorHAnsi" w:hAnsiTheme="minorHAnsi" w:cstheme="minorHAnsi"/>
                <w:sz w:val="20"/>
                <w:szCs w:val="20"/>
              </w:rPr>
              <w:lastRenderedPageBreak/>
              <w:t>Požadavek na čestné prohlášení ohledně plného zohlednění doporučení stanoviska EIA v projektu (v rámci projektů podléhajících EIA) nebo jednotného environmentálního stanoviska</w:t>
            </w:r>
            <w:r>
              <w:rPr>
                <w:rFonts w:asciiTheme="minorHAnsi" w:hAnsiTheme="minorHAnsi" w:cstheme="minorHAnsi"/>
                <w:sz w:val="20"/>
                <w:szCs w:val="20"/>
              </w:rPr>
              <w:t xml:space="preserve"> (případně společného rozhodnutí dle § 83 ZOPK)</w:t>
            </w:r>
            <w:r w:rsidRPr="00CB10CF">
              <w:rPr>
                <w:rFonts w:asciiTheme="minorHAnsi" w:hAnsiTheme="minorHAnsi" w:cstheme="minorHAnsi"/>
                <w:sz w:val="20"/>
                <w:szCs w:val="20"/>
              </w:rPr>
              <w:t>, pokud již nebyla provedena kolaudace v průběhu řízení o přidělení dotace.</w:t>
            </w:r>
          </w:p>
          <w:p w14:paraId="3FDE4E72" w14:textId="77777777" w:rsidR="0042372D" w:rsidRDefault="0042372D" w:rsidP="0042372D">
            <w:pPr>
              <w:spacing w:after="0" w:line="240" w:lineRule="auto"/>
              <w:rPr>
                <w:rFonts w:asciiTheme="minorHAnsi" w:hAnsiTheme="minorHAnsi" w:cstheme="minorHAnsi"/>
                <w:sz w:val="20"/>
                <w:szCs w:val="20"/>
              </w:rPr>
            </w:pPr>
          </w:p>
          <w:p w14:paraId="40CDA6E8" w14:textId="1D0C124B" w:rsidR="0042372D" w:rsidRPr="001A199F" w:rsidRDefault="0042372D" w:rsidP="0042372D">
            <w:pPr>
              <w:spacing w:after="0" w:line="240" w:lineRule="auto"/>
              <w:rPr>
                <w:rFonts w:asciiTheme="minorHAnsi" w:hAnsiTheme="minorHAnsi" w:cstheme="minorHAnsi"/>
                <w:color w:val="808080" w:themeColor="background1" w:themeShade="80"/>
                <w:sz w:val="20"/>
                <w:szCs w:val="20"/>
              </w:rPr>
            </w:pPr>
            <w:r w:rsidRPr="0037631F">
              <w:rPr>
                <w:rFonts w:asciiTheme="minorHAnsi" w:hAnsiTheme="minorHAnsi" w:cstheme="minorHAnsi"/>
                <w:sz w:val="20"/>
                <w:szCs w:val="20"/>
              </w:rPr>
              <w:t>Alternativně by bylo nutné kontrolovat ze strany administrátora EU fondů projektovou dokumentaci, zda jsou zapracovány podmínky z jednotného environmentálního stanoviska (popř. společného rozhodnutí) a následně i realizovány</w:t>
            </w:r>
            <w:r>
              <w:rPr>
                <w:rFonts w:asciiTheme="minorHAnsi" w:hAnsiTheme="minorHAnsi" w:cstheme="minorHAnsi"/>
                <w:sz w:val="20"/>
                <w:szCs w:val="20"/>
              </w:rPr>
              <w:t>.</w:t>
            </w:r>
          </w:p>
        </w:tc>
        <w:tc>
          <w:tcPr>
            <w:tcW w:w="1102" w:type="pct"/>
            <w:shd w:val="clear" w:color="auto" w:fill="E7E6E6" w:themeFill="background2"/>
          </w:tcPr>
          <w:p w14:paraId="30B52BB4" w14:textId="77777777" w:rsidR="0042372D" w:rsidRPr="00CB10CF" w:rsidRDefault="0042372D" w:rsidP="0042372D">
            <w:pPr>
              <w:spacing w:after="0" w:line="240" w:lineRule="auto"/>
              <w:rPr>
                <w:rFonts w:asciiTheme="minorHAnsi" w:hAnsiTheme="minorHAnsi" w:cstheme="minorHAnsi"/>
                <w:sz w:val="20"/>
                <w:szCs w:val="20"/>
              </w:rPr>
            </w:pPr>
            <w:r w:rsidRPr="00CB10CF">
              <w:rPr>
                <w:rFonts w:asciiTheme="minorHAnsi" w:hAnsiTheme="minorHAnsi" w:cstheme="minorHAnsi"/>
                <w:sz w:val="20"/>
                <w:szCs w:val="20"/>
              </w:rPr>
              <w:t>Bylo provedeno posuzování vlivů na životní prostředí (EIA) nebo screening</w:t>
            </w:r>
            <w:r w:rsidRPr="00CB10CF">
              <w:rPr>
                <w:rFonts w:asciiTheme="minorHAnsi" w:hAnsiTheme="minorHAnsi" w:cstheme="minorHAnsi"/>
                <w:sz w:val="20"/>
                <w:szCs w:val="20"/>
                <w:vertAlign w:val="superscript"/>
              </w:rPr>
              <w:footnoteReference w:id="165"/>
            </w:r>
            <w:r w:rsidRPr="00CB10CF">
              <w:rPr>
                <w:rFonts w:asciiTheme="minorHAnsi" w:hAnsiTheme="minorHAnsi" w:cstheme="minorHAnsi"/>
                <w:sz w:val="20"/>
                <w:szCs w:val="20"/>
              </w:rPr>
              <w:t xml:space="preserve"> v souladu se směrnicí 2011/92/EU</w:t>
            </w:r>
            <w:r w:rsidRPr="00CB10CF">
              <w:rPr>
                <w:rFonts w:asciiTheme="minorHAnsi" w:hAnsiTheme="minorHAnsi" w:cstheme="minorHAnsi"/>
                <w:sz w:val="20"/>
                <w:szCs w:val="20"/>
                <w:vertAlign w:val="superscript"/>
              </w:rPr>
              <w:footnoteReference w:id="166"/>
            </w:r>
            <w:r w:rsidRPr="00CB10CF">
              <w:rPr>
                <w:rFonts w:asciiTheme="minorHAnsi" w:hAnsiTheme="minorHAnsi" w:cstheme="minorHAnsi"/>
                <w:sz w:val="20"/>
                <w:szCs w:val="20"/>
              </w:rPr>
              <w:t>.</w:t>
            </w:r>
          </w:p>
          <w:p w14:paraId="315A5F6D" w14:textId="77777777" w:rsidR="0042372D" w:rsidRPr="00CB10CF" w:rsidRDefault="0042372D" w:rsidP="0042372D">
            <w:pPr>
              <w:spacing w:after="0" w:line="240" w:lineRule="auto"/>
              <w:rPr>
                <w:rFonts w:asciiTheme="minorHAnsi" w:hAnsiTheme="minorHAnsi" w:cstheme="minorHAnsi"/>
                <w:sz w:val="20"/>
                <w:szCs w:val="20"/>
              </w:rPr>
            </w:pPr>
            <w:r w:rsidRPr="00CB10CF">
              <w:rPr>
                <w:rFonts w:asciiTheme="minorHAnsi" w:hAnsiTheme="minorHAnsi" w:cstheme="minorHAnsi"/>
                <w:sz w:val="20"/>
                <w:szCs w:val="20"/>
              </w:rPr>
              <w:t>V případě, že bylo provedeno posouzení vlivů na životní prostředí, jsou provedena požadovaná zmírňující a kompenzační opatření na ochranu životního prostředí.</w:t>
            </w:r>
          </w:p>
          <w:p w14:paraId="730B9390" w14:textId="77777777" w:rsidR="0042372D" w:rsidRPr="00CB10CF" w:rsidRDefault="0042372D" w:rsidP="0042372D">
            <w:pPr>
              <w:spacing w:after="0" w:line="240" w:lineRule="auto"/>
              <w:rPr>
                <w:rFonts w:asciiTheme="minorHAnsi" w:hAnsiTheme="minorHAnsi" w:cstheme="minorHAnsi"/>
                <w:sz w:val="20"/>
                <w:szCs w:val="20"/>
              </w:rPr>
            </w:pPr>
          </w:p>
          <w:p w14:paraId="1E28F9A5" w14:textId="77777777" w:rsidR="0042372D" w:rsidRDefault="0042372D" w:rsidP="0042372D">
            <w:pPr>
              <w:spacing w:after="0" w:line="240" w:lineRule="auto"/>
              <w:rPr>
                <w:rFonts w:asciiTheme="minorHAnsi" w:hAnsiTheme="minorHAnsi" w:cstheme="minorHAnsi"/>
                <w:b/>
                <w:i/>
                <w:sz w:val="20"/>
                <w:szCs w:val="20"/>
              </w:rPr>
            </w:pPr>
            <w:r w:rsidRPr="00CB10CF">
              <w:rPr>
                <w:rFonts w:asciiTheme="minorHAnsi" w:hAnsiTheme="minorHAnsi" w:cstheme="minorHAnsi"/>
                <w:b/>
                <w:i/>
                <w:sz w:val="20"/>
                <w:szCs w:val="20"/>
              </w:rPr>
              <w:t xml:space="preserve">Podmínky </w:t>
            </w:r>
            <w:r>
              <w:rPr>
                <w:rFonts w:asciiTheme="minorHAnsi" w:hAnsiTheme="minorHAnsi" w:cstheme="minorHAnsi"/>
                <w:b/>
                <w:i/>
                <w:sz w:val="20"/>
                <w:szCs w:val="20"/>
              </w:rPr>
              <w:t xml:space="preserve">v EU fondech naplňují </w:t>
            </w:r>
            <w:r w:rsidRPr="00CB10CF">
              <w:rPr>
                <w:rFonts w:asciiTheme="minorHAnsi" w:hAnsiTheme="minorHAnsi" w:cstheme="minorHAnsi"/>
                <w:b/>
                <w:i/>
                <w:sz w:val="20"/>
                <w:szCs w:val="20"/>
              </w:rPr>
              <w:t>podmínk</w:t>
            </w:r>
            <w:r>
              <w:rPr>
                <w:rFonts w:asciiTheme="minorHAnsi" w:hAnsiTheme="minorHAnsi" w:cstheme="minorHAnsi"/>
                <w:b/>
                <w:i/>
                <w:sz w:val="20"/>
                <w:szCs w:val="20"/>
              </w:rPr>
              <w:t>y</w:t>
            </w:r>
            <w:r w:rsidRPr="00CB10CF">
              <w:rPr>
                <w:rFonts w:asciiTheme="minorHAnsi" w:hAnsiTheme="minorHAnsi" w:cstheme="minorHAnsi"/>
                <w:b/>
                <w:i/>
                <w:sz w:val="20"/>
                <w:szCs w:val="20"/>
              </w:rPr>
              <w:t xml:space="preserve"> DNSH dle přílohy I a přílohy II nařízení EU 2021/2139 a jsou tímto ve fondech splněny za předpokladu jejich splnění na úrovni individuálního projektu</w:t>
            </w:r>
          </w:p>
          <w:p w14:paraId="24FDEC03" w14:textId="77777777" w:rsidR="0042372D" w:rsidRDefault="0042372D" w:rsidP="0042372D">
            <w:pPr>
              <w:spacing w:after="0" w:line="240" w:lineRule="auto"/>
              <w:rPr>
                <w:rFonts w:asciiTheme="minorHAnsi" w:hAnsiTheme="minorHAnsi" w:cstheme="minorHAnsi"/>
                <w:b/>
                <w:i/>
                <w:sz w:val="20"/>
                <w:szCs w:val="20"/>
              </w:rPr>
            </w:pPr>
          </w:p>
          <w:p w14:paraId="3C53E3FD" w14:textId="77777777" w:rsidR="0042372D" w:rsidRDefault="0042372D" w:rsidP="0042372D">
            <w:pPr>
              <w:spacing w:after="0" w:line="240" w:lineRule="auto"/>
              <w:rPr>
                <w:rFonts w:asciiTheme="minorHAnsi" w:hAnsiTheme="minorHAnsi" w:cstheme="minorHAnsi"/>
                <w:b/>
                <w:i/>
                <w:sz w:val="20"/>
                <w:szCs w:val="20"/>
              </w:rPr>
            </w:pPr>
          </w:p>
          <w:p w14:paraId="795E43E3" w14:textId="77777777" w:rsidR="0042372D" w:rsidRDefault="0042372D" w:rsidP="0042372D">
            <w:pPr>
              <w:spacing w:after="0" w:line="240" w:lineRule="auto"/>
              <w:rPr>
                <w:rFonts w:asciiTheme="minorHAnsi" w:hAnsiTheme="minorHAnsi" w:cstheme="minorHAnsi"/>
                <w:b/>
                <w:i/>
                <w:sz w:val="20"/>
                <w:szCs w:val="20"/>
              </w:rPr>
            </w:pPr>
          </w:p>
          <w:p w14:paraId="305F59A5" w14:textId="77777777" w:rsidR="0042372D" w:rsidRDefault="0042372D" w:rsidP="0042372D">
            <w:pPr>
              <w:spacing w:after="0" w:line="240" w:lineRule="auto"/>
              <w:rPr>
                <w:rFonts w:asciiTheme="minorHAnsi" w:hAnsiTheme="minorHAnsi" w:cstheme="minorHAnsi"/>
                <w:sz w:val="20"/>
                <w:szCs w:val="20"/>
              </w:rPr>
            </w:pPr>
            <w:r>
              <w:rPr>
                <w:rFonts w:asciiTheme="minorHAnsi" w:hAnsiTheme="minorHAnsi" w:cstheme="minorHAnsi"/>
                <w:sz w:val="20"/>
                <w:szCs w:val="20"/>
              </w:rPr>
              <w:t>U lokalit/provozů umístěných v oblastech citlivých z hlediska biologické rozmanitosti nebo v jejich blízkosti (včetně sítě chráněných oblastí Natura 2000, míst světového dědictví UNESCO a klíčových oblastí biologické rozmanitosti, jakož i dalších chráněných oblastí) bylo případně provedeno příslušné posouzení</w:t>
            </w:r>
            <w:r>
              <w:rPr>
                <w:rFonts w:asciiTheme="minorHAnsi" w:hAnsiTheme="minorHAnsi" w:cstheme="minorHAnsi"/>
                <w:sz w:val="20"/>
                <w:szCs w:val="20"/>
                <w:vertAlign w:val="superscript"/>
              </w:rPr>
              <w:footnoteReference w:id="167"/>
            </w:r>
            <w:r>
              <w:rPr>
                <w:rFonts w:asciiTheme="minorHAnsi" w:hAnsiTheme="minorHAnsi" w:cstheme="minorHAnsi"/>
                <w:sz w:val="20"/>
                <w:szCs w:val="20"/>
              </w:rPr>
              <w:t xml:space="preserve"> a na základě jeho závěrů jsou provedena nezbytná zmírňující opatření</w:t>
            </w:r>
            <w:r>
              <w:rPr>
                <w:rFonts w:asciiTheme="minorHAnsi" w:hAnsiTheme="minorHAnsi" w:cstheme="minorHAnsi"/>
                <w:sz w:val="20"/>
                <w:szCs w:val="20"/>
                <w:vertAlign w:val="superscript"/>
              </w:rPr>
              <w:footnoteReference w:id="168"/>
            </w:r>
            <w:r>
              <w:rPr>
                <w:rFonts w:asciiTheme="minorHAnsi" w:hAnsiTheme="minorHAnsi" w:cstheme="minorHAnsi"/>
                <w:sz w:val="20"/>
                <w:szCs w:val="20"/>
              </w:rPr>
              <w:t>.</w:t>
            </w:r>
          </w:p>
          <w:p w14:paraId="54FEE449" w14:textId="77777777" w:rsidR="0042372D" w:rsidRDefault="0042372D" w:rsidP="0042372D">
            <w:pPr>
              <w:spacing w:after="0" w:line="240" w:lineRule="auto"/>
              <w:rPr>
                <w:rFonts w:asciiTheme="minorHAnsi" w:hAnsiTheme="minorHAnsi" w:cstheme="minorHAnsi"/>
                <w:sz w:val="20"/>
                <w:szCs w:val="20"/>
              </w:rPr>
            </w:pPr>
          </w:p>
          <w:p w14:paraId="573BE92E" w14:textId="0D06799B" w:rsidR="0042372D" w:rsidRDefault="0042372D" w:rsidP="0042372D">
            <w:pPr>
              <w:spacing w:after="0" w:line="240" w:lineRule="auto"/>
              <w:rPr>
                <w:rFonts w:asciiTheme="minorHAnsi" w:hAnsiTheme="minorHAnsi" w:cstheme="minorHAnsi"/>
                <w:sz w:val="20"/>
                <w:szCs w:val="20"/>
              </w:rPr>
            </w:pPr>
            <w:r>
              <w:rPr>
                <w:rFonts w:asciiTheme="minorHAnsi" w:hAnsiTheme="minorHAnsi" w:cstheme="minorHAnsi"/>
                <w:b/>
                <w:i/>
                <w:sz w:val="20"/>
                <w:szCs w:val="20"/>
              </w:rPr>
              <w:t>Podmínky jsou přímo podmínkami DNSH dle přílohy I a přílohy II nařízení EU 2021/2139 a jsou tímto ve fondech splněny za předpokladu jejich splnění na úrovni individuálního projektu</w:t>
            </w:r>
          </w:p>
        </w:tc>
      </w:tr>
    </w:tbl>
    <w:bookmarkEnd w:id="150"/>
    <w:p w14:paraId="0C6E2BBF" w14:textId="5D7AF0AC" w:rsidR="0087343E" w:rsidRDefault="00402939">
      <w:r w:rsidRPr="00402939">
        <w:rPr>
          <w:noProof/>
        </w:rPr>
        <w:lastRenderedPageBreak/>
        <w:t xml:space="preserve"> </w:t>
      </w:r>
    </w:p>
    <w:p w14:paraId="0A848057" w14:textId="506FE1B5" w:rsidR="00B351EF" w:rsidRDefault="00B351EF">
      <w:pPr>
        <w:spacing w:after="160" w:line="259" w:lineRule="auto"/>
        <w:sectPr w:rsidR="00B351EF" w:rsidSect="004529CE">
          <w:pgSz w:w="16838" w:h="11906" w:orient="landscape"/>
          <w:pgMar w:top="720" w:right="720" w:bottom="720" w:left="720" w:header="708" w:footer="708" w:gutter="0"/>
          <w:cols w:space="708"/>
          <w:docGrid w:linePitch="299"/>
        </w:sectPr>
      </w:pPr>
    </w:p>
    <w:p w14:paraId="0166D081" w14:textId="6E4F684D" w:rsidR="00602DCA" w:rsidRDefault="00C5530C" w:rsidP="00EA4CB0">
      <w:pPr>
        <w:pStyle w:val="Nadpis3"/>
      </w:pPr>
      <w:bookmarkStart w:id="151" w:name="_Renovace_budov"/>
      <w:bookmarkStart w:id="152" w:name="_Toc116428062"/>
      <w:bookmarkEnd w:id="151"/>
      <w:r>
        <w:lastRenderedPageBreak/>
        <w:t>Renovace budov</w:t>
      </w:r>
      <w:bookmarkEnd w:id="152"/>
    </w:p>
    <w:p w14:paraId="65E30E0C" w14:textId="64235900" w:rsidR="00602DCA" w:rsidRDefault="00957267">
      <w:pPr>
        <w:rPr>
          <w:rFonts w:cs="Segoe UI"/>
          <w:b/>
        </w:rPr>
      </w:pPr>
      <w:r w:rsidRPr="00EA4CB0">
        <w:rPr>
          <w:rFonts w:cs="Segoe UI"/>
          <w:b/>
        </w:rPr>
        <w:t>V</w:t>
      </w:r>
      <w:r w:rsidR="00195398" w:rsidRPr="00EA4CB0">
        <w:rPr>
          <w:rFonts w:cs="Segoe UI"/>
          <w:b/>
        </w:rPr>
        <w:t xml:space="preserve"> této kapitole </w:t>
      </w:r>
      <w:r w:rsidRPr="00EA4CB0">
        <w:rPr>
          <w:rFonts w:cs="Segoe UI"/>
          <w:b/>
        </w:rPr>
        <w:t xml:space="preserve">jsou </w:t>
      </w:r>
      <w:r w:rsidR="00C5530C" w:rsidRPr="00EA4CB0">
        <w:rPr>
          <w:rFonts w:cs="Segoe UI"/>
          <w:b/>
        </w:rPr>
        <w:t xml:space="preserve">uvedeny podmínky DNSH, které je nutné </w:t>
      </w:r>
      <w:r w:rsidRPr="00EA4CB0">
        <w:rPr>
          <w:rFonts w:cs="Segoe UI"/>
          <w:b/>
        </w:rPr>
        <w:t xml:space="preserve">pro typizovanou činnost „renovace budov“ </w:t>
      </w:r>
      <w:r w:rsidR="00C5530C" w:rsidRPr="00EA4CB0">
        <w:rPr>
          <w:rFonts w:cs="Segoe UI"/>
          <w:b/>
        </w:rPr>
        <w:t>zohlednit ve smyslu konkrétně přenést na žadatele.</w:t>
      </w:r>
    </w:p>
    <w:p w14:paraId="0F944C6A" w14:textId="77777777" w:rsidR="001C2498" w:rsidRPr="006C1B48" w:rsidRDefault="001C2498" w:rsidP="001C2498">
      <w:pPr>
        <w:rPr>
          <w:b/>
          <w:bCs/>
          <w:u w:val="single"/>
        </w:rPr>
      </w:pPr>
      <w:r w:rsidRPr="006C1B48">
        <w:rPr>
          <w:b/>
          <w:bCs/>
          <w:u w:val="single"/>
        </w:rPr>
        <w:t>Rekonstrukcí dokončené budovy se pro účely DNSH myslí změna, při níž zůstane zachováno alespoň 50 % původních konstrukcí celkové plochy obálky budovy.</w:t>
      </w:r>
    </w:p>
    <w:p w14:paraId="402BD29D" w14:textId="59C70438" w:rsidR="00602DCA" w:rsidRPr="00EA4CB0" w:rsidRDefault="00C5530C">
      <w:pPr>
        <w:spacing w:line="240" w:lineRule="auto"/>
        <w:rPr>
          <w:rFonts w:cs="Segoe UI"/>
        </w:rPr>
      </w:pPr>
      <w:r w:rsidRPr="00EA4CB0">
        <w:rPr>
          <w:rFonts w:cs="Segoe UI"/>
        </w:rPr>
        <w:t xml:space="preserve">Podmínky se vztahují </w:t>
      </w:r>
      <w:r w:rsidR="007F7A75">
        <w:rPr>
          <w:rFonts w:cs="Segoe UI"/>
        </w:rPr>
        <w:t xml:space="preserve">zejm. </w:t>
      </w:r>
      <w:r w:rsidRPr="00EA4CB0">
        <w:rPr>
          <w:rFonts w:cs="Segoe UI"/>
        </w:rPr>
        <w:t xml:space="preserve">na budovy ve smyslu oblastí intervence 41, 42, 45, 121 až 128 CPR; 25, </w:t>
      </w:r>
      <w:proofErr w:type="gramStart"/>
      <w:r w:rsidRPr="00EA4CB0">
        <w:rPr>
          <w:rFonts w:cs="Segoe UI"/>
        </w:rPr>
        <w:t>25a</w:t>
      </w:r>
      <w:proofErr w:type="gramEnd"/>
      <w:r w:rsidRPr="00EA4CB0">
        <w:rPr>
          <w:rFonts w:cs="Segoe UI"/>
        </w:rPr>
        <w:t xml:space="preserve">, 26, </w:t>
      </w:r>
      <w:proofErr w:type="gramStart"/>
      <w:r w:rsidRPr="00EA4CB0">
        <w:rPr>
          <w:rFonts w:cs="Segoe UI"/>
        </w:rPr>
        <w:t>26a</w:t>
      </w:r>
      <w:proofErr w:type="gramEnd"/>
      <w:r w:rsidRPr="00EA4CB0">
        <w:rPr>
          <w:rFonts w:cs="Segoe UI"/>
        </w:rPr>
        <w:t>, 85 až 92 RRF:</w:t>
      </w:r>
    </w:p>
    <w:p w14:paraId="6C3BB6EF" w14:textId="77777777" w:rsidR="00602DCA" w:rsidRPr="00EA4CB0" w:rsidRDefault="00C5530C" w:rsidP="00A32A7E">
      <w:pPr>
        <w:pStyle w:val="Odstavecseseznamem"/>
        <w:numPr>
          <w:ilvl w:val="0"/>
          <w:numId w:val="27"/>
        </w:numPr>
        <w:spacing w:after="0" w:line="240" w:lineRule="auto"/>
        <w:ind w:left="714" w:hanging="357"/>
        <w:rPr>
          <w:rFonts w:cs="Segoe UI"/>
        </w:rPr>
      </w:pPr>
      <w:r w:rsidRPr="00EA4CB0">
        <w:rPr>
          <w:rFonts w:cs="Segoe UI"/>
        </w:rPr>
        <w:t>Renovace zvyšující energetickou účinnost stávajícího bytového a domovního fondu a veřejné infrastruktury</w:t>
      </w:r>
    </w:p>
    <w:p w14:paraId="49E5F03A" w14:textId="77777777" w:rsidR="00602DCA" w:rsidRPr="00EA4CB0" w:rsidRDefault="00C5530C" w:rsidP="00A32A7E">
      <w:pPr>
        <w:pStyle w:val="Odstavecseseznamem"/>
        <w:numPr>
          <w:ilvl w:val="0"/>
          <w:numId w:val="27"/>
        </w:numPr>
        <w:spacing w:after="0" w:line="240" w:lineRule="auto"/>
        <w:ind w:left="714" w:hanging="357"/>
        <w:rPr>
          <w:rFonts w:cs="Segoe UI"/>
        </w:rPr>
      </w:pPr>
      <w:r w:rsidRPr="00EA4CB0">
        <w:rPr>
          <w:rFonts w:cs="Segoe UI"/>
        </w:rPr>
        <w:t>Infrastruktura pro předškolní vzdělávání a péči</w:t>
      </w:r>
    </w:p>
    <w:p w14:paraId="153DAF39" w14:textId="77777777" w:rsidR="00602DCA" w:rsidRPr="00EA4CB0" w:rsidRDefault="00C5530C" w:rsidP="00A32A7E">
      <w:pPr>
        <w:pStyle w:val="Odstavecseseznamem"/>
        <w:numPr>
          <w:ilvl w:val="0"/>
          <w:numId w:val="27"/>
        </w:numPr>
        <w:spacing w:after="0" w:line="240" w:lineRule="auto"/>
        <w:ind w:left="714" w:hanging="357"/>
        <w:rPr>
          <w:rFonts w:cs="Segoe UI"/>
        </w:rPr>
      </w:pPr>
      <w:r w:rsidRPr="00EA4CB0">
        <w:rPr>
          <w:rFonts w:cs="Segoe UI"/>
        </w:rPr>
        <w:t>Infrastruktura pro primární a sekundární vzdělávání</w:t>
      </w:r>
    </w:p>
    <w:p w14:paraId="7A77E27D" w14:textId="77777777" w:rsidR="00602DCA" w:rsidRPr="00EA4CB0" w:rsidRDefault="00C5530C" w:rsidP="00A32A7E">
      <w:pPr>
        <w:pStyle w:val="Odstavecseseznamem"/>
        <w:numPr>
          <w:ilvl w:val="0"/>
          <w:numId w:val="27"/>
        </w:numPr>
        <w:spacing w:after="0" w:line="240" w:lineRule="auto"/>
        <w:ind w:left="714" w:hanging="357"/>
        <w:rPr>
          <w:rFonts w:cs="Segoe UI"/>
        </w:rPr>
      </w:pPr>
      <w:r w:rsidRPr="00EA4CB0">
        <w:rPr>
          <w:rFonts w:cs="Segoe UI"/>
        </w:rPr>
        <w:t>Infrastruktura pro terciární vzdělávání</w:t>
      </w:r>
    </w:p>
    <w:p w14:paraId="6438CBDF" w14:textId="77777777" w:rsidR="00602DCA" w:rsidRPr="00EA4CB0" w:rsidRDefault="00C5530C" w:rsidP="00A32A7E">
      <w:pPr>
        <w:pStyle w:val="Odstavecseseznamem"/>
        <w:numPr>
          <w:ilvl w:val="0"/>
          <w:numId w:val="27"/>
        </w:numPr>
        <w:spacing w:after="0" w:line="240" w:lineRule="auto"/>
        <w:ind w:left="714" w:hanging="357"/>
        <w:rPr>
          <w:rFonts w:cs="Segoe UI"/>
        </w:rPr>
      </w:pPr>
      <w:r w:rsidRPr="00EA4CB0">
        <w:rPr>
          <w:rFonts w:cs="Segoe UI"/>
        </w:rPr>
        <w:t>Infrastruktura pro odborné vzdělávání a přípravu a vzdělávání dospělých</w:t>
      </w:r>
    </w:p>
    <w:p w14:paraId="71F20A97" w14:textId="77777777" w:rsidR="00602DCA" w:rsidRPr="00EA4CB0" w:rsidRDefault="00C5530C" w:rsidP="00A32A7E">
      <w:pPr>
        <w:pStyle w:val="Odstavecseseznamem"/>
        <w:numPr>
          <w:ilvl w:val="0"/>
          <w:numId w:val="27"/>
        </w:numPr>
        <w:spacing w:after="0" w:line="240" w:lineRule="auto"/>
        <w:ind w:left="714" w:hanging="357"/>
        <w:rPr>
          <w:rFonts w:cs="Segoe UI"/>
        </w:rPr>
      </w:pPr>
      <w:r w:rsidRPr="00EA4CB0">
        <w:rPr>
          <w:rFonts w:cs="Segoe UI"/>
        </w:rPr>
        <w:t>Bytová infrastruktura pro migranty, uprchlíky a osoby pod mezinárodní ochranou nebo osoby, které o ni žádají</w:t>
      </w:r>
    </w:p>
    <w:p w14:paraId="6D8D483A" w14:textId="77777777" w:rsidR="00602DCA" w:rsidRPr="00EA4CB0" w:rsidRDefault="00C5530C" w:rsidP="00A32A7E">
      <w:pPr>
        <w:pStyle w:val="Odstavecseseznamem"/>
        <w:numPr>
          <w:ilvl w:val="0"/>
          <w:numId w:val="27"/>
        </w:numPr>
        <w:spacing w:after="0" w:line="240" w:lineRule="auto"/>
        <w:ind w:left="714" w:hanging="357"/>
        <w:rPr>
          <w:rFonts w:cs="Segoe UI"/>
        </w:rPr>
      </w:pPr>
      <w:r w:rsidRPr="00EA4CB0">
        <w:rPr>
          <w:rFonts w:cs="Segoe UI"/>
        </w:rPr>
        <w:t>Bytová infrastruktura (nikoli pro migranty, uprchlíky a osoby pod mezinárodní ochranou nebo osoby, které o ni žádají)</w:t>
      </w:r>
    </w:p>
    <w:p w14:paraId="6018BF32" w14:textId="77777777" w:rsidR="00602DCA" w:rsidRPr="00EA4CB0" w:rsidRDefault="00C5530C" w:rsidP="00A32A7E">
      <w:pPr>
        <w:pStyle w:val="Odstavecseseznamem"/>
        <w:numPr>
          <w:ilvl w:val="0"/>
          <w:numId w:val="27"/>
        </w:numPr>
        <w:spacing w:after="0" w:line="240" w:lineRule="auto"/>
        <w:ind w:left="714" w:hanging="357"/>
        <w:rPr>
          <w:rFonts w:cs="Segoe UI"/>
        </w:rPr>
      </w:pPr>
      <w:r w:rsidRPr="00EA4CB0">
        <w:rPr>
          <w:rFonts w:cs="Segoe UI"/>
        </w:rPr>
        <w:t>Jiná sociální infrastruktura přispívající k sociálnímu začlenění do komunity</w:t>
      </w:r>
    </w:p>
    <w:p w14:paraId="306BD12F" w14:textId="77777777" w:rsidR="00602DCA" w:rsidRPr="00EA4CB0" w:rsidRDefault="00C5530C" w:rsidP="00A32A7E">
      <w:pPr>
        <w:pStyle w:val="Odstavecseseznamem"/>
        <w:numPr>
          <w:ilvl w:val="0"/>
          <w:numId w:val="27"/>
        </w:numPr>
        <w:spacing w:line="240" w:lineRule="auto"/>
        <w:ind w:left="714" w:hanging="357"/>
        <w:rPr>
          <w:rFonts w:cs="Segoe UI"/>
        </w:rPr>
      </w:pPr>
      <w:r w:rsidRPr="00EA4CB0">
        <w:rPr>
          <w:rFonts w:cs="Segoe UI"/>
        </w:rPr>
        <w:t>Zdravotní infrastruktura</w:t>
      </w:r>
    </w:p>
    <w:p w14:paraId="68A13D2C" w14:textId="77777777" w:rsidR="00B351EF" w:rsidRDefault="00B351EF" w:rsidP="00B351EF">
      <w:pPr>
        <w:spacing w:after="0" w:line="240" w:lineRule="auto"/>
        <w:rPr>
          <w:rFonts w:cs="Segoe UI"/>
          <w:b/>
          <w:bCs/>
          <w:u w:val="single"/>
        </w:rPr>
      </w:pPr>
      <w:r w:rsidRPr="00EA4CB0">
        <w:rPr>
          <w:rFonts w:cs="Segoe UI"/>
          <w:b/>
          <w:bCs/>
          <w:u w:val="single"/>
        </w:rPr>
        <w:t>Podmínky se dále vztahují na všechny budovy v rámci větších projektů či projektů zaměřených primárně na jiný typ opatření, kde jsou ale taktéž stavěny budovy analogicky.</w:t>
      </w:r>
    </w:p>
    <w:p w14:paraId="3BEB86CC" w14:textId="77777777" w:rsidR="00195398" w:rsidRPr="00EA4CB0" w:rsidRDefault="00195398" w:rsidP="00EA4CB0">
      <w:pPr>
        <w:spacing w:after="0" w:line="240" w:lineRule="auto"/>
        <w:rPr>
          <w:rFonts w:cs="Segoe UI"/>
          <w:b/>
          <w:bCs/>
          <w:u w:val="single"/>
        </w:rPr>
      </w:pPr>
    </w:p>
    <w:p w14:paraId="0953907C" w14:textId="696AE5C5" w:rsidR="001C2498" w:rsidRPr="00E07D9E" w:rsidRDefault="001C2498" w:rsidP="001C2498">
      <w:pPr>
        <w:rPr>
          <w:b/>
          <w:bCs/>
        </w:rPr>
      </w:pPr>
      <w:r>
        <w:rPr>
          <w:b/>
          <w:bCs/>
        </w:rPr>
        <w:t xml:space="preserve">Vyloučení podpor budov sloužících k </w:t>
      </w:r>
      <w:r w:rsidRPr="000B2425">
        <w:rPr>
          <w:b/>
          <w:bCs/>
        </w:rPr>
        <w:t>těžbě, skladování, přepravě nebo výrobě fosilních paliv</w:t>
      </w:r>
      <w:r>
        <w:rPr>
          <w:b/>
          <w:bCs/>
        </w:rPr>
        <w:t xml:space="preserve"> platí i pro renovace. Podmínky týkající se nakládání s odpady, </w:t>
      </w:r>
      <w:r w:rsidRPr="001C2498">
        <w:rPr>
          <w:b/>
          <w:bCs/>
        </w:rPr>
        <w:t>zajištění provedení opatření vzešlých z posuzování vlivů na životní prostředí (EIA), z jednotného environmentálního stanoviska nebo společného rozhodnutí dle ustanovení § 83 ZOPK</w:t>
      </w:r>
      <w:r>
        <w:rPr>
          <w:b/>
          <w:bCs/>
        </w:rPr>
        <w:t>, r</w:t>
      </w:r>
      <w:r w:rsidRPr="001C2498">
        <w:rPr>
          <w:b/>
          <w:bCs/>
        </w:rPr>
        <w:t>espektování limitů zákona č. 114/1992 Sb. o ochraně přírody a krajiny</w:t>
      </w:r>
      <w:r>
        <w:rPr>
          <w:b/>
          <w:bCs/>
        </w:rPr>
        <w:t xml:space="preserve"> a podmínky ochrany biodiverzity platí i pro renovace tam, pokud jsou vůči rozsahu renovace relevantní, viz kompletní tabulka podmínek pro renovace v kapitole </w:t>
      </w:r>
      <w:hyperlink w:anchor="_Tabulka_podmínek_DNSH_1" w:history="1">
        <w:r w:rsidRPr="00771FD6">
          <w:rPr>
            <w:rStyle w:val="Hypertextovodkaz"/>
            <w:b/>
            <w:bCs/>
          </w:rPr>
          <w:t>5.2.3.</w:t>
        </w:r>
      </w:hyperlink>
      <w:r w:rsidRPr="002A49E5">
        <w:rPr>
          <w:rStyle w:val="Hypertextovodkaz"/>
          <w:b/>
          <w:bCs/>
        </w:rPr>
        <w:t>4</w:t>
      </w:r>
      <w:r>
        <w:rPr>
          <w:b/>
          <w:bCs/>
        </w:rPr>
        <w:t>.</w:t>
      </w:r>
    </w:p>
    <w:p w14:paraId="315D071A" w14:textId="77777777" w:rsidR="00F936E9" w:rsidRDefault="00F936E9" w:rsidP="00195398">
      <w:pPr>
        <w:rPr>
          <w:b/>
          <w:bCs/>
        </w:rPr>
      </w:pPr>
    </w:p>
    <w:p w14:paraId="0AF21E66" w14:textId="2586BC19" w:rsidR="00195398" w:rsidRDefault="00195398" w:rsidP="00EA4CB0">
      <w:pPr>
        <w:pStyle w:val="Nadpis4"/>
      </w:pPr>
      <w:r>
        <w:t>Energeticky úsporná renovace stávajících budov (celková důkladná renovace)</w:t>
      </w:r>
      <w:r w:rsidR="00B0588A">
        <w:rPr>
          <w:rStyle w:val="Znakapoznpodarou"/>
        </w:rPr>
        <w:footnoteReference w:id="169"/>
      </w:r>
    </w:p>
    <w:p w14:paraId="3E11F089" w14:textId="21F1DA07" w:rsidR="00B0588A" w:rsidRDefault="00B0588A" w:rsidP="00B0588A">
      <w:r w:rsidRPr="00A901E8">
        <w:t>Jakákoli renovace budovy zlepšující její energetickou náročnost, která přesahuje</w:t>
      </w:r>
      <w:r>
        <w:t>:</w:t>
      </w:r>
      <w:r w:rsidRPr="00A901E8">
        <w:t xml:space="preserve"> </w:t>
      </w:r>
    </w:p>
    <w:p w14:paraId="51459D26" w14:textId="77777777" w:rsidR="00B0588A" w:rsidRDefault="00B0588A" w:rsidP="00B0588A">
      <w:pPr>
        <w:pStyle w:val="Odstavecseseznamem"/>
        <w:numPr>
          <w:ilvl w:val="0"/>
          <w:numId w:val="114"/>
        </w:numPr>
        <w:spacing w:after="160" w:line="259" w:lineRule="auto"/>
        <w:contextualSpacing/>
      </w:pPr>
      <w:r w:rsidRPr="00A901E8">
        <w:t>individuální opatře</w:t>
      </w:r>
      <w:r>
        <w:t xml:space="preserve">ní týkající se </w:t>
      </w:r>
      <w:r w:rsidRPr="00A901E8">
        <w:t xml:space="preserve">energeticky úsporné renovace, </w:t>
      </w:r>
    </w:p>
    <w:p w14:paraId="76AA8B6D" w14:textId="77777777" w:rsidR="00B0588A" w:rsidRDefault="00B0588A" w:rsidP="00B0588A">
      <w:pPr>
        <w:pStyle w:val="Odstavecseseznamem"/>
        <w:numPr>
          <w:ilvl w:val="0"/>
          <w:numId w:val="114"/>
        </w:numPr>
        <w:spacing w:after="160" w:line="259" w:lineRule="auto"/>
        <w:contextualSpacing/>
      </w:pPr>
      <w:r w:rsidRPr="00A901E8">
        <w:lastRenderedPageBreak/>
        <w:t>instalace přístrojů a zařízení pro měření, regulaci a řízení energetické náročnosti budov</w:t>
      </w:r>
      <w:r>
        <w:t xml:space="preserve">, </w:t>
      </w:r>
    </w:p>
    <w:p w14:paraId="07B3BF86" w14:textId="77777777" w:rsidR="00B0588A" w:rsidRDefault="00B0588A" w:rsidP="00B0588A">
      <w:pPr>
        <w:pStyle w:val="Odstavecseseznamem"/>
        <w:numPr>
          <w:ilvl w:val="0"/>
          <w:numId w:val="114"/>
        </w:numPr>
        <w:spacing w:after="160" w:line="259" w:lineRule="auto"/>
        <w:contextualSpacing/>
      </w:pPr>
      <w:r>
        <w:t xml:space="preserve">vnitřní renovace, </w:t>
      </w:r>
    </w:p>
    <w:p w14:paraId="15C732F3" w14:textId="055C5F41" w:rsidR="00B0588A" w:rsidRDefault="00B0588A" w:rsidP="00B0588A">
      <w:r>
        <w:t xml:space="preserve">musí být provedena tak, aby </w:t>
      </w:r>
      <w:r w:rsidRPr="00815863">
        <w:t>napln</w:t>
      </w:r>
      <w:r>
        <w:t>ila</w:t>
      </w:r>
      <w:r w:rsidRPr="00815863">
        <w:t xml:space="preserve"> požadavk</w:t>
      </w:r>
      <w:r>
        <w:t>y</w:t>
      </w:r>
      <w:r w:rsidRPr="00815863">
        <w:t xml:space="preserve"> </w:t>
      </w:r>
      <w:r w:rsidR="00047CC5">
        <w:t>dle specifikace celkové důkladné renovace pro jednotlivé typy budov v následujících podkapitolách pro rodinné domy, bytové domy, veřejné budovy a ostatní budovy</w:t>
      </w:r>
      <w:r w:rsidRPr="00A901E8">
        <w:t>.</w:t>
      </w:r>
    </w:p>
    <w:p w14:paraId="311C670B" w14:textId="142103CA" w:rsidR="00047CC5" w:rsidRDefault="00047CC5" w:rsidP="00B0588A">
      <w:r>
        <w:t>Celkovou důkladnou renovaci je vhodné kombinovat s dalšími opatřeními za podmínek uvedených v podkapitolách 5.2.3.2.</w:t>
      </w:r>
    </w:p>
    <w:p w14:paraId="663A8693" w14:textId="67AA4B7C" w:rsidR="007E7F38" w:rsidRDefault="007E7F38" w:rsidP="00B0588A">
      <w:pPr>
        <w:rPr>
          <w:rFonts w:cs="Segoe UI"/>
          <w:bCs/>
          <w:u w:val="single"/>
        </w:rPr>
      </w:pPr>
      <w:r w:rsidRPr="007E7F38">
        <w:rPr>
          <w:rFonts w:cs="Segoe UI"/>
          <w:bCs/>
          <w:u w:val="single"/>
        </w:rPr>
        <w:t xml:space="preserve">Podmínky pro celkovou důkladnou renovaci budou v čase překonány implementací směrnice </w:t>
      </w:r>
      <w:r w:rsidRPr="00DB1A0B">
        <w:rPr>
          <w:rFonts w:cs="Segoe UI"/>
          <w:bCs/>
          <w:u w:val="single"/>
        </w:rPr>
        <w:t>2024/1275/EU</w:t>
      </w:r>
      <w:r w:rsidRPr="007E7F38">
        <w:rPr>
          <w:rFonts w:cs="Segoe UI"/>
          <w:bCs/>
          <w:u w:val="single"/>
        </w:rPr>
        <w:t xml:space="preserve"> </w:t>
      </w:r>
      <w:r>
        <w:rPr>
          <w:rFonts w:cs="Segoe UI"/>
          <w:bCs/>
          <w:u w:val="single"/>
        </w:rPr>
        <w:t>(</w:t>
      </w:r>
      <w:r w:rsidRPr="007E7F38">
        <w:rPr>
          <w:rFonts w:cs="Segoe UI"/>
          <w:bCs/>
          <w:u w:val="single"/>
        </w:rPr>
        <w:t>EPBD</w:t>
      </w:r>
      <w:r>
        <w:rPr>
          <w:rFonts w:cs="Segoe UI"/>
          <w:bCs/>
          <w:u w:val="single"/>
        </w:rPr>
        <w:t>)</w:t>
      </w:r>
      <w:r w:rsidRPr="007E7F38">
        <w:rPr>
          <w:rFonts w:cs="Segoe UI"/>
          <w:bCs/>
          <w:u w:val="single"/>
        </w:rPr>
        <w:t xml:space="preserve"> do zákona č. 406/2000 Sb. o hospodaření energií a prováděcími vyhláškami. EPBD definuje dle čl. 2 odst. 20: „rozsáhlou renovací“ je renovace, která je v souladu se zásadou „energetická účinnost v první řadě“, zaměřuje se na základní prvky budovy a transformuje budovu nebo ucelenou část budovy: a) před 1. lednem 2030 na budovu s téměř nulovou spotřebou energie; b) od 1. ledna 2030 na budovu s nulovými emisemi.</w:t>
      </w:r>
    </w:p>
    <w:p w14:paraId="4E25C384" w14:textId="77777777" w:rsidR="00F936E9" w:rsidRDefault="00F936E9" w:rsidP="00B0588A"/>
    <w:p w14:paraId="3F1C4622" w14:textId="098BB65E" w:rsidR="00B0588A" w:rsidRDefault="00047CC5" w:rsidP="00B0588A">
      <w:pPr>
        <w:pStyle w:val="Nadpis5"/>
      </w:pPr>
      <w:bookmarkStart w:id="153" w:name="_Povinná_náhrada_zdroje"/>
      <w:bookmarkEnd w:id="153"/>
      <w:r>
        <w:t xml:space="preserve">Celková důkladná </w:t>
      </w:r>
      <w:proofErr w:type="gramStart"/>
      <w:r>
        <w:t>renovace</w:t>
      </w:r>
      <w:r w:rsidR="00B0588A">
        <w:t xml:space="preserve"> - r</w:t>
      </w:r>
      <w:r w:rsidR="00B0588A" w:rsidRPr="007F0B7C">
        <w:t>odinné</w:t>
      </w:r>
      <w:proofErr w:type="gramEnd"/>
      <w:r w:rsidR="00B0588A" w:rsidRPr="007F0B7C">
        <w:t xml:space="preserve"> domy</w:t>
      </w:r>
    </w:p>
    <w:p w14:paraId="3ABB4D89" w14:textId="77777777" w:rsidR="00B0588A" w:rsidRPr="004A4EB6" w:rsidRDefault="00B0588A" w:rsidP="00B0588A">
      <w:r>
        <w:t>Musí být splněny všechny následující parametry.</w:t>
      </w:r>
    </w:p>
    <w:tbl>
      <w:tblPr>
        <w:tblStyle w:val="Mkatabulky"/>
        <w:tblW w:w="5000" w:type="pct"/>
        <w:tblLook w:val="0000" w:firstRow="0" w:lastRow="0" w:firstColumn="0" w:lastColumn="0" w:noHBand="0" w:noVBand="0"/>
      </w:tblPr>
      <w:tblGrid>
        <w:gridCol w:w="4529"/>
        <w:gridCol w:w="4533"/>
      </w:tblGrid>
      <w:tr w:rsidR="00B0588A" w:rsidRPr="0000395D" w14:paraId="3E256212" w14:textId="77777777" w:rsidTr="005241B7">
        <w:trPr>
          <w:trHeight w:val="455"/>
        </w:trPr>
        <w:tc>
          <w:tcPr>
            <w:tcW w:w="2499" w:type="pct"/>
          </w:tcPr>
          <w:p w14:paraId="3E9A49AD" w14:textId="77777777" w:rsidR="00B0588A" w:rsidRPr="0000395D" w:rsidRDefault="00B0588A" w:rsidP="005241B7">
            <w:pPr>
              <w:rPr>
                <w:i/>
                <w:iCs/>
              </w:rPr>
            </w:pPr>
            <w:r w:rsidRPr="0000395D">
              <w:rPr>
                <w:b/>
                <w:bCs/>
                <w:i/>
                <w:iCs/>
              </w:rPr>
              <w:t xml:space="preserve">Sledovaný parametr </w:t>
            </w:r>
          </w:p>
        </w:tc>
        <w:tc>
          <w:tcPr>
            <w:tcW w:w="2501" w:type="pct"/>
          </w:tcPr>
          <w:p w14:paraId="40094192" w14:textId="77777777" w:rsidR="00B0588A" w:rsidRPr="0000395D" w:rsidRDefault="00B0588A" w:rsidP="005241B7">
            <w:pPr>
              <w:rPr>
                <w:i/>
                <w:iCs/>
              </w:rPr>
            </w:pPr>
            <w:r w:rsidRPr="0000395D">
              <w:rPr>
                <w:b/>
                <w:bCs/>
                <w:i/>
                <w:iCs/>
              </w:rPr>
              <w:t xml:space="preserve">Podporované opatření </w:t>
            </w:r>
          </w:p>
        </w:tc>
      </w:tr>
      <w:tr w:rsidR="00B0588A" w:rsidRPr="0000395D" w14:paraId="748D5691" w14:textId="77777777" w:rsidTr="005241B7">
        <w:trPr>
          <w:trHeight w:val="323"/>
        </w:trPr>
        <w:tc>
          <w:tcPr>
            <w:tcW w:w="2499" w:type="pct"/>
          </w:tcPr>
          <w:p w14:paraId="3B3012D3" w14:textId="77777777" w:rsidR="00B0588A" w:rsidRPr="0000395D" w:rsidRDefault="00B0588A" w:rsidP="005241B7">
            <w:pPr>
              <w:pStyle w:val="Default"/>
              <w:rPr>
                <w:i/>
                <w:iCs/>
              </w:rPr>
            </w:pPr>
            <w:r>
              <w:rPr>
                <w:sz w:val="20"/>
                <w:szCs w:val="20"/>
              </w:rPr>
              <w:t xml:space="preserve">Průměrný součinitel prostupu tepla obálkou budovy </w:t>
            </w:r>
          </w:p>
        </w:tc>
        <w:tc>
          <w:tcPr>
            <w:tcW w:w="2501" w:type="pct"/>
          </w:tcPr>
          <w:p w14:paraId="3E4EEAAA" w14:textId="77777777" w:rsidR="00B0588A" w:rsidRPr="00013AE5" w:rsidRDefault="00B0588A" w:rsidP="005241B7">
            <w:pPr>
              <w:pStyle w:val="Default"/>
              <w:rPr>
                <w:sz w:val="13"/>
                <w:szCs w:val="13"/>
              </w:rPr>
            </w:pPr>
            <w:r>
              <w:rPr>
                <w:sz w:val="20"/>
                <w:szCs w:val="20"/>
              </w:rPr>
              <w:t xml:space="preserve">≤ 0,70 </w:t>
            </w:r>
            <w:proofErr w:type="spellStart"/>
            <w:proofErr w:type="gramStart"/>
            <w:r>
              <w:rPr>
                <w:sz w:val="20"/>
                <w:szCs w:val="20"/>
              </w:rPr>
              <w:t>U</w:t>
            </w:r>
            <w:r>
              <w:rPr>
                <w:sz w:val="13"/>
                <w:szCs w:val="13"/>
              </w:rPr>
              <w:t>em,R</w:t>
            </w:r>
            <w:proofErr w:type="spellEnd"/>
            <w:proofErr w:type="gramEnd"/>
            <w:r>
              <w:rPr>
                <w:sz w:val="13"/>
                <w:szCs w:val="13"/>
              </w:rPr>
              <w:t xml:space="preserve"> </w:t>
            </w:r>
          </w:p>
        </w:tc>
      </w:tr>
      <w:tr w:rsidR="00B0588A" w:rsidRPr="0000395D" w14:paraId="6BCD622B" w14:textId="77777777" w:rsidTr="005241B7">
        <w:trPr>
          <w:trHeight w:val="357"/>
        </w:trPr>
        <w:tc>
          <w:tcPr>
            <w:tcW w:w="2499" w:type="pct"/>
          </w:tcPr>
          <w:p w14:paraId="6D3EFE92" w14:textId="77777777" w:rsidR="00B0588A" w:rsidRPr="00013AE5" w:rsidRDefault="00B0588A" w:rsidP="005241B7">
            <w:pPr>
              <w:pStyle w:val="Default"/>
              <w:rPr>
                <w:sz w:val="20"/>
                <w:szCs w:val="20"/>
              </w:rPr>
            </w:pPr>
            <w:r>
              <w:rPr>
                <w:sz w:val="20"/>
                <w:szCs w:val="20"/>
              </w:rPr>
              <w:t xml:space="preserve">Energie z neobnovitelných zdrojů </w:t>
            </w:r>
          </w:p>
        </w:tc>
        <w:tc>
          <w:tcPr>
            <w:tcW w:w="2501" w:type="pct"/>
          </w:tcPr>
          <w:p w14:paraId="24B917A9" w14:textId="77777777" w:rsidR="00B0588A" w:rsidRPr="0000395D" w:rsidRDefault="00B0588A" w:rsidP="005241B7">
            <w:pPr>
              <w:rPr>
                <w:i/>
                <w:iCs/>
              </w:rPr>
            </w:pPr>
            <w:r>
              <w:rPr>
                <w:i/>
                <w:iCs/>
              </w:rPr>
              <w:t>-</w:t>
            </w:r>
          </w:p>
        </w:tc>
      </w:tr>
      <w:tr w:rsidR="00B0588A" w:rsidRPr="0000395D" w14:paraId="11AA5D83" w14:textId="77777777" w:rsidTr="005241B7">
        <w:trPr>
          <w:trHeight w:val="323"/>
        </w:trPr>
        <w:tc>
          <w:tcPr>
            <w:tcW w:w="2499" w:type="pct"/>
          </w:tcPr>
          <w:p w14:paraId="413BF92B" w14:textId="77777777" w:rsidR="00B0588A" w:rsidRPr="00013AE5" w:rsidRDefault="00B0588A" w:rsidP="005241B7">
            <w:pPr>
              <w:pStyle w:val="Default"/>
              <w:rPr>
                <w:sz w:val="20"/>
                <w:szCs w:val="20"/>
              </w:rPr>
            </w:pPr>
            <w:r>
              <w:rPr>
                <w:sz w:val="20"/>
                <w:szCs w:val="20"/>
              </w:rPr>
              <w:t>Povinná instalace systému větrání se zpětným získáváním tepla</w:t>
            </w:r>
          </w:p>
        </w:tc>
        <w:tc>
          <w:tcPr>
            <w:tcW w:w="2501" w:type="pct"/>
          </w:tcPr>
          <w:p w14:paraId="34D2AFAD" w14:textId="77777777" w:rsidR="00B0588A" w:rsidRPr="00901D59" w:rsidRDefault="00B0588A" w:rsidP="005241B7">
            <w:pPr>
              <w:pStyle w:val="Default"/>
            </w:pPr>
            <w:r w:rsidRPr="00901D59">
              <w:rPr>
                <w:sz w:val="20"/>
                <w:szCs w:val="20"/>
              </w:rPr>
              <w:t>Ne</w:t>
            </w:r>
          </w:p>
        </w:tc>
      </w:tr>
      <w:tr w:rsidR="00B0588A" w:rsidRPr="0000395D" w14:paraId="18D67662" w14:textId="77777777" w:rsidTr="005241B7">
        <w:trPr>
          <w:trHeight w:val="322"/>
        </w:trPr>
        <w:tc>
          <w:tcPr>
            <w:tcW w:w="2499" w:type="pct"/>
          </w:tcPr>
          <w:p w14:paraId="4FD22003" w14:textId="77777777" w:rsidR="00B0588A" w:rsidRPr="00013AE5" w:rsidRDefault="00B0588A" w:rsidP="005241B7">
            <w:pPr>
              <w:pStyle w:val="Default"/>
              <w:rPr>
                <w:sz w:val="20"/>
                <w:szCs w:val="20"/>
              </w:rPr>
            </w:pPr>
            <w:r>
              <w:rPr>
                <w:sz w:val="20"/>
                <w:szCs w:val="20"/>
              </w:rPr>
              <w:t xml:space="preserve">Součinitel prostupu tepla konstrukce na obálce budovy, na které je prováděno opatření </w:t>
            </w:r>
          </w:p>
        </w:tc>
        <w:tc>
          <w:tcPr>
            <w:tcW w:w="2501" w:type="pct"/>
          </w:tcPr>
          <w:p w14:paraId="4B23007C" w14:textId="77777777" w:rsidR="00B0588A" w:rsidRPr="00013AE5" w:rsidRDefault="00B0588A" w:rsidP="005241B7">
            <w:pPr>
              <w:pStyle w:val="Default"/>
              <w:rPr>
                <w:sz w:val="20"/>
                <w:szCs w:val="20"/>
              </w:rPr>
            </w:pPr>
            <w:r>
              <w:rPr>
                <w:sz w:val="20"/>
                <w:szCs w:val="20"/>
              </w:rPr>
              <w:t xml:space="preserve">Splnění požadavků </w:t>
            </w:r>
            <w:proofErr w:type="spellStart"/>
            <w:r>
              <w:rPr>
                <w:sz w:val="20"/>
                <w:szCs w:val="20"/>
              </w:rPr>
              <w:t>vyhl</w:t>
            </w:r>
            <w:proofErr w:type="spellEnd"/>
            <w:r>
              <w:rPr>
                <w:sz w:val="20"/>
                <w:szCs w:val="20"/>
              </w:rPr>
              <w:t xml:space="preserve">. č. 264/2020 Sb. a ČSN 73 0540-2 </w:t>
            </w:r>
          </w:p>
        </w:tc>
      </w:tr>
      <w:tr w:rsidR="00B0588A" w:rsidRPr="0000395D" w14:paraId="2BE71263" w14:textId="77777777" w:rsidTr="005241B7">
        <w:trPr>
          <w:trHeight w:val="323"/>
        </w:trPr>
        <w:tc>
          <w:tcPr>
            <w:tcW w:w="2499" w:type="pct"/>
          </w:tcPr>
          <w:p w14:paraId="76883F33" w14:textId="77777777" w:rsidR="00B0588A" w:rsidRPr="00013AE5" w:rsidRDefault="00B0588A" w:rsidP="005241B7">
            <w:pPr>
              <w:pStyle w:val="Default"/>
              <w:rPr>
                <w:sz w:val="20"/>
                <w:szCs w:val="20"/>
              </w:rPr>
            </w:pPr>
            <w:r>
              <w:rPr>
                <w:sz w:val="20"/>
                <w:szCs w:val="20"/>
              </w:rPr>
              <w:t xml:space="preserve">Výměna výplní otvorů – okna, balkonové dveře, velkorozměrové posuvné výplně </w:t>
            </w:r>
          </w:p>
        </w:tc>
        <w:tc>
          <w:tcPr>
            <w:tcW w:w="2501" w:type="pct"/>
          </w:tcPr>
          <w:p w14:paraId="63ED912B" w14:textId="77777777" w:rsidR="00B0588A" w:rsidRPr="00013AE5" w:rsidRDefault="00B0588A" w:rsidP="005241B7">
            <w:pPr>
              <w:pStyle w:val="Default"/>
              <w:rPr>
                <w:sz w:val="18"/>
                <w:szCs w:val="18"/>
              </w:rPr>
            </w:pPr>
            <w:proofErr w:type="spellStart"/>
            <w:r>
              <w:rPr>
                <w:sz w:val="20"/>
                <w:szCs w:val="20"/>
              </w:rPr>
              <w:t>U</w:t>
            </w:r>
            <w:r>
              <w:rPr>
                <w:sz w:val="14"/>
                <w:szCs w:val="14"/>
              </w:rPr>
              <w:t>w</w:t>
            </w:r>
            <w:proofErr w:type="spellEnd"/>
            <w:r>
              <w:rPr>
                <w:sz w:val="14"/>
                <w:szCs w:val="14"/>
              </w:rPr>
              <w:t xml:space="preserve"> </w:t>
            </w:r>
            <w:r>
              <w:rPr>
                <w:sz w:val="20"/>
                <w:szCs w:val="20"/>
              </w:rPr>
              <w:t xml:space="preserve">≤ 0,90 </w:t>
            </w:r>
            <w:r>
              <w:rPr>
                <w:sz w:val="18"/>
                <w:szCs w:val="18"/>
              </w:rPr>
              <w:t>W/m</w:t>
            </w:r>
            <w:r>
              <w:rPr>
                <w:sz w:val="12"/>
                <w:szCs w:val="12"/>
              </w:rPr>
              <w:t>2</w:t>
            </w:r>
            <w:r>
              <w:rPr>
                <w:sz w:val="18"/>
                <w:szCs w:val="18"/>
              </w:rPr>
              <w:t xml:space="preserve">.K </w:t>
            </w:r>
          </w:p>
        </w:tc>
      </w:tr>
      <w:tr w:rsidR="00B0588A" w:rsidRPr="0000395D" w14:paraId="6A32AC0F" w14:textId="77777777" w:rsidTr="005241B7">
        <w:trPr>
          <w:trHeight w:val="323"/>
        </w:trPr>
        <w:tc>
          <w:tcPr>
            <w:tcW w:w="2499" w:type="pct"/>
          </w:tcPr>
          <w:p w14:paraId="5AB92BCA" w14:textId="77777777" w:rsidR="00B0588A" w:rsidRPr="00013AE5" w:rsidRDefault="00B0588A" w:rsidP="005241B7">
            <w:pPr>
              <w:pStyle w:val="Default"/>
              <w:rPr>
                <w:sz w:val="20"/>
                <w:szCs w:val="20"/>
              </w:rPr>
            </w:pPr>
            <w:r>
              <w:rPr>
                <w:sz w:val="20"/>
                <w:szCs w:val="20"/>
              </w:rPr>
              <w:t xml:space="preserve">Výměna výplní otvorů – střešní okna </w:t>
            </w:r>
          </w:p>
        </w:tc>
        <w:tc>
          <w:tcPr>
            <w:tcW w:w="2501" w:type="pct"/>
          </w:tcPr>
          <w:p w14:paraId="0CD1DDB2" w14:textId="77777777" w:rsidR="00B0588A" w:rsidRPr="00013AE5" w:rsidRDefault="00B0588A" w:rsidP="005241B7">
            <w:pPr>
              <w:pStyle w:val="Default"/>
              <w:rPr>
                <w:sz w:val="18"/>
                <w:szCs w:val="18"/>
              </w:rPr>
            </w:pPr>
            <w:proofErr w:type="spellStart"/>
            <w:r>
              <w:rPr>
                <w:sz w:val="20"/>
                <w:szCs w:val="20"/>
              </w:rPr>
              <w:t>U</w:t>
            </w:r>
            <w:r>
              <w:rPr>
                <w:sz w:val="16"/>
                <w:szCs w:val="16"/>
              </w:rPr>
              <w:t>w</w:t>
            </w:r>
            <w:proofErr w:type="spellEnd"/>
            <w:r>
              <w:rPr>
                <w:sz w:val="16"/>
                <w:szCs w:val="16"/>
              </w:rPr>
              <w:t xml:space="preserve"> </w:t>
            </w:r>
            <w:r>
              <w:rPr>
                <w:sz w:val="20"/>
                <w:szCs w:val="20"/>
              </w:rPr>
              <w:t xml:space="preserve">≤ 1,0 </w:t>
            </w:r>
            <w:r>
              <w:rPr>
                <w:sz w:val="18"/>
                <w:szCs w:val="18"/>
              </w:rPr>
              <w:t>W/m</w:t>
            </w:r>
            <w:r>
              <w:rPr>
                <w:sz w:val="12"/>
                <w:szCs w:val="12"/>
              </w:rPr>
              <w:t>2</w:t>
            </w:r>
            <w:r>
              <w:rPr>
                <w:sz w:val="18"/>
                <w:szCs w:val="18"/>
              </w:rPr>
              <w:t xml:space="preserve">.K </w:t>
            </w:r>
          </w:p>
        </w:tc>
      </w:tr>
      <w:tr w:rsidR="00B0588A" w:rsidRPr="0000395D" w14:paraId="169AE137" w14:textId="77777777" w:rsidTr="005241B7">
        <w:trPr>
          <w:trHeight w:val="323"/>
        </w:trPr>
        <w:tc>
          <w:tcPr>
            <w:tcW w:w="2499" w:type="pct"/>
          </w:tcPr>
          <w:p w14:paraId="34FFB6B5" w14:textId="77777777" w:rsidR="00B0588A" w:rsidRPr="00013AE5" w:rsidRDefault="00B0588A" w:rsidP="005241B7">
            <w:pPr>
              <w:pStyle w:val="Default"/>
              <w:rPr>
                <w:sz w:val="20"/>
                <w:szCs w:val="20"/>
              </w:rPr>
            </w:pPr>
            <w:r>
              <w:rPr>
                <w:sz w:val="20"/>
                <w:szCs w:val="20"/>
              </w:rPr>
              <w:t xml:space="preserve">Výměna výplní otvorů – vchodové dveře </w:t>
            </w:r>
          </w:p>
        </w:tc>
        <w:tc>
          <w:tcPr>
            <w:tcW w:w="2501" w:type="pct"/>
          </w:tcPr>
          <w:p w14:paraId="51110FE0" w14:textId="77777777" w:rsidR="00B0588A" w:rsidRPr="00013AE5" w:rsidRDefault="00B0588A" w:rsidP="005241B7">
            <w:pPr>
              <w:pStyle w:val="Default"/>
              <w:rPr>
                <w:sz w:val="18"/>
                <w:szCs w:val="18"/>
              </w:rPr>
            </w:pPr>
            <w:r>
              <w:rPr>
                <w:sz w:val="20"/>
                <w:szCs w:val="20"/>
              </w:rPr>
              <w:t>U</w:t>
            </w:r>
            <w:r>
              <w:rPr>
                <w:sz w:val="13"/>
                <w:szCs w:val="13"/>
              </w:rPr>
              <w:t xml:space="preserve">D </w:t>
            </w:r>
            <w:r>
              <w:rPr>
                <w:sz w:val="20"/>
                <w:szCs w:val="20"/>
              </w:rPr>
              <w:t xml:space="preserve">≤ 1,2 </w:t>
            </w:r>
            <w:r>
              <w:rPr>
                <w:sz w:val="18"/>
                <w:szCs w:val="18"/>
              </w:rPr>
              <w:t>W/m</w:t>
            </w:r>
            <w:r>
              <w:rPr>
                <w:sz w:val="12"/>
                <w:szCs w:val="12"/>
              </w:rPr>
              <w:t>2</w:t>
            </w:r>
            <w:r>
              <w:rPr>
                <w:sz w:val="18"/>
                <w:szCs w:val="18"/>
              </w:rPr>
              <w:t xml:space="preserve">.K </w:t>
            </w:r>
          </w:p>
        </w:tc>
      </w:tr>
      <w:tr w:rsidR="00B0588A" w:rsidRPr="0000395D" w14:paraId="041012CA" w14:textId="77777777" w:rsidTr="005241B7">
        <w:trPr>
          <w:trHeight w:val="323"/>
        </w:trPr>
        <w:tc>
          <w:tcPr>
            <w:tcW w:w="2499" w:type="pct"/>
          </w:tcPr>
          <w:p w14:paraId="4EBEB07B" w14:textId="77777777" w:rsidR="00B0588A" w:rsidRDefault="00B0588A" w:rsidP="005241B7">
            <w:pPr>
              <w:pStyle w:val="Default"/>
              <w:rPr>
                <w:sz w:val="20"/>
                <w:szCs w:val="20"/>
              </w:rPr>
            </w:pPr>
            <w:r>
              <w:rPr>
                <w:sz w:val="20"/>
                <w:szCs w:val="20"/>
              </w:rPr>
              <w:t xml:space="preserve">Procentní snížení průměrného součinitele prostupu tepla obálkou budovy oproti stavu před realizací opatření </w:t>
            </w:r>
          </w:p>
        </w:tc>
        <w:tc>
          <w:tcPr>
            <w:tcW w:w="2501" w:type="pct"/>
          </w:tcPr>
          <w:p w14:paraId="04852CB0" w14:textId="77777777" w:rsidR="00B0588A" w:rsidRPr="00013AE5" w:rsidRDefault="00B0588A" w:rsidP="005241B7">
            <w:pPr>
              <w:pStyle w:val="Default"/>
              <w:rPr>
                <w:sz w:val="20"/>
                <w:szCs w:val="20"/>
              </w:rPr>
            </w:pPr>
            <w:r>
              <w:rPr>
                <w:sz w:val="20"/>
                <w:szCs w:val="20"/>
              </w:rPr>
              <w:t xml:space="preserve">≥ 30 % </w:t>
            </w:r>
          </w:p>
        </w:tc>
      </w:tr>
      <w:tr w:rsidR="00B0588A" w:rsidRPr="0000395D" w14:paraId="375071F2" w14:textId="77777777" w:rsidTr="005241B7">
        <w:trPr>
          <w:trHeight w:val="323"/>
        </w:trPr>
        <w:tc>
          <w:tcPr>
            <w:tcW w:w="2499" w:type="pct"/>
          </w:tcPr>
          <w:p w14:paraId="77AD815B" w14:textId="77777777" w:rsidR="00B0588A" w:rsidRDefault="00B0588A" w:rsidP="005241B7">
            <w:pPr>
              <w:pStyle w:val="Default"/>
              <w:rPr>
                <w:sz w:val="20"/>
                <w:szCs w:val="20"/>
              </w:rPr>
            </w:pPr>
            <w:r>
              <w:rPr>
                <w:sz w:val="20"/>
                <w:szCs w:val="20"/>
              </w:rPr>
              <w:t xml:space="preserve">Snížení výpočtové hodnoty celkové primární energie z neobnovitelných zdrojů dodané do budovy v </w:t>
            </w:r>
            <w:proofErr w:type="spellStart"/>
            <w:r>
              <w:rPr>
                <w:sz w:val="20"/>
                <w:szCs w:val="20"/>
              </w:rPr>
              <w:t>MWh</w:t>
            </w:r>
            <w:proofErr w:type="spellEnd"/>
            <w:r>
              <w:rPr>
                <w:sz w:val="20"/>
                <w:szCs w:val="20"/>
              </w:rPr>
              <w:t xml:space="preserve">/rok </w:t>
            </w:r>
          </w:p>
        </w:tc>
        <w:tc>
          <w:tcPr>
            <w:tcW w:w="2501" w:type="pct"/>
          </w:tcPr>
          <w:p w14:paraId="5648862E" w14:textId="77777777" w:rsidR="00B0588A" w:rsidRPr="0000395D" w:rsidRDefault="00B0588A" w:rsidP="005241B7">
            <w:pPr>
              <w:rPr>
                <w:i/>
                <w:iCs/>
              </w:rPr>
            </w:pPr>
            <w:r>
              <w:rPr>
                <w:sz w:val="20"/>
                <w:szCs w:val="20"/>
              </w:rPr>
              <w:t>≥ 30 %</w:t>
            </w:r>
          </w:p>
        </w:tc>
      </w:tr>
      <w:tr w:rsidR="00B0588A" w:rsidRPr="0000395D" w14:paraId="413B10F4" w14:textId="77777777" w:rsidTr="005241B7">
        <w:trPr>
          <w:trHeight w:val="323"/>
        </w:trPr>
        <w:tc>
          <w:tcPr>
            <w:tcW w:w="2499" w:type="pct"/>
          </w:tcPr>
          <w:p w14:paraId="24302596" w14:textId="77777777" w:rsidR="00B0588A" w:rsidRDefault="00B0588A" w:rsidP="005241B7">
            <w:pPr>
              <w:pStyle w:val="Default"/>
              <w:rPr>
                <w:sz w:val="20"/>
                <w:szCs w:val="20"/>
              </w:rPr>
            </w:pPr>
            <w:r>
              <w:rPr>
                <w:sz w:val="20"/>
                <w:szCs w:val="20"/>
              </w:rPr>
              <w:t xml:space="preserve">Snížení výpočtové hodnoty celkové dodané energie do budovy v </w:t>
            </w:r>
            <w:proofErr w:type="spellStart"/>
            <w:r>
              <w:rPr>
                <w:sz w:val="20"/>
                <w:szCs w:val="20"/>
              </w:rPr>
              <w:t>MWh</w:t>
            </w:r>
            <w:proofErr w:type="spellEnd"/>
            <w:r>
              <w:rPr>
                <w:sz w:val="20"/>
                <w:szCs w:val="20"/>
              </w:rPr>
              <w:t xml:space="preserve">/rok </w:t>
            </w:r>
          </w:p>
        </w:tc>
        <w:tc>
          <w:tcPr>
            <w:tcW w:w="2501" w:type="pct"/>
          </w:tcPr>
          <w:p w14:paraId="661EA8B5" w14:textId="77777777" w:rsidR="00B0588A" w:rsidRPr="0000395D" w:rsidRDefault="00B0588A" w:rsidP="005241B7">
            <w:pPr>
              <w:rPr>
                <w:i/>
                <w:iCs/>
              </w:rPr>
            </w:pPr>
            <w:r>
              <w:rPr>
                <w:sz w:val="20"/>
                <w:szCs w:val="20"/>
              </w:rPr>
              <w:t>≥ 30 %</w:t>
            </w:r>
          </w:p>
        </w:tc>
      </w:tr>
      <w:tr w:rsidR="00B0588A" w:rsidRPr="0000395D" w14:paraId="2CF13A70" w14:textId="77777777" w:rsidTr="005241B7">
        <w:trPr>
          <w:trHeight w:val="323"/>
        </w:trPr>
        <w:tc>
          <w:tcPr>
            <w:tcW w:w="5000" w:type="pct"/>
            <w:gridSpan w:val="2"/>
          </w:tcPr>
          <w:p w14:paraId="12063B62" w14:textId="77777777" w:rsidR="00B0588A" w:rsidRDefault="00B0588A" w:rsidP="005241B7">
            <w:pPr>
              <w:pStyle w:val="Default"/>
              <w:rPr>
                <w:sz w:val="18"/>
                <w:szCs w:val="18"/>
              </w:rPr>
            </w:pPr>
            <w:proofErr w:type="spellStart"/>
            <w:proofErr w:type="gramStart"/>
            <w:r>
              <w:rPr>
                <w:b/>
                <w:bCs/>
                <w:sz w:val="18"/>
                <w:szCs w:val="18"/>
              </w:rPr>
              <w:t>U</w:t>
            </w:r>
            <w:r>
              <w:rPr>
                <w:b/>
                <w:bCs/>
                <w:sz w:val="12"/>
                <w:szCs w:val="12"/>
              </w:rPr>
              <w:t>em,R</w:t>
            </w:r>
            <w:proofErr w:type="spellEnd"/>
            <w:proofErr w:type="gramEnd"/>
            <w:r>
              <w:rPr>
                <w:b/>
                <w:bCs/>
                <w:sz w:val="12"/>
                <w:szCs w:val="12"/>
              </w:rPr>
              <w:t xml:space="preserve"> </w:t>
            </w:r>
            <w:r>
              <w:rPr>
                <w:i/>
                <w:iCs/>
                <w:sz w:val="18"/>
                <w:szCs w:val="18"/>
              </w:rPr>
              <w:t xml:space="preserve">– průměrný součinitel prostupu tepla referenční budovy v navrhovaném stavu, stanovený v souladu s </w:t>
            </w:r>
            <w:proofErr w:type="spellStart"/>
            <w:r>
              <w:rPr>
                <w:i/>
                <w:iCs/>
                <w:sz w:val="18"/>
                <w:szCs w:val="18"/>
              </w:rPr>
              <w:t>vyhl</w:t>
            </w:r>
            <w:proofErr w:type="spellEnd"/>
            <w:r>
              <w:rPr>
                <w:i/>
                <w:iCs/>
                <w:sz w:val="18"/>
                <w:szCs w:val="18"/>
              </w:rPr>
              <w:t xml:space="preserve">. č. 264/2020 Sb., o energetické náročnosti budov, ve znění pozdějších předpisů, </w:t>
            </w:r>
            <w:r>
              <w:rPr>
                <w:b/>
                <w:bCs/>
                <w:i/>
                <w:iCs/>
                <w:sz w:val="18"/>
                <w:szCs w:val="18"/>
              </w:rPr>
              <w:t xml:space="preserve">pro koeficient </w:t>
            </w:r>
            <w:proofErr w:type="spellStart"/>
            <w:r>
              <w:rPr>
                <w:b/>
                <w:bCs/>
                <w:i/>
                <w:iCs/>
                <w:sz w:val="18"/>
                <w:szCs w:val="18"/>
              </w:rPr>
              <w:t>f</w:t>
            </w:r>
            <w:r>
              <w:rPr>
                <w:b/>
                <w:bCs/>
                <w:i/>
                <w:iCs/>
                <w:sz w:val="12"/>
                <w:szCs w:val="12"/>
              </w:rPr>
              <w:t>R</w:t>
            </w:r>
            <w:proofErr w:type="spellEnd"/>
            <w:r>
              <w:rPr>
                <w:b/>
                <w:bCs/>
                <w:i/>
                <w:iCs/>
                <w:sz w:val="12"/>
                <w:szCs w:val="12"/>
              </w:rPr>
              <w:t xml:space="preserve"> </w:t>
            </w:r>
            <w:r>
              <w:rPr>
                <w:b/>
                <w:bCs/>
                <w:i/>
                <w:iCs/>
                <w:sz w:val="18"/>
                <w:szCs w:val="18"/>
              </w:rPr>
              <w:t xml:space="preserve">= 1,0. </w:t>
            </w:r>
          </w:p>
          <w:p w14:paraId="1420D0CE" w14:textId="77777777" w:rsidR="00B0588A" w:rsidRDefault="00B0588A" w:rsidP="005241B7">
            <w:pPr>
              <w:pStyle w:val="Default"/>
              <w:rPr>
                <w:sz w:val="18"/>
                <w:szCs w:val="18"/>
              </w:rPr>
            </w:pPr>
            <w:r>
              <w:rPr>
                <w:i/>
                <w:iCs/>
                <w:sz w:val="18"/>
                <w:szCs w:val="18"/>
              </w:rPr>
              <w:t xml:space="preserve">Splnění podmínky </w:t>
            </w:r>
            <w:r>
              <w:rPr>
                <w:b/>
                <w:bCs/>
                <w:i/>
                <w:iCs/>
                <w:sz w:val="18"/>
                <w:szCs w:val="18"/>
              </w:rPr>
              <w:t xml:space="preserve">součinitele prostupu tepla pro výplně otvorů </w:t>
            </w:r>
            <w:r>
              <w:rPr>
                <w:i/>
                <w:iCs/>
                <w:sz w:val="18"/>
                <w:szCs w:val="18"/>
              </w:rPr>
              <w:t xml:space="preserve">se posuzuje pro standardizované rozměry dle </w:t>
            </w:r>
            <w:proofErr w:type="spellStart"/>
            <w:r>
              <w:rPr>
                <w:i/>
                <w:iCs/>
                <w:sz w:val="18"/>
                <w:szCs w:val="18"/>
              </w:rPr>
              <w:t>vyhl</w:t>
            </w:r>
            <w:proofErr w:type="spellEnd"/>
            <w:r>
              <w:rPr>
                <w:i/>
                <w:iCs/>
                <w:sz w:val="18"/>
                <w:szCs w:val="18"/>
              </w:rPr>
              <w:t xml:space="preserve">. č. 264/2020 Sb., o energetické náročnosti budov, příloha 5, část C, odst. 3, písm. b). </w:t>
            </w:r>
          </w:p>
          <w:p w14:paraId="49F73D23" w14:textId="77777777" w:rsidR="00B0588A" w:rsidRPr="0000395D" w:rsidRDefault="00B0588A" w:rsidP="005241B7">
            <w:pPr>
              <w:rPr>
                <w:i/>
                <w:iCs/>
              </w:rPr>
            </w:pPr>
            <w:r>
              <w:rPr>
                <w:i/>
                <w:iCs/>
                <w:sz w:val="18"/>
                <w:szCs w:val="18"/>
              </w:rPr>
              <w:t xml:space="preserve">Stanovení </w:t>
            </w:r>
            <w:r>
              <w:rPr>
                <w:b/>
                <w:bCs/>
                <w:i/>
                <w:iCs/>
                <w:sz w:val="18"/>
                <w:szCs w:val="18"/>
              </w:rPr>
              <w:t xml:space="preserve">třídy </w:t>
            </w:r>
            <w:r>
              <w:rPr>
                <w:i/>
                <w:iCs/>
                <w:sz w:val="18"/>
                <w:szCs w:val="18"/>
              </w:rPr>
              <w:t xml:space="preserve">průměrného součinitele prostupu tepla a energie z neobnovitelných zdrojů posuzované budovy bude provedeno dle vyhlášky č. 264/2020 Sb. </w:t>
            </w:r>
          </w:p>
        </w:tc>
      </w:tr>
    </w:tbl>
    <w:p w14:paraId="3D5BA28B" w14:textId="77777777" w:rsidR="00B0588A" w:rsidRDefault="00B0588A" w:rsidP="00B0588A"/>
    <w:p w14:paraId="131AE97D" w14:textId="4FDFE646" w:rsidR="00B0588A" w:rsidRDefault="00047CC5" w:rsidP="00B0588A">
      <w:pPr>
        <w:pStyle w:val="Nadpis5"/>
        <w:numPr>
          <w:ilvl w:val="4"/>
          <w:numId w:val="212"/>
        </w:numPr>
      </w:pPr>
      <w:r>
        <w:lastRenderedPageBreak/>
        <w:t xml:space="preserve">Celková důkladná </w:t>
      </w:r>
      <w:proofErr w:type="gramStart"/>
      <w:r>
        <w:t>renovace</w:t>
      </w:r>
      <w:r w:rsidR="00B0588A">
        <w:t xml:space="preserve"> - bytové</w:t>
      </w:r>
      <w:proofErr w:type="gramEnd"/>
      <w:r w:rsidR="00B0588A">
        <w:t xml:space="preserve"> </w:t>
      </w:r>
      <w:r w:rsidR="00B0588A" w:rsidRPr="007F0B7C">
        <w:t>domy</w:t>
      </w:r>
    </w:p>
    <w:p w14:paraId="0A7C0A26" w14:textId="77777777" w:rsidR="00B0588A" w:rsidRPr="00CD3FB5" w:rsidRDefault="00B0588A" w:rsidP="00B0588A">
      <w:pPr>
        <w:rPr>
          <w:rFonts w:cs="Segoe UI"/>
          <w:b/>
          <w:bCs/>
          <w:u w:val="single"/>
        </w:rPr>
      </w:pPr>
      <w:r w:rsidRPr="00120731">
        <w:rPr>
          <w:b/>
          <w:bCs/>
        </w:rPr>
        <w:t xml:space="preserve">Doporučuje se nastavit programy na optimální řešení, pokud jsou podporovány i nižší stupně, musí být znevýhodněny (např. nižší mírou podpory oproti optimálnímu řešení). </w:t>
      </w:r>
    </w:p>
    <w:p w14:paraId="539E0DF3" w14:textId="77777777" w:rsidR="00B0588A" w:rsidRPr="004A4EB6" w:rsidRDefault="00B0588A" w:rsidP="00B0588A">
      <w:r>
        <w:t>Musí být splněny všechny parametry (dle typu základní nebo optimální) kumulativně.</w:t>
      </w:r>
    </w:p>
    <w:tbl>
      <w:tblPr>
        <w:tblStyle w:val="Mkatabulky"/>
        <w:tblW w:w="5000" w:type="pct"/>
        <w:tblLook w:val="04A0" w:firstRow="1" w:lastRow="0" w:firstColumn="1" w:lastColumn="0" w:noHBand="0" w:noVBand="1"/>
      </w:tblPr>
      <w:tblGrid>
        <w:gridCol w:w="3693"/>
        <w:gridCol w:w="1849"/>
        <w:gridCol w:w="1762"/>
        <w:gridCol w:w="1758"/>
      </w:tblGrid>
      <w:tr w:rsidR="00B0588A" w14:paraId="170BA945" w14:textId="77777777" w:rsidTr="000133FB">
        <w:tc>
          <w:tcPr>
            <w:tcW w:w="2038" w:type="pct"/>
          </w:tcPr>
          <w:p w14:paraId="7189FB51" w14:textId="77777777" w:rsidR="00B0588A" w:rsidRPr="001E2BE3" w:rsidRDefault="00B0588A" w:rsidP="000133FB">
            <w:pPr>
              <w:pStyle w:val="Default"/>
              <w:rPr>
                <w:b/>
                <w:bCs/>
              </w:rPr>
            </w:pPr>
            <w:r w:rsidRPr="001E2BE3">
              <w:rPr>
                <w:b/>
                <w:bCs/>
                <w:sz w:val="20"/>
                <w:szCs w:val="20"/>
              </w:rPr>
              <w:t>Sledovaný parametr</w:t>
            </w:r>
          </w:p>
        </w:tc>
        <w:tc>
          <w:tcPr>
            <w:tcW w:w="1020" w:type="pct"/>
          </w:tcPr>
          <w:p w14:paraId="557B3CAC" w14:textId="77777777" w:rsidR="00B0588A" w:rsidRPr="001E2BE3" w:rsidRDefault="00B0588A" w:rsidP="000133FB">
            <w:pPr>
              <w:rPr>
                <w:b/>
                <w:bCs/>
              </w:rPr>
            </w:pPr>
            <w:r w:rsidRPr="001E2BE3">
              <w:rPr>
                <w:b/>
                <w:bCs/>
              </w:rPr>
              <w:t>Památky</w:t>
            </w:r>
          </w:p>
        </w:tc>
        <w:tc>
          <w:tcPr>
            <w:tcW w:w="972" w:type="pct"/>
          </w:tcPr>
          <w:p w14:paraId="73D38233" w14:textId="77777777" w:rsidR="00B0588A" w:rsidRPr="001E2BE3" w:rsidRDefault="00B0588A" w:rsidP="000133FB">
            <w:pPr>
              <w:rPr>
                <w:b/>
                <w:bCs/>
              </w:rPr>
            </w:pPr>
            <w:r w:rsidRPr="001E2BE3">
              <w:rPr>
                <w:b/>
                <w:bCs/>
              </w:rPr>
              <w:t>Základní</w:t>
            </w:r>
          </w:p>
        </w:tc>
        <w:tc>
          <w:tcPr>
            <w:tcW w:w="970" w:type="pct"/>
          </w:tcPr>
          <w:p w14:paraId="1436D810" w14:textId="77777777" w:rsidR="00B0588A" w:rsidRPr="001E2BE3" w:rsidRDefault="00B0588A" w:rsidP="000133FB">
            <w:pPr>
              <w:rPr>
                <w:b/>
                <w:bCs/>
              </w:rPr>
            </w:pPr>
            <w:r w:rsidRPr="001E2BE3">
              <w:rPr>
                <w:b/>
                <w:bCs/>
              </w:rPr>
              <w:t>Optimální</w:t>
            </w:r>
          </w:p>
        </w:tc>
      </w:tr>
      <w:tr w:rsidR="00B0588A" w14:paraId="3BE37093" w14:textId="77777777" w:rsidTr="000133FB">
        <w:tc>
          <w:tcPr>
            <w:tcW w:w="2038" w:type="pct"/>
          </w:tcPr>
          <w:p w14:paraId="35696C2C" w14:textId="77777777" w:rsidR="00B0588A" w:rsidRDefault="00B0588A" w:rsidP="000133FB">
            <w:r w:rsidRPr="006B3530">
              <w:t>Průměrný součinitel prostupu tepla obálkou budovy</w:t>
            </w:r>
          </w:p>
        </w:tc>
        <w:tc>
          <w:tcPr>
            <w:tcW w:w="1020" w:type="pct"/>
          </w:tcPr>
          <w:p w14:paraId="28679EFD" w14:textId="77777777" w:rsidR="00B0588A" w:rsidRDefault="00B0588A" w:rsidP="000133FB">
            <w:pPr>
              <w:jc w:val="center"/>
            </w:pPr>
            <w:r>
              <w:t>bez požadavku</w:t>
            </w:r>
          </w:p>
        </w:tc>
        <w:tc>
          <w:tcPr>
            <w:tcW w:w="972" w:type="pct"/>
          </w:tcPr>
          <w:p w14:paraId="2A4B22EF" w14:textId="77777777" w:rsidR="00B0588A" w:rsidRDefault="00B0588A" w:rsidP="000133FB">
            <w:r>
              <w:rPr>
                <w:sz w:val="20"/>
                <w:szCs w:val="20"/>
              </w:rPr>
              <w:t xml:space="preserve">≤ 1,0 </w:t>
            </w:r>
            <w:proofErr w:type="spellStart"/>
            <w:proofErr w:type="gramStart"/>
            <w:r>
              <w:rPr>
                <w:sz w:val="20"/>
                <w:szCs w:val="20"/>
              </w:rPr>
              <w:t>U</w:t>
            </w:r>
            <w:r>
              <w:rPr>
                <w:sz w:val="13"/>
                <w:szCs w:val="13"/>
              </w:rPr>
              <w:t>em,R</w:t>
            </w:r>
            <w:proofErr w:type="spellEnd"/>
            <w:proofErr w:type="gramEnd"/>
            <w:r>
              <w:rPr>
                <w:sz w:val="13"/>
                <w:szCs w:val="13"/>
              </w:rPr>
              <w:t xml:space="preserve"> </w:t>
            </w:r>
          </w:p>
        </w:tc>
        <w:tc>
          <w:tcPr>
            <w:tcW w:w="970" w:type="pct"/>
          </w:tcPr>
          <w:p w14:paraId="1F87E831" w14:textId="77777777" w:rsidR="00B0588A" w:rsidRDefault="00B0588A" w:rsidP="000133FB">
            <w:r>
              <w:rPr>
                <w:sz w:val="20"/>
                <w:szCs w:val="20"/>
              </w:rPr>
              <w:t xml:space="preserve">≤ 0,84 </w:t>
            </w:r>
            <w:proofErr w:type="spellStart"/>
            <w:proofErr w:type="gramStart"/>
            <w:r>
              <w:rPr>
                <w:sz w:val="20"/>
                <w:szCs w:val="20"/>
              </w:rPr>
              <w:t>U</w:t>
            </w:r>
            <w:r>
              <w:rPr>
                <w:sz w:val="13"/>
                <w:szCs w:val="13"/>
              </w:rPr>
              <w:t>em,R</w:t>
            </w:r>
            <w:proofErr w:type="spellEnd"/>
            <w:proofErr w:type="gramEnd"/>
            <w:r>
              <w:rPr>
                <w:sz w:val="13"/>
                <w:szCs w:val="13"/>
              </w:rPr>
              <w:t xml:space="preserve"> </w:t>
            </w:r>
          </w:p>
        </w:tc>
      </w:tr>
      <w:tr w:rsidR="00B0588A" w14:paraId="4F75CDF0" w14:textId="77777777" w:rsidTr="000133FB">
        <w:tc>
          <w:tcPr>
            <w:tcW w:w="2038" w:type="pct"/>
          </w:tcPr>
          <w:p w14:paraId="1F6289E7" w14:textId="77777777" w:rsidR="00B0588A" w:rsidRDefault="00B0588A" w:rsidP="000133FB">
            <w:r w:rsidRPr="001E2BE3">
              <w:t>Součinitel prostupu tepla konstrukce na obálce budovy, na které je prováděno opatření</w:t>
            </w:r>
          </w:p>
        </w:tc>
        <w:tc>
          <w:tcPr>
            <w:tcW w:w="1020" w:type="pct"/>
            <w:vMerge w:val="restart"/>
          </w:tcPr>
          <w:p w14:paraId="225115DF" w14:textId="77777777" w:rsidR="00B0588A" w:rsidRDefault="00B0588A" w:rsidP="000133FB">
            <w:r w:rsidRPr="001E2BE3">
              <w:t>Splnění požadavků zákona č. 406/2000 Sb. a ČSN 73 0540-2</w:t>
            </w:r>
          </w:p>
        </w:tc>
        <w:tc>
          <w:tcPr>
            <w:tcW w:w="1942" w:type="pct"/>
            <w:gridSpan w:val="2"/>
          </w:tcPr>
          <w:p w14:paraId="1BC0D345" w14:textId="77777777" w:rsidR="00B0588A" w:rsidRDefault="00B0588A" w:rsidP="000133FB">
            <w:r>
              <w:rPr>
                <w:sz w:val="20"/>
                <w:szCs w:val="20"/>
              </w:rPr>
              <w:t xml:space="preserve">Splnění požadavků </w:t>
            </w:r>
            <w:proofErr w:type="spellStart"/>
            <w:r>
              <w:rPr>
                <w:sz w:val="20"/>
                <w:szCs w:val="20"/>
              </w:rPr>
              <w:t>vyhl</w:t>
            </w:r>
            <w:proofErr w:type="spellEnd"/>
            <w:r>
              <w:rPr>
                <w:sz w:val="20"/>
                <w:szCs w:val="20"/>
              </w:rPr>
              <w:t>. č. 264/2020 Sb. a ČSN 73 0540-2</w:t>
            </w:r>
          </w:p>
        </w:tc>
      </w:tr>
      <w:tr w:rsidR="00B0588A" w14:paraId="28D80708" w14:textId="77777777" w:rsidTr="000133FB">
        <w:tc>
          <w:tcPr>
            <w:tcW w:w="2038" w:type="pct"/>
          </w:tcPr>
          <w:p w14:paraId="756A6227" w14:textId="77777777" w:rsidR="00B0588A" w:rsidRDefault="00B0588A" w:rsidP="000133FB">
            <w:r w:rsidRPr="001E2BE3">
              <w:t>Součinitel prostupu tepla měněných výplní otvorů svislých konstrukcí na obálce budovy</w:t>
            </w:r>
            <w:r>
              <w:rPr>
                <w:rStyle w:val="Znakapoznpodarou"/>
              </w:rPr>
              <w:footnoteReference w:id="170"/>
            </w:r>
          </w:p>
        </w:tc>
        <w:tc>
          <w:tcPr>
            <w:tcW w:w="1020" w:type="pct"/>
            <w:vMerge/>
          </w:tcPr>
          <w:p w14:paraId="0D445693" w14:textId="77777777" w:rsidR="00B0588A" w:rsidRDefault="00B0588A" w:rsidP="000133FB"/>
        </w:tc>
        <w:tc>
          <w:tcPr>
            <w:tcW w:w="1942" w:type="pct"/>
            <w:gridSpan w:val="2"/>
          </w:tcPr>
          <w:p w14:paraId="11BA082B" w14:textId="77777777" w:rsidR="00B0588A" w:rsidRDefault="00B0588A" w:rsidP="000133FB">
            <w:r>
              <w:rPr>
                <w:sz w:val="20"/>
                <w:szCs w:val="20"/>
              </w:rPr>
              <w:t xml:space="preserve">≤ 0,6 * </w:t>
            </w:r>
            <w:proofErr w:type="spellStart"/>
            <w:proofErr w:type="gramStart"/>
            <w:r>
              <w:t>U</w:t>
            </w:r>
            <w:r>
              <w:rPr>
                <w:sz w:val="13"/>
                <w:szCs w:val="13"/>
              </w:rPr>
              <w:t>R,j</w:t>
            </w:r>
            <w:proofErr w:type="spellEnd"/>
            <w:proofErr w:type="gramEnd"/>
            <w:r>
              <w:rPr>
                <w:sz w:val="13"/>
                <w:szCs w:val="13"/>
              </w:rPr>
              <w:t xml:space="preserve"> </w:t>
            </w:r>
            <w:r>
              <w:rPr>
                <w:sz w:val="20"/>
                <w:szCs w:val="20"/>
              </w:rPr>
              <w:t xml:space="preserve">/ </w:t>
            </w:r>
            <w:proofErr w:type="spellStart"/>
            <w:r>
              <w:rPr>
                <w:sz w:val="20"/>
                <w:szCs w:val="20"/>
              </w:rPr>
              <w:t>f</w:t>
            </w:r>
            <w:r>
              <w:rPr>
                <w:sz w:val="13"/>
                <w:szCs w:val="13"/>
              </w:rPr>
              <w:t>R</w:t>
            </w:r>
            <w:proofErr w:type="spellEnd"/>
            <w:r>
              <w:rPr>
                <w:sz w:val="13"/>
                <w:szCs w:val="13"/>
              </w:rPr>
              <w:t xml:space="preserve"> </w:t>
            </w:r>
          </w:p>
        </w:tc>
      </w:tr>
      <w:tr w:rsidR="00B0588A" w14:paraId="3213BE07" w14:textId="77777777" w:rsidTr="000133FB">
        <w:tc>
          <w:tcPr>
            <w:tcW w:w="2038" w:type="pct"/>
          </w:tcPr>
          <w:p w14:paraId="0292743C" w14:textId="77777777" w:rsidR="00B0588A" w:rsidRDefault="00B0588A" w:rsidP="000133FB">
            <w:r w:rsidRPr="001E2BE3">
              <w:t>Procentní snížení průměrného součinitele prostupu tepla obálkou budovy oproti stavu před realizací opatření</w:t>
            </w:r>
          </w:p>
        </w:tc>
        <w:tc>
          <w:tcPr>
            <w:tcW w:w="1020" w:type="pct"/>
          </w:tcPr>
          <w:p w14:paraId="4781C95C" w14:textId="77777777" w:rsidR="00B0588A" w:rsidRDefault="00B0588A" w:rsidP="000133FB">
            <w:pPr>
              <w:pStyle w:val="Default"/>
              <w:jc w:val="center"/>
            </w:pPr>
            <w:r>
              <w:rPr>
                <w:sz w:val="20"/>
                <w:szCs w:val="20"/>
              </w:rPr>
              <w:t>≥ 10 %</w:t>
            </w:r>
          </w:p>
        </w:tc>
        <w:tc>
          <w:tcPr>
            <w:tcW w:w="1942" w:type="pct"/>
            <w:gridSpan w:val="2"/>
          </w:tcPr>
          <w:p w14:paraId="5916A4AA" w14:textId="77777777" w:rsidR="00B0588A" w:rsidRDefault="00B0588A" w:rsidP="000133FB">
            <w:pPr>
              <w:pStyle w:val="Default"/>
              <w:jc w:val="center"/>
              <w:rPr>
                <w:sz w:val="20"/>
                <w:szCs w:val="20"/>
              </w:rPr>
            </w:pPr>
            <w:r>
              <w:rPr>
                <w:sz w:val="20"/>
                <w:szCs w:val="20"/>
              </w:rPr>
              <w:t>≥ 20 %</w:t>
            </w:r>
          </w:p>
          <w:p w14:paraId="54B80139" w14:textId="77777777" w:rsidR="00B0588A" w:rsidRDefault="00B0588A" w:rsidP="000133FB">
            <w:pPr>
              <w:pStyle w:val="Default"/>
              <w:jc w:val="center"/>
            </w:pPr>
          </w:p>
        </w:tc>
      </w:tr>
      <w:tr w:rsidR="00B0588A" w14:paraId="0A2AAB04" w14:textId="77777777" w:rsidTr="000133FB">
        <w:tc>
          <w:tcPr>
            <w:tcW w:w="2038" w:type="pct"/>
          </w:tcPr>
          <w:p w14:paraId="3A6DCF9C" w14:textId="77777777" w:rsidR="00B0588A" w:rsidRDefault="00B0588A" w:rsidP="000133FB">
            <w:r w:rsidRPr="001E2BE3">
              <w:t xml:space="preserve">Snížení výpočtové hodnoty celkové primární energie z neobnovitelných zdrojů dodané do budovy v </w:t>
            </w:r>
            <w:proofErr w:type="spellStart"/>
            <w:r w:rsidRPr="001E2BE3">
              <w:t>MWh</w:t>
            </w:r>
            <w:proofErr w:type="spellEnd"/>
            <w:r w:rsidRPr="001E2BE3">
              <w:t>/rok.</w:t>
            </w:r>
          </w:p>
        </w:tc>
        <w:tc>
          <w:tcPr>
            <w:tcW w:w="1020" w:type="pct"/>
          </w:tcPr>
          <w:p w14:paraId="21C26EF0" w14:textId="77777777" w:rsidR="00B0588A" w:rsidRDefault="00B0588A" w:rsidP="000133FB">
            <w:pPr>
              <w:jc w:val="center"/>
            </w:pPr>
            <w:r>
              <w:rPr>
                <w:sz w:val="20"/>
                <w:szCs w:val="20"/>
              </w:rPr>
              <w:t>≥ 10 %</w:t>
            </w:r>
          </w:p>
        </w:tc>
        <w:tc>
          <w:tcPr>
            <w:tcW w:w="1942" w:type="pct"/>
            <w:gridSpan w:val="2"/>
          </w:tcPr>
          <w:p w14:paraId="3B26A9CE" w14:textId="77777777" w:rsidR="00B0588A" w:rsidRDefault="00B0588A" w:rsidP="000133FB">
            <w:pPr>
              <w:pStyle w:val="Default"/>
              <w:jc w:val="center"/>
              <w:rPr>
                <w:sz w:val="20"/>
                <w:szCs w:val="20"/>
              </w:rPr>
            </w:pPr>
            <w:r>
              <w:rPr>
                <w:sz w:val="20"/>
                <w:szCs w:val="20"/>
              </w:rPr>
              <w:t>≥ 30 %</w:t>
            </w:r>
          </w:p>
          <w:p w14:paraId="554D1BA7" w14:textId="77777777" w:rsidR="00B0588A" w:rsidRDefault="00B0588A" w:rsidP="000133FB">
            <w:pPr>
              <w:jc w:val="center"/>
            </w:pPr>
          </w:p>
        </w:tc>
      </w:tr>
      <w:tr w:rsidR="00B0588A" w14:paraId="6D586BB0" w14:textId="77777777" w:rsidTr="000133FB">
        <w:tc>
          <w:tcPr>
            <w:tcW w:w="2038" w:type="pct"/>
          </w:tcPr>
          <w:p w14:paraId="21EF67A9" w14:textId="77777777" w:rsidR="00B0588A" w:rsidRPr="001E2BE3" w:rsidRDefault="00B0588A" w:rsidP="000133FB">
            <w:r w:rsidRPr="001E2BE3">
              <w:t xml:space="preserve">Snížení výpočtové hodnoty celkové dodané energie do budovy v </w:t>
            </w:r>
            <w:proofErr w:type="spellStart"/>
            <w:r w:rsidRPr="001E2BE3">
              <w:t>MWh</w:t>
            </w:r>
            <w:proofErr w:type="spellEnd"/>
            <w:r w:rsidRPr="001E2BE3">
              <w:t>/rok.</w:t>
            </w:r>
          </w:p>
        </w:tc>
        <w:tc>
          <w:tcPr>
            <w:tcW w:w="1020" w:type="pct"/>
          </w:tcPr>
          <w:p w14:paraId="78688280" w14:textId="77777777" w:rsidR="00B0588A" w:rsidRDefault="00B0588A" w:rsidP="000133FB">
            <w:pPr>
              <w:jc w:val="center"/>
            </w:pPr>
            <w:r>
              <w:rPr>
                <w:sz w:val="20"/>
                <w:szCs w:val="20"/>
              </w:rPr>
              <w:t>≥ 10 %</w:t>
            </w:r>
          </w:p>
        </w:tc>
        <w:tc>
          <w:tcPr>
            <w:tcW w:w="1942" w:type="pct"/>
            <w:gridSpan w:val="2"/>
          </w:tcPr>
          <w:p w14:paraId="5C636CF9" w14:textId="77777777" w:rsidR="00B0588A" w:rsidRDefault="00B0588A" w:rsidP="000133FB">
            <w:pPr>
              <w:jc w:val="center"/>
            </w:pPr>
            <w:r>
              <w:rPr>
                <w:sz w:val="20"/>
                <w:szCs w:val="20"/>
              </w:rPr>
              <w:t>≥ 10 %</w:t>
            </w:r>
          </w:p>
        </w:tc>
      </w:tr>
      <w:tr w:rsidR="00B0588A" w14:paraId="56F2E980" w14:textId="77777777" w:rsidTr="000133FB">
        <w:tc>
          <w:tcPr>
            <w:tcW w:w="5000" w:type="pct"/>
            <w:gridSpan w:val="4"/>
          </w:tcPr>
          <w:p w14:paraId="742839F8" w14:textId="77777777" w:rsidR="00B0588A" w:rsidRDefault="00B0588A" w:rsidP="000133FB">
            <w:pPr>
              <w:pStyle w:val="Default"/>
              <w:jc w:val="both"/>
              <w:rPr>
                <w:sz w:val="18"/>
                <w:szCs w:val="18"/>
              </w:rPr>
            </w:pPr>
            <w:proofErr w:type="spellStart"/>
            <w:proofErr w:type="gramStart"/>
            <w:r>
              <w:rPr>
                <w:b/>
                <w:bCs/>
                <w:i/>
                <w:iCs/>
                <w:sz w:val="18"/>
                <w:szCs w:val="18"/>
              </w:rPr>
              <w:t>U</w:t>
            </w:r>
            <w:r>
              <w:rPr>
                <w:b/>
                <w:bCs/>
                <w:i/>
                <w:iCs/>
                <w:sz w:val="12"/>
                <w:szCs w:val="12"/>
              </w:rPr>
              <w:t>em,R</w:t>
            </w:r>
            <w:proofErr w:type="spellEnd"/>
            <w:proofErr w:type="gramEnd"/>
            <w:r>
              <w:rPr>
                <w:b/>
                <w:bCs/>
                <w:i/>
                <w:iCs/>
                <w:sz w:val="12"/>
                <w:szCs w:val="12"/>
              </w:rPr>
              <w:t xml:space="preserve"> </w:t>
            </w:r>
            <w:r>
              <w:rPr>
                <w:i/>
                <w:iCs/>
                <w:sz w:val="18"/>
                <w:szCs w:val="18"/>
              </w:rPr>
              <w:t xml:space="preserve">- průměrný součinitel prostupu tepla referenční budovy v navrhovaném stavu, stanovený v souladu s </w:t>
            </w:r>
            <w:proofErr w:type="spellStart"/>
            <w:r>
              <w:rPr>
                <w:i/>
                <w:iCs/>
                <w:sz w:val="18"/>
                <w:szCs w:val="18"/>
              </w:rPr>
              <w:t>vyhl</w:t>
            </w:r>
            <w:proofErr w:type="spellEnd"/>
            <w:r>
              <w:rPr>
                <w:i/>
                <w:iCs/>
                <w:sz w:val="18"/>
                <w:szCs w:val="18"/>
              </w:rPr>
              <w:t xml:space="preserve">. č. 264/2020 Sb., o energetické náročnosti budov, ve znění pozdějších předpisů. </w:t>
            </w:r>
          </w:p>
          <w:p w14:paraId="4644C2D3" w14:textId="77777777" w:rsidR="00B0588A" w:rsidRDefault="00B0588A" w:rsidP="000133FB">
            <w:proofErr w:type="spellStart"/>
            <w:proofErr w:type="gramStart"/>
            <w:r>
              <w:rPr>
                <w:b/>
                <w:bCs/>
                <w:sz w:val="18"/>
                <w:szCs w:val="18"/>
              </w:rPr>
              <w:t>U</w:t>
            </w:r>
            <w:r>
              <w:rPr>
                <w:b/>
                <w:bCs/>
                <w:sz w:val="12"/>
                <w:szCs w:val="12"/>
              </w:rPr>
              <w:t>R,j</w:t>
            </w:r>
            <w:proofErr w:type="spellEnd"/>
            <w:proofErr w:type="gramEnd"/>
            <w:r>
              <w:rPr>
                <w:b/>
                <w:bCs/>
                <w:sz w:val="12"/>
                <w:szCs w:val="12"/>
              </w:rPr>
              <w:t xml:space="preserve"> </w:t>
            </w:r>
            <w:r>
              <w:rPr>
                <w:i/>
                <w:iCs/>
                <w:sz w:val="18"/>
                <w:szCs w:val="18"/>
              </w:rPr>
              <w:t xml:space="preserve">- je Referenční hodnota součinitele prostupu tepla j-té teplosměnné konstrukce obálky budovy stanovená dle Přílohy č.1 odst. 6 vyhlášky č. 264/2020 sb. </w:t>
            </w:r>
          </w:p>
        </w:tc>
      </w:tr>
    </w:tbl>
    <w:p w14:paraId="3FF4ACF7" w14:textId="77777777" w:rsidR="00B0588A" w:rsidRDefault="00B0588A" w:rsidP="00B0588A"/>
    <w:p w14:paraId="69E67C08" w14:textId="62F6BBCD" w:rsidR="00B0588A" w:rsidRDefault="00047CC5" w:rsidP="00B0588A">
      <w:pPr>
        <w:pStyle w:val="Nadpis5"/>
        <w:numPr>
          <w:ilvl w:val="4"/>
          <w:numId w:val="213"/>
        </w:numPr>
      </w:pPr>
      <w:r>
        <w:t xml:space="preserve">Celková důkladná </w:t>
      </w:r>
      <w:proofErr w:type="gramStart"/>
      <w:r>
        <w:t>renovace</w:t>
      </w:r>
      <w:r w:rsidR="00B0588A">
        <w:t xml:space="preserve"> - veřejné</w:t>
      </w:r>
      <w:proofErr w:type="gramEnd"/>
      <w:r w:rsidR="00B0588A">
        <w:t xml:space="preserve"> budovy</w:t>
      </w:r>
    </w:p>
    <w:p w14:paraId="4A313AC3" w14:textId="77777777" w:rsidR="00B0588A" w:rsidRPr="00CD3FB5" w:rsidRDefault="00B0588A" w:rsidP="00B0588A">
      <w:pPr>
        <w:rPr>
          <w:rFonts w:cs="Segoe UI"/>
          <w:b/>
          <w:bCs/>
          <w:u w:val="single"/>
        </w:rPr>
      </w:pPr>
      <w:r w:rsidRPr="00120731">
        <w:rPr>
          <w:b/>
          <w:bCs/>
        </w:rPr>
        <w:t xml:space="preserve">Doporučuje se nastavit programy na optimální řešení, pokud jsou podporovány i nižší stupně, musí být znevýhodněny (např. nižší mírou podpory oproti optimálnímu řešení). </w:t>
      </w:r>
    </w:p>
    <w:p w14:paraId="5DA82E58" w14:textId="77777777" w:rsidR="00B0588A" w:rsidRPr="004A4EB6" w:rsidRDefault="00B0588A" w:rsidP="00B0588A">
      <w:r>
        <w:t>Musí být splněny všechny parametry (dle typu základní nebo optimální) kumulativně.</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19"/>
        <w:gridCol w:w="1512"/>
        <w:gridCol w:w="1508"/>
        <w:gridCol w:w="3023"/>
      </w:tblGrid>
      <w:tr w:rsidR="00B0588A" w:rsidRPr="00C172E8" w14:paraId="5128C95A" w14:textId="77777777" w:rsidTr="00CF3F6A">
        <w:trPr>
          <w:trHeight w:val="93"/>
        </w:trPr>
        <w:tc>
          <w:tcPr>
            <w:tcW w:w="1666" w:type="pct"/>
          </w:tcPr>
          <w:p w14:paraId="1806C834" w14:textId="77777777" w:rsidR="00B0588A" w:rsidRPr="00C172E8" w:rsidRDefault="00B0588A" w:rsidP="00CF3F6A">
            <w:pPr>
              <w:rPr>
                <w:sz w:val="20"/>
                <w:szCs w:val="20"/>
              </w:rPr>
            </w:pPr>
            <w:r w:rsidRPr="00C172E8">
              <w:rPr>
                <w:b/>
                <w:bCs/>
                <w:sz w:val="20"/>
                <w:szCs w:val="20"/>
              </w:rPr>
              <w:t xml:space="preserve">Rozsah renovace </w:t>
            </w:r>
          </w:p>
        </w:tc>
        <w:tc>
          <w:tcPr>
            <w:tcW w:w="1666" w:type="pct"/>
            <w:gridSpan w:val="2"/>
          </w:tcPr>
          <w:p w14:paraId="573B2B63" w14:textId="77777777" w:rsidR="00B0588A" w:rsidRPr="00C172E8" w:rsidRDefault="00B0588A" w:rsidP="00CF3F6A">
            <w:pPr>
              <w:rPr>
                <w:sz w:val="20"/>
                <w:szCs w:val="20"/>
              </w:rPr>
            </w:pPr>
            <w:r>
              <w:rPr>
                <w:b/>
                <w:bCs/>
                <w:sz w:val="20"/>
                <w:szCs w:val="20"/>
              </w:rPr>
              <w:t>Základní</w:t>
            </w:r>
          </w:p>
        </w:tc>
        <w:tc>
          <w:tcPr>
            <w:tcW w:w="1668" w:type="pct"/>
          </w:tcPr>
          <w:p w14:paraId="13FC4D29" w14:textId="77777777" w:rsidR="00B0588A" w:rsidRPr="00C172E8" w:rsidRDefault="00B0588A" w:rsidP="00CF3F6A">
            <w:pPr>
              <w:rPr>
                <w:sz w:val="20"/>
                <w:szCs w:val="20"/>
              </w:rPr>
            </w:pPr>
            <w:r>
              <w:rPr>
                <w:b/>
                <w:bCs/>
                <w:sz w:val="20"/>
                <w:szCs w:val="20"/>
              </w:rPr>
              <w:t>Optimální</w:t>
            </w:r>
          </w:p>
        </w:tc>
      </w:tr>
      <w:tr w:rsidR="00B0588A" w:rsidRPr="00C172E8" w14:paraId="4D0A71C6" w14:textId="77777777" w:rsidTr="00CF3F6A">
        <w:trPr>
          <w:trHeight w:val="93"/>
        </w:trPr>
        <w:tc>
          <w:tcPr>
            <w:tcW w:w="1666" w:type="pct"/>
          </w:tcPr>
          <w:p w14:paraId="24C16906" w14:textId="77777777" w:rsidR="00B0588A" w:rsidRPr="00C172E8" w:rsidRDefault="00B0588A" w:rsidP="00CF3F6A">
            <w:pPr>
              <w:rPr>
                <w:sz w:val="20"/>
                <w:szCs w:val="20"/>
              </w:rPr>
            </w:pPr>
            <w:r w:rsidRPr="00C172E8">
              <w:rPr>
                <w:b/>
                <w:bCs/>
                <w:sz w:val="20"/>
                <w:szCs w:val="20"/>
              </w:rPr>
              <w:lastRenderedPageBreak/>
              <w:t xml:space="preserve">Úspora primární energie z neobnovitelných zdrojů </w:t>
            </w:r>
          </w:p>
        </w:tc>
        <w:tc>
          <w:tcPr>
            <w:tcW w:w="1666" w:type="pct"/>
            <w:gridSpan w:val="2"/>
          </w:tcPr>
          <w:p w14:paraId="2AE6D12A" w14:textId="77777777" w:rsidR="00B0588A" w:rsidRPr="00C172E8" w:rsidRDefault="00B0588A" w:rsidP="00CF3F6A">
            <w:pPr>
              <w:rPr>
                <w:sz w:val="20"/>
                <w:szCs w:val="20"/>
              </w:rPr>
            </w:pPr>
            <w:r w:rsidRPr="00C172E8">
              <w:rPr>
                <w:sz w:val="20"/>
                <w:szCs w:val="20"/>
              </w:rPr>
              <w:t xml:space="preserve">≥ 30 % </w:t>
            </w:r>
          </w:p>
        </w:tc>
        <w:tc>
          <w:tcPr>
            <w:tcW w:w="1668" w:type="pct"/>
          </w:tcPr>
          <w:p w14:paraId="73F304C2" w14:textId="77777777" w:rsidR="00B0588A" w:rsidRPr="00C172E8" w:rsidRDefault="00B0588A" w:rsidP="00CF3F6A">
            <w:pPr>
              <w:rPr>
                <w:sz w:val="20"/>
                <w:szCs w:val="20"/>
              </w:rPr>
            </w:pPr>
            <w:r w:rsidRPr="00C172E8">
              <w:rPr>
                <w:sz w:val="20"/>
                <w:szCs w:val="20"/>
              </w:rPr>
              <w:t xml:space="preserve">≥ 40 % </w:t>
            </w:r>
          </w:p>
        </w:tc>
      </w:tr>
      <w:tr w:rsidR="00B0588A" w:rsidRPr="00C172E8" w14:paraId="3BD38132" w14:textId="77777777" w:rsidTr="00CF3F6A">
        <w:trPr>
          <w:trHeight w:val="359"/>
        </w:trPr>
        <w:tc>
          <w:tcPr>
            <w:tcW w:w="1666" w:type="pct"/>
          </w:tcPr>
          <w:p w14:paraId="24BB96F7" w14:textId="77777777" w:rsidR="00B0588A" w:rsidRPr="00C172E8" w:rsidRDefault="00B0588A" w:rsidP="00CF3F6A">
            <w:pPr>
              <w:rPr>
                <w:sz w:val="20"/>
                <w:szCs w:val="20"/>
              </w:rPr>
            </w:pPr>
            <w:r w:rsidRPr="00C172E8">
              <w:rPr>
                <w:b/>
                <w:bCs/>
                <w:sz w:val="20"/>
                <w:szCs w:val="20"/>
              </w:rPr>
              <w:t>Dosažená hodnota primární energie z neobnovitelných zdrojů pro stav po realizaci navržených opatření</w:t>
            </w:r>
            <w:r>
              <w:rPr>
                <w:b/>
                <w:bCs/>
                <w:sz w:val="20"/>
                <w:szCs w:val="20"/>
              </w:rPr>
              <w:t xml:space="preserve"> </w:t>
            </w:r>
            <w:r w:rsidRPr="000316FB">
              <w:rPr>
                <w:b/>
                <w:bCs/>
                <w:sz w:val="20"/>
                <w:szCs w:val="20"/>
                <w:vertAlign w:val="superscript"/>
              </w:rPr>
              <w:t>*</w:t>
            </w:r>
            <w:r>
              <w:rPr>
                <w:b/>
                <w:bCs/>
                <w:sz w:val="20"/>
                <w:szCs w:val="20"/>
                <w:vertAlign w:val="superscript"/>
              </w:rPr>
              <w:t xml:space="preserve"> + ***</w:t>
            </w:r>
          </w:p>
        </w:tc>
        <w:tc>
          <w:tcPr>
            <w:tcW w:w="1666" w:type="pct"/>
            <w:gridSpan w:val="2"/>
          </w:tcPr>
          <w:p w14:paraId="4B9B59FF" w14:textId="77777777" w:rsidR="00B0588A" w:rsidRPr="00C172E8" w:rsidRDefault="00B0588A" w:rsidP="00CF3F6A">
            <w:pPr>
              <w:rPr>
                <w:sz w:val="20"/>
                <w:szCs w:val="20"/>
              </w:rPr>
            </w:pPr>
            <w:r w:rsidRPr="00C172E8">
              <w:rPr>
                <w:sz w:val="20"/>
                <w:szCs w:val="20"/>
              </w:rPr>
              <w:t xml:space="preserve">≤ 0,85 x reference pro renovace </w:t>
            </w:r>
          </w:p>
        </w:tc>
        <w:tc>
          <w:tcPr>
            <w:tcW w:w="1668" w:type="pct"/>
          </w:tcPr>
          <w:p w14:paraId="21D8646E" w14:textId="77777777" w:rsidR="00B0588A" w:rsidRPr="00C172E8" w:rsidRDefault="00B0588A" w:rsidP="00CF3F6A">
            <w:pPr>
              <w:rPr>
                <w:sz w:val="20"/>
                <w:szCs w:val="20"/>
              </w:rPr>
            </w:pPr>
            <w:r w:rsidRPr="00C172E8">
              <w:rPr>
                <w:sz w:val="20"/>
                <w:szCs w:val="20"/>
              </w:rPr>
              <w:t xml:space="preserve">≤ 0,70 x </w:t>
            </w:r>
          </w:p>
          <w:p w14:paraId="05918CCE" w14:textId="77777777" w:rsidR="00B0588A" w:rsidRPr="00C172E8" w:rsidRDefault="00B0588A" w:rsidP="00CF3F6A">
            <w:pPr>
              <w:rPr>
                <w:sz w:val="20"/>
                <w:szCs w:val="20"/>
              </w:rPr>
            </w:pPr>
            <w:r w:rsidRPr="00C172E8">
              <w:rPr>
                <w:sz w:val="20"/>
                <w:szCs w:val="20"/>
              </w:rPr>
              <w:t xml:space="preserve">reference pro renovace </w:t>
            </w:r>
          </w:p>
        </w:tc>
      </w:tr>
      <w:tr w:rsidR="00B0588A" w:rsidRPr="00C172E8" w14:paraId="01A78F00" w14:textId="77777777" w:rsidTr="00CF3F6A">
        <w:trPr>
          <w:trHeight w:val="232"/>
        </w:trPr>
        <w:tc>
          <w:tcPr>
            <w:tcW w:w="1666" w:type="pct"/>
          </w:tcPr>
          <w:p w14:paraId="3C102425" w14:textId="77777777" w:rsidR="00B0588A" w:rsidRPr="00C172E8" w:rsidRDefault="00B0588A" w:rsidP="00CF3F6A">
            <w:pPr>
              <w:rPr>
                <w:sz w:val="20"/>
                <w:szCs w:val="20"/>
              </w:rPr>
            </w:pPr>
            <w:r w:rsidRPr="00C172E8">
              <w:rPr>
                <w:b/>
                <w:bCs/>
                <w:sz w:val="20"/>
                <w:szCs w:val="20"/>
              </w:rPr>
              <w:t>Průměrný součinitel prostupu tepla obálky (pokud jsou řešeny její tepelně – technické vlastnosti) budovy</w:t>
            </w:r>
            <w:r>
              <w:rPr>
                <w:b/>
                <w:bCs/>
                <w:sz w:val="20"/>
                <w:szCs w:val="20"/>
              </w:rPr>
              <w:t xml:space="preserve"> </w:t>
            </w:r>
            <w:r w:rsidRPr="000316FB">
              <w:rPr>
                <w:b/>
                <w:bCs/>
                <w:sz w:val="20"/>
                <w:szCs w:val="20"/>
                <w:vertAlign w:val="superscript"/>
              </w:rPr>
              <w:t>*</w:t>
            </w:r>
            <w:r>
              <w:rPr>
                <w:b/>
                <w:bCs/>
                <w:sz w:val="20"/>
                <w:szCs w:val="20"/>
                <w:vertAlign w:val="superscript"/>
              </w:rPr>
              <w:t xml:space="preserve"> + ***</w:t>
            </w:r>
            <w:r w:rsidRPr="00C172E8">
              <w:rPr>
                <w:b/>
                <w:bCs/>
                <w:sz w:val="20"/>
                <w:szCs w:val="20"/>
              </w:rPr>
              <w:t xml:space="preserve"> </w:t>
            </w:r>
          </w:p>
        </w:tc>
        <w:tc>
          <w:tcPr>
            <w:tcW w:w="1666" w:type="pct"/>
            <w:gridSpan w:val="2"/>
          </w:tcPr>
          <w:p w14:paraId="52477622" w14:textId="77777777" w:rsidR="00B0588A" w:rsidRPr="00C172E8" w:rsidRDefault="00B0588A" w:rsidP="00CF3F6A">
            <w:pPr>
              <w:rPr>
                <w:sz w:val="20"/>
                <w:szCs w:val="20"/>
              </w:rPr>
            </w:pPr>
            <w:r w:rsidRPr="00C172E8">
              <w:rPr>
                <w:sz w:val="20"/>
                <w:szCs w:val="20"/>
              </w:rPr>
              <w:t xml:space="preserve">≤ 0,95 x </w:t>
            </w:r>
            <w:proofErr w:type="spellStart"/>
            <w:r w:rsidRPr="00C172E8">
              <w:rPr>
                <w:sz w:val="20"/>
                <w:szCs w:val="20"/>
              </w:rPr>
              <w:t>Uem</w:t>
            </w:r>
            <w:proofErr w:type="spellEnd"/>
            <w:r w:rsidRPr="00C172E8">
              <w:rPr>
                <w:sz w:val="20"/>
                <w:szCs w:val="20"/>
              </w:rPr>
              <w:t xml:space="preserve">, R </w:t>
            </w:r>
          </w:p>
        </w:tc>
        <w:tc>
          <w:tcPr>
            <w:tcW w:w="1668" w:type="pct"/>
          </w:tcPr>
          <w:p w14:paraId="1A8BD643" w14:textId="77777777" w:rsidR="00B0588A" w:rsidRPr="00C172E8" w:rsidRDefault="00B0588A" w:rsidP="00CF3F6A">
            <w:pPr>
              <w:rPr>
                <w:sz w:val="20"/>
                <w:szCs w:val="20"/>
              </w:rPr>
            </w:pPr>
            <w:r w:rsidRPr="00C172E8">
              <w:rPr>
                <w:sz w:val="20"/>
                <w:szCs w:val="20"/>
              </w:rPr>
              <w:t xml:space="preserve">≤ 0,80 x </w:t>
            </w:r>
            <w:proofErr w:type="spellStart"/>
            <w:r w:rsidRPr="00C172E8">
              <w:rPr>
                <w:sz w:val="20"/>
                <w:szCs w:val="20"/>
              </w:rPr>
              <w:t>Uem</w:t>
            </w:r>
            <w:proofErr w:type="spellEnd"/>
            <w:r w:rsidRPr="00C172E8">
              <w:rPr>
                <w:sz w:val="20"/>
                <w:szCs w:val="20"/>
              </w:rPr>
              <w:t xml:space="preserve">, R </w:t>
            </w:r>
          </w:p>
        </w:tc>
      </w:tr>
      <w:tr w:rsidR="00B0588A" w:rsidRPr="00C172E8" w14:paraId="5CC12E17" w14:textId="77777777" w:rsidTr="00CF3F6A">
        <w:trPr>
          <w:trHeight w:val="493"/>
        </w:trPr>
        <w:tc>
          <w:tcPr>
            <w:tcW w:w="2500" w:type="pct"/>
            <w:gridSpan w:val="2"/>
          </w:tcPr>
          <w:p w14:paraId="1425B17E" w14:textId="77777777" w:rsidR="00B0588A" w:rsidRPr="00C172E8" w:rsidRDefault="00B0588A" w:rsidP="00CF3F6A">
            <w:pPr>
              <w:rPr>
                <w:sz w:val="20"/>
                <w:szCs w:val="20"/>
              </w:rPr>
            </w:pPr>
            <w:r w:rsidRPr="00C172E8">
              <w:rPr>
                <w:b/>
                <w:bCs/>
                <w:sz w:val="20"/>
                <w:szCs w:val="20"/>
              </w:rPr>
              <w:t>Součinitel prostupu tepla pro měněné stavební prvky vyjma oken, na něž se vztahuje podpora</w:t>
            </w:r>
            <w:r>
              <w:rPr>
                <w:b/>
                <w:bCs/>
                <w:sz w:val="20"/>
                <w:szCs w:val="20"/>
              </w:rPr>
              <w:t xml:space="preserve"> </w:t>
            </w:r>
            <w:r w:rsidRPr="000316FB">
              <w:rPr>
                <w:b/>
                <w:bCs/>
                <w:sz w:val="20"/>
                <w:szCs w:val="20"/>
                <w:vertAlign w:val="superscript"/>
              </w:rPr>
              <w:t>*</w:t>
            </w:r>
            <w:r>
              <w:rPr>
                <w:b/>
                <w:bCs/>
                <w:sz w:val="20"/>
                <w:szCs w:val="20"/>
              </w:rPr>
              <w:t xml:space="preserve"> </w:t>
            </w:r>
          </w:p>
        </w:tc>
        <w:tc>
          <w:tcPr>
            <w:tcW w:w="2500" w:type="pct"/>
            <w:gridSpan w:val="2"/>
          </w:tcPr>
          <w:p w14:paraId="0516F4FD" w14:textId="77777777" w:rsidR="00B0588A" w:rsidRPr="00C172E8" w:rsidRDefault="00B0588A" w:rsidP="00CF3F6A">
            <w:pPr>
              <w:rPr>
                <w:sz w:val="20"/>
                <w:szCs w:val="20"/>
              </w:rPr>
            </w:pPr>
            <w:r w:rsidRPr="00C172E8">
              <w:rPr>
                <w:sz w:val="20"/>
                <w:szCs w:val="20"/>
              </w:rPr>
              <w:t xml:space="preserve">≤ </w:t>
            </w:r>
            <w:proofErr w:type="spellStart"/>
            <w:r w:rsidRPr="00C172E8">
              <w:rPr>
                <w:sz w:val="20"/>
                <w:szCs w:val="20"/>
              </w:rPr>
              <w:t>URj</w:t>
            </w:r>
            <w:proofErr w:type="spellEnd"/>
            <w:r w:rsidRPr="00C172E8">
              <w:rPr>
                <w:sz w:val="20"/>
                <w:szCs w:val="20"/>
              </w:rPr>
              <w:t xml:space="preserve">, dle odst. 6, přílohy č. 1, vyhlášky 264/2020 Sb., o energetické náročnosti budov </w:t>
            </w:r>
          </w:p>
        </w:tc>
      </w:tr>
      <w:tr w:rsidR="00B0588A" w:rsidRPr="00C172E8" w14:paraId="18609E42" w14:textId="77777777" w:rsidTr="00CF3F6A">
        <w:trPr>
          <w:trHeight w:val="491"/>
        </w:trPr>
        <w:tc>
          <w:tcPr>
            <w:tcW w:w="2500" w:type="pct"/>
            <w:gridSpan w:val="2"/>
          </w:tcPr>
          <w:p w14:paraId="7A1215EF" w14:textId="77777777" w:rsidR="00B0588A" w:rsidRPr="00C172E8" w:rsidRDefault="00B0588A" w:rsidP="00CF3F6A">
            <w:pPr>
              <w:rPr>
                <w:sz w:val="20"/>
                <w:szCs w:val="20"/>
              </w:rPr>
            </w:pPr>
            <w:r w:rsidRPr="00C172E8">
              <w:rPr>
                <w:b/>
                <w:bCs/>
                <w:sz w:val="20"/>
                <w:szCs w:val="20"/>
              </w:rPr>
              <w:t>Součinitel prostupu tepla oken, na něž se vztahuje podpora</w:t>
            </w:r>
            <w:r>
              <w:rPr>
                <w:b/>
                <w:bCs/>
                <w:sz w:val="20"/>
                <w:szCs w:val="20"/>
              </w:rPr>
              <w:t xml:space="preserve"> </w:t>
            </w:r>
            <w:r w:rsidRPr="000316FB">
              <w:rPr>
                <w:b/>
                <w:bCs/>
                <w:sz w:val="20"/>
                <w:szCs w:val="20"/>
                <w:vertAlign w:val="superscript"/>
              </w:rPr>
              <w:t>*</w:t>
            </w:r>
          </w:p>
        </w:tc>
        <w:tc>
          <w:tcPr>
            <w:tcW w:w="2500" w:type="pct"/>
            <w:gridSpan w:val="2"/>
          </w:tcPr>
          <w:p w14:paraId="22E077CC" w14:textId="77777777" w:rsidR="00B0588A" w:rsidRPr="00C172E8" w:rsidRDefault="00B0588A" w:rsidP="00CF3F6A">
            <w:pPr>
              <w:rPr>
                <w:sz w:val="20"/>
                <w:szCs w:val="20"/>
              </w:rPr>
            </w:pPr>
            <w:r w:rsidRPr="00C172E8">
              <w:rPr>
                <w:sz w:val="20"/>
                <w:szCs w:val="20"/>
              </w:rPr>
              <w:t xml:space="preserve">≤ 0,60 x </w:t>
            </w:r>
            <w:proofErr w:type="spellStart"/>
            <w:proofErr w:type="gramStart"/>
            <w:r w:rsidRPr="00C172E8">
              <w:rPr>
                <w:sz w:val="20"/>
                <w:szCs w:val="20"/>
              </w:rPr>
              <w:t>UR,j</w:t>
            </w:r>
            <w:proofErr w:type="spellEnd"/>
            <w:proofErr w:type="gramEnd"/>
            <w:r w:rsidRPr="00C172E8">
              <w:rPr>
                <w:sz w:val="20"/>
                <w:szCs w:val="20"/>
              </w:rPr>
              <w:t xml:space="preserve"> dle odst. 6, přílohy č. 1, vyhlášky 264/2020 Sb., o energetické náročnosti budov </w:t>
            </w:r>
          </w:p>
        </w:tc>
      </w:tr>
      <w:tr w:rsidR="00B0588A" w:rsidRPr="00C172E8" w14:paraId="5232FED3" w14:textId="77777777" w:rsidTr="00CF3F6A">
        <w:trPr>
          <w:trHeight w:val="233"/>
        </w:trPr>
        <w:tc>
          <w:tcPr>
            <w:tcW w:w="2500" w:type="pct"/>
            <w:gridSpan w:val="2"/>
          </w:tcPr>
          <w:p w14:paraId="4DA418F3" w14:textId="77777777" w:rsidR="00B0588A" w:rsidRPr="00C172E8" w:rsidRDefault="00B0588A" w:rsidP="00CF3F6A">
            <w:pPr>
              <w:rPr>
                <w:sz w:val="20"/>
                <w:szCs w:val="20"/>
              </w:rPr>
            </w:pPr>
            <w:r w:rsidRPr="00C172E8">
              <w:rPr>
                <w:b/>
                <w:bCs/>
                <w:sz w:val="20"/>
                <w:szCs w:val="20"/>
              </w:rPr>
              <w:t>Nejvyšší denní teplota vzduchu v místnosti v letním období</w:t>
            </w:r>
            <w:r>
              <w:rPr>
                <w:b/>
                <w:bCs/>
                <w:sz w:val="20"/>
                <w:szCs w:val="20"/>
              </w:rPr>
              <w:t xml:space="preserve"> </w:t>
            </w:r>
            <w:r w:rsidRPr="000316FB">
              <w:rPr>
                <w:b/>
                <w:bCs/>
                <w:sz w:val="20"/>
                <w:szCs w:val="20"/>
                <w:vertAlign w:val="superscript"/>
              </w:rPr>
              <w:t>*</w:t>
            </w:r>
          </w:p>
        </w:tc>
        <w:tc>
          <w:tcPr>
            <w:tcW w:w="2500" w:type="pct"/>
            <w:gridSpan w:val="2"/>
          </w:tcPr>
          <w:p w14:paraId="2B5E0D5A" w14:textId="77777777" w:rsidR="00B0588A" w:rsidRPr="00C172E8" w:rsidRDefault="00B0588A" w:rsidP="00CF3F6A">
            <w:pPr>
              <w:rPr>
                <w:sz w:val="20"/>
                <w:szCs w:val="20"/>
              </w:rPr>
            </w:pPr>
            <w:r w:rsidRPr="00C172E8">
              <w:rPr>
                <w:sz w:val="20"/>
                <w:szCs w:val="20"/>
              </w:rPr>
              <w:t xml:space="preserve">≤ </w:t>
            </w:r>
            <w:proofErr w:type="spellStart"/>
            <w:proofErr w:type="gramStart"/>
            <w:r w:rsidRPr="00C172E8">
              <w:rPr>
                <w:rFonts w:ascii="Calibri" w:hAnsi="Calibri" w:cs="Calibri"/>
                <w:sz w:val="20"/>
                <w:szCs w:val="20"/>
              </w:rPr>
              <w:t>Ɵ</w:t>
            </w:r>
            <w:r w:rsidRPr="00C172E8">
              <w:rPr>
                <w:sz w:val="20"/>
                <w:szCs w:val="20"/>
              </w:rPr>
              <w:t>op,max</w:t>
            </w:r>
            <w:proofErr w:type="gramEnd"/>
            <w:r w:rsidRPr="00C172E8">
              <w:rPr>
                <w:sz w:val="20"/>
                <w:szCs w:val="20"/>
              </w:rPr>
              <w:t>,RQ</w:t>
            </w:r>
            <w:proofErr w:type="spellEnd"/>
            <w:r w:rsidRPr="00C172E8">
              <w:rPr>
                <w:sz w:val="20"/>
                <w:szCs w:val="20"/>
              </w:rPr>
              <w:t xml:space="preserve"> </w:t>
            </w:r>
          </w:p>
        </w:tc>
      </w:tr>
      <w:tr w:rsidR="00B0588A" w:rsidRPr="00C172E8" w14:paraId="3D13AAB3" w14:textId="77777777" w:rsidTr="00CF3F6A">
        <w:trPr>
          <w:trHeight w:val="359"/>
        </w:trPr>
        <w:tc>
          <w:tcPr>
            <w:tcW w:w="2500" w:type="pct"/>
            <w:gridSpan w:val="2"/>
          </w:tcPr>
          <w:p w14:paraId="0966C949" w14:textId="77777777" w:rsidR="00B0588A" w:rsidRPr="00C172E8" w:rsidRDefault="00B0588A" w:rsidP="00CF3F6A">
            <w:pPr>
              <w:rPr>
                <w:sz w:val="20"/>
                <w:szCs w:val="20"/>
              </w:rPr>
            </w:pPr>
            <w:r w:rsidRPr="00C172E8">
              <w:rPr>
                <w:b/>
                <w:bCs/>
                <w:sz w:val="20"/>
                <w:szCs w:val="20"/>
              </w:rPr>
              <w:t>Koncept větrání</w:t>
            </w:r>
            <w:r>
              <w:rPr>
                <w:b/>
                <w:bCs/>
                <w:sz w:val="20"/>
                <w:szCs w:val="20"/>
              </w:rPr>
              <w:t xml:space="preserve"> </w:t>
            </w:r>
            <w:r w:rsidRPr="000316FB">
              <w:rPr>
                <w:b/>
                <w:bCs/>
                <w:sz w:val="20"/>
                <w:szCs w:val="20"/>
                <w:vertAlign w:val="superscript"/>
              </w:rPr>
              <w:t>*</w:t>
            </w:r>
            <w:r w:rsidRPr="00C172E8">
              <w:rPr>
                <w:b/>
                <w:bCs/>
                <w:sz w:val="20"/>
                <w:szCs w:val="20"/>
                <w:vertAlign w:val="superscript"/>
              </w:rPr>
              <w:t xml:space="preserve"> </w:t>
            </w:r>
            <w:r w:rsidRPr="000316FB">
              <w:rPr>
                <w:b/>
                <w:bCs/>
                <w:sz w:val="20"/>
                <w:szCs w:val="20"/>
                <w:vertAlign w:val="superscript"/>
              </w:rPr>
              <w:t>+ **</w:t>
            </w:r>
          </w:p>
        </w:tc>
        <w:tc>
          <w:tcPr>
            <w:tcW w:w="2500" w:type="pct"/>
            <w:gridSpan w:val="2"/>
          </w:tcPr>
          <w:p w14:paraId="4744A6D2" w14:textId="77777777" w:rsidR="00B0588A" w:rsidRDefault="00B0588A" w:rsidP="00CF3F6A">
            <w:pPr>
              <w:rPr>
                <w:sz w:val="20"/>
                <w:szCs w:val="20"/>
              </w:rPr>
            </w:pPr>
            <w:r w:rsidRPr="00C172E8">
              <w:rPr>
                <w:sz w:val="20"/>
                <w:szCs w:val="20"/>
              </w:rPr>
              <w:t>V pobytových místnostech musí být trvale zajištěna koncentrace CO</w:t>
            </w:r>
            <w:r w:rsidRPr="00CF3F6A">
              <w:rPr>
                <w:sz w:val="20"/>
              </w:rPr>
              <w:t>2</w:t>
            </w:r>
            <w:r w:rsidRPr="00C172E8">
              <w:rPr>
                <w:sz w:val="20"/>
                <w:szCs w:val="20"/>
              </w:rPr>
              <w:t xml:space="preserve"> ≤ 1500 ppm6 </w:t>
            </w:r>
          </w:p>
          <w:p w14:paraId="2FC0B40F" w14:textId="77777777" w:rsidR="00B0588A" w:rsidRDefault="00B0588A" w:rsidP="00CF3F6A">
            <w:pPr>
              <w:rPr>
                <w:sz w:val="20"/>
                <w:szCs w:val="20"/>
              </w:rPr>
            </w:pPr>
            <w:r w:rsidRPr="006B3530">
              <w:rPr>
                <w:sz w:val="20"/>
                <w:szCs w:val="20"/>
              </w:rPr>
              <w:t>V případě realizace systémů nuceného větrání s rekuperací odpadního tepla musí být suchá účinnost zpětného získávání tepla (rekuperátoru) min. 65 % dle ČSN EN 308.</w:t>
            </w:r>
          </w:p>
          <w:p w14:paraId="0EC88143" w14:textId="77777777" w:rsidR="00B0588A" w:rsidRPr="00C172E8" w:rsidRDefault="00B0588A" w:rsidP="00CF3F6A">
            <w:pPr>
              <w:rPr>
                <w:sz w:val="20"/>
                <w:szCs w:val="20"/>
              </w:rPr>
            </w:pPr>
            <w:r w:rsidRPr="006B3530">
              <w:rPr>
                <w:sz w:val="20"/>
                <w:szCs w:val="20"/>
              </w:rPr>
              <w:t>V případě realizace systémů nuceného větrání s rekuperací odpadního tepla ve výukových a shromažďovacích prostorách budov sloužících pro výchovu a vzdělávání dětí a mladistvých musí být systém regulován dle množství CO</w:t>
            </w:r>
            <w:r w:rsidRPr="00CF3F6A">
              <w:rPr>
                <w:sz w:val="20"/>
              </w:rPr>
              <w:t>2</w:t>
            </w:r>
            <w:r w:rsidRPr="006B3530">
              <w:rPr>
                <w:sz w:val="20"/>
                <w:szCs w:val="20"/>
              </w:rPr>
              <w:t xml:space="preserve"> v místnostech prostřednictvím infračervených čidel, tzv. IR senzorů.</w:t>
            </w:r>
          </w:p>
        </w:tc>
      </w:tr>
      <w:tr w:rsidR="00B0588A" w:rsidRPr="00C172E8" w14:paraId="3872248E" w14:textId="77777777" w:rsidTr="00CF3F6A">
        <w:trPr>
          <w:trHeight w:val="359"/>
        </w:trPr>
        <w:tc>
          <w:tcPr>
            <w:tcW w:w="5000" w:type="pct"/>
            <w:gridSpan w:val="4"/>
          </w:tcPr>
          <w:p w14:paraId="36887A2E" w14:textId="77777777" w:rsidR="00B0588A" w:rsidRDefault="00B0588A" w:rsidP="00CF3F6A">
            <w:pPr>
              <w:rPr>
                <w:sz w:val="20"/>
                <w:szCs w:val="20"/>
              </w:rPr>
            </w:pPr>
            <w:r>
              <w:rPr>
                <w:sz w:val="20"/>
                <w:szCs w:val="20"/>
              </w:rPr>
              <w:t>*</w:t>
            </w:r>
            <w:r w:rsidRPr="000316FB">
              <w:rPr>
                <w:sz w:val="20"/>
                <w:szCs w:val="20"/>
              </w:rPr>
              <w:t>Tento požadavek se netýká památkově chráněných budov dle § 7 odst. 5 zákona č. 406/2000 Sb. o hospodaření energií, ve znění pozdějších předpisů.</w:t>
            </w:r>
          </w:p>
          <w:p w14:paraId="2CC418CB" w14:textId="77777777" w:rsidR="00B0588A" w:rsidRDefault="00B0588A" w:rsidP="00CF3F6A">
            <w:pPr>
              <w:rPr>
                <w:sz w:val="20"/>
                <w:szCs w:val="20"/>
              </w:rPr>
            </w:pPr>
            <w:r>
              <w:rPr>
                <w:sz w:val="20"/>
                <w:szCs w:val="20"/>
              </w:rPr>
              <w:t xml:space="preserve">** </w:t>
            </w:r>
            <w:r w:rsidRPr="000316FB">
              <w:rPr>
                <w:sz w:val="20"/>
                <w:szCs w:val="20"/>
              </w:rPr>
              <w:t>Tento požadavek se týká pouze budov sloužících pro výchovu a vzdělávání dětí a mladistvých, v souladu s vyhláškou č. 160/2024 Sb., o hygienických požadavcích na prostory a provoz zařízení a provozoven pro výchovu a vzdělávání dětí a mladistvých a dětských skupin, ve znění pozdějších předpisů.</w:t>
            </w:r>
          </w:p>
          <w:p w14:paraId="79F7F4AA" w14:textId="77777777" w:rsidR="00B0588A" w:rsidRPr="00C172E8" w:rsidRDefault="00B0588A" w:rsidP="00CF3F6A">
            <w:pPr>
              <w:rPr>
                <w:sz w:val="20"/>
                <w:szCs w:val="20"/>
              </w:rPr>
            </w:pPr>
            <w:r>
              <w:rPr>
                <w:sz w:val="20"/>
                <w:szCs w:val="20"/>
              </w:rPr>
              <w:t xml:space="preserve">*** </w:t>
            </w:r>
            <w:r w:rsidRPr="000316FB">
              <w:rPr>
                <w:sz w:val="20"/>
                <w:szCs w:val="20"/>
              </w:rPr>
              <w:t>Tento požadavek se netýká projektů řešených metodou EPC.</w:t>
            </w:r>
          </w:p>
        </w:tc>
      </w:tr>
    </w:tbl>
    <w:p w14:paraId="0DF12CBD" w14:textId="77777777" w:rsidR="00B0588A" w:rsidRDefault="00B0588A" w:rsidP="00B0588A">
      <w:pPr>
        <w:pStyle w:val="Odstavecseseznamem"/>
        <w:numPr>
          <w:ilvl w:val="0"/>
          <w:numId w:val="115"/>
        </w:numPr>
        <w:spacing w:after="160" w:line="259" w:lineRule="auto"/>
        <w:contextualSpacing/>
      </w:pPr>
      <w:r w:rsidRPr="006B3530">
        <w:t xml:space="preserve">V rámci projektu musí být zajištěno vyregulování otopné soustavy, osazení měřící techniky pro vyhodnocení úspory energie a zavedení energetického managementu, a </w:t>
      </w:r>
      <w:r w:rsidRPr="006B3530">
        <w:lastRenderedPageBreak/>
        <w:t>to v souladu s „</w:t>
      </w:r>
      <w:hyperlink r:id="rId144" w:history="1">
        <w:r w:rsidRPr="006B3530">
          <w:rPr>
            <w:rStyle w:val="Hypertextovodkaz"/>
          </w:rPr>
          <w:t>Metodickým návodem pro splnění požadavku na zavedení energetického managementu</w:t>
        </w:r>
      </w:hyperlink>
      <w:r w:rsidRPr="006B3530">
        <w:t>“.</w:t>
      </w:r>
    </w:p>
    <w:p w14:paraId="3DE2C470" w14:textId="77777777" w:rsidR="00047CC5" w:rsidRDefault="00047CC5" w:rsidP="00047CC5">
      <w:pPr>
        <w:spacing w:after="160" w:line="259" w:lineRule="auto"/>
        <w:contextualSpacing/>
      </w:pPr>
    </w:p>
    <w:p w14:paraId="6D251FEE" w14:textId="036BB170" w:rsidR="00047CC5" w:rsidRPr="007F0B7C" w:rsidRDefault="00047CC5" w:rsidP="00047CC5">
      <w:pPr>
        <w:pStyle w:val="Nadpis5"/>
        <w:numPr>
          <w:ilvl w:val="4"/>
          <w:numId w:val="214"/>
        </w:numPr>
      </w:pPr>
      <w:r>
        <w:t>Celková důkladná renovace – ostatní budovy</w:t>
      </w:r>
    </w:p>
    <w:p w14:paraId="4AA2D627" w14:textId="24B46811" w:rsidR="00047CC5" w:rsidRDefault="00047CC5" w:rsidP="00047CC5">
      <w:r>
        <w:t>Celkovou důkladnou renovací bude dosaženo celkové p</w:t>
      </w:r>
      <w:r w:rsidRPr="00FC3B47">
        <w:t>rimární energie</w:t>
      </w:r>
      <w:r>
        <w:t xml:space="preserve"> z neobnovitelných zdrojů:</w:t>
      </w:r>
      <w:r w:rsidRPr="00FC3B47">
        <w:t xml:space="preserve"> </w:t>
      </w:r>
    </w:p>
    <w:p w14:paraId="63FE76C0" w14:textId="77777777" w:rsidR="00047CC5" w:rsidRDefault="00047CC5" w:rsidP="00047CC5">
      <w:pPr>
        <w:pStyle w:val="Odstavecseseznamem"/>
        <w:numPr>
          <w:ilvl w:val="0"/>
          <w:numId w:val="111"/>
        </w:numPr>
        <w:spacing w:after="160" w:line="259" w:lineRule="auto"/>
        <w:contextualSpacing/>
      </w:pPr>
      <w:r>
        <w:t xml:space="preserve">V případě základního řešení </w:t>
      </w:r>
      <w:r w:rsidRPr="00FC3B47">
        <w:t xml:space="preserve">nejméně o </w:t>
      </w:r>
      <w:r>
        <w:t>1</w:t>
      </w:r>
      <w:r w:rsidRPr="00FC3B47">
        <w:t xml:space="preserve">0 % nižší než prahová hodnota, kterou u požadavků na budovy s téměř nulovou spotřebou energie stanoví vnitrostátní opatření provádějící směrnici Evropského parlamentu a Rady </w:t>
      </w:r>
      <w:r w:rsidRPr="00BA6579">
        <w:t>2024/1275/EU</w:t>
      </w:r>
      <w:r w:rsidRPr="00FC3B47">
        <w:t>.</w:t>
      </w:r>
      <w:r>
        <w:t xml:space="preserve"> Tzn. ve smyslu z</w:t>
      </w:r>
      <w:r w:rsidRPr="00AC33D8">
        <w:t>ákon</w:t>
      </w:r>
      <w:r>
        <w:t>a</w:t>
      </w:r>
      <w:r w:rsidRPr="00AC33D8">
        <w:t xml:space="preserve"> č. 406/2000 Sb.</w:t>
      </w:r>
      <w:r>
        <w:t xml:space="preserve"> </w:t>
      </w:r>
      <w:r w:rsidRPr="00AC33D8">
        <w:t>o hospodaření energií</w:t>
      </w:r>
      <w:r>
        <w:t xml:space="preserve"> a v</w:t>
      </w:r>
      <w:r w:rsidRPr="00AC33D8">
        <w:t>yhlášk</w:t>
      </w:r>
      <w:r>
        <w:t>y</w:t>
      </w:r>
      <w:r w:rsidRPr="00AC33D8">
        <w:t xml:space="preserve"> č. 264/2020 Sb. o energetické náročnosti budov</w:t>
      </w:r>
      <w:r>
        <w:t>.</w:t>
      </w:r>
    </w:p>
    <w:p w14:paraId="341E82C3" w14:textId="77777777" w:rsidR="00047CC5" w:rsidRDefault="00047CC5" w:rsidP="00047CC5">
      <w:pPr>
        <w:pStyle w:val="Odstavecseseznamem"/>
        <w:numPr>
          <w:ilvl w:val="0"/>
          <w:numId w:val="111"/>
        </w:numPr>
        <w:spacing w:after="160" w:line="259" w:lineRule="auto"/>
        <w:contextualSpacing/>
      </w:pPr>
      <w:r>
        <w:t xml:space="preserve">V případě optimálního řešení </w:t>
      </w:r>
      <w:r w:rsidRPr="00FC3B47">
        <w:t xml:space="preserve">nejméně o </w:t>
      </w:r>
      <w:r>
        <w:t>2</w:t>
      </w:r>
      <w:r w:rsidRPr="00FC3B47">
        <w:t xml:space="preserve">0 % nižší než prahová hodnota, kterou u požadavků na budovy s téměř nulovou spotřebou energie stanoví vnitrostátní opatření provádějící směrnici Evropského parlamentu a Rady </w:t>
      </w:r>
      <w:r w:rsidRPr="00BA6579">
        <w:t>2024/1275/EU</w:t>
      </w:r>
      <w:r>
        <w:t xml:space="preserve"> </w:t>
      </w:r>
      <w:r w:rsidRPr="00CD3FB5">
        <w:t>o energetické náročnosti budov</w:t>
      </w:r>
      <w:r w:rsidRPr="00FC3B47">
        <w:t>.</w:t>
      </w:r>
      <w:r>
        <w:t xml:space="preserve"> Tzn. ve smyslu z</w:t>
      </w:r>
      <w:r w:rsidRPr="00AC33D8">
        <w:t>ákon</w:t>
      </w:r>
      <w:r>
        <w:t>a</w:t>
      </w:r>
      <w:r w:rsidRPr="00AC33D8">
        <w:t xml:space="preserve"> č. 406/2000 Sb.</w:t>
      </w:r>
      <w:r>
        <w:t xml:space="preserve"> </w:t>
      </w:r>
      <w:r w:rsidRPr="00AC33D8">
        <w:t>o hospodaření energií</w:t>
      </w:r>
      <w:r>
        <w:t xml:space="preserve"> a v</w:t>
      </w:r>
      <w:r w:rsidRPr="00AC33D8">
        <w:t>yhlášk</w:t>
      </w:r>
      <w:r>
        <w:t>y</w:t>
      </w:r>
      <w:r w:rsidRPr="00AC33D8">
        <w:t xml:space="preserve"> č. 264/2020 Sb. o energetické náročnosti budov</w:t>
      </w:r>
      <w:r>
        <w:t>.</w:t>
      </w:r>
    </w:p>
    <w:p w14:paraId="118B329B" w14:textId="77777777" w:rsidR="00047CC5" w:rsidRPr="00CD3FB5" w:rsidRDefault="00047CC5" w:rsidP="00047CC5">
      <w:pPr>
        <w:rPr>
          <w:rFonts w:cs="Segoe UI"/>
          <w:b/>
          <w:bCs/>
          <w:u w:val="single"/>
        </w:rPr>
      </w:pPr>
      <w:r w:rsidRPr="00D77C59">
        <w:rPr>
          <w:b/>
          <w:bCs/>
        </w:rPr>
        <w:t>Doporučuje se nastavit programy na optimální řešení, pokud jsou podporovány i nižší stupně, musí být znevýhodněny (např. nižší mírou podpory oproti optimálnímu řešení). Energetická náročnost je potvrzena průkazem energetické náročnosti skutečného stavu budovy.</w:t>
      </w:r>
    </w:p>
    <w:p w14:paraId="04D5AD05" w14:textId="77777777" w:rsidR="00047CC5" w:rsidRDefault="00047CC5" w:rsidP="006C1B48">
      <w:pPr>
        <w:spacing w:after="160" w:line="259" w:lineRule="auto"/>
        <w:contextualSpacing/>
      </w:pPr>
    </w:p>
    <w:p w14:paraId="11E483FF" w14:textId="5B91F920" w:rsidR="00F50DBD" w:rsidRPr="00F16BDE" w:rsidRDefault="00F50DBD" w:rsidP="00F50DBD">
      <w:pPr>
        <w:pStyle w:val="Nadpis4"/>
      </w:pPr>
      <w:r w:rsidRPr="006D5057">
        <w:t>Individuální</w:t>
      </w:r>
      <w:r>
        <w:t xml:space="preserve"> energeticky úsporná opatření a </w:t>
      </w:r>
      <w:r w:rsidR="001C2498">
        <w:t xml:space="preserve">ostatní </w:t>
      </w:r>
      <w:r>
        <w:t>opatření v rámci renovací (dílčí aspekty renovací)</w:t>
      </w:r>
    </w:p>
    <w:p w14:paraId="06A8884F" w14:textId="7644CD75" w:rsidR="00F50DBD" w:rsidRDefault="00F50DBD" w:rsidP="00F50DBD">
      <w:pPr>
        <w:rPr>
          <w:b/>
          <w:bCs/>
        </w:rPr>
      </w:pPr>
      <w:r w:rsidRPr="00E07D9E">
        <w:rPr>
          <w:b/>
          <w:bCs/>
        </w:rPr>
        <w:t xml:space="preserve">Dílčí opatření týkající se energeticky úsporné renovace (a </w:t>
      </w:r>
      <w:r w:rsidR="00F936E9">
        <w:rPr>
          <w:b/>
          <w:bCs/>
        </w:rPr>
        <w:t xml:space="preserve">ostatní typy vhodných </w:t>
      </w:r>
      <w:r w:rsidRPr="00E07D9E">
        <w:rPr>
          <w:b/>
          <w:bCs/>
        </w:rPr>
        <w:t>opatření) budovy musí být provedena tak, aby budova byla připravena na budoucí provedení celkové důkladné renovace, byť i postupnými opatřeními.</w:t>
      </w:r>
    </w:p>
    <w:p w14:paraId="377F0B26" w14:textId="77777777" w:rsidR="00F50DBD" w:rsidRPr="008A231A" w:rsidRDefault="00F50DBD" w:rsidP="00F50DBD">
      <w:r w:rsidRPr="00DC5D8F">
        <w:rPr>
          <w:b/>
          <w:bCs/>
        </w:rPr>
        <w:t>Předpokládaná individuální opatření týkající se energeticky úsporné renovace (dílčí renovace), opatření lze provádět jednotlivě, programy a výzvy by však měly být primárně nastavovány tak, aby vynucovaly či alespoň bonifikovali provedení dílčích renovací tak, že dojde ke snížení potřeby primární energie z neobnovitelných zdrojů alespoň o 30 % na úrovni projektu.</w:t>
      </w:r>
      <w:r w:rsidRPr="00DC5D8F">
        <w:t xml:space="preserve"> Počáteční potřeba primární energie a odhadované zlepšení vychází z podrobného průzkumu budovy, energetického auditu provedeného akreditovaným nezávislým odborníkem nebo jiné transparentní a přiměřené metody a je ověřeno průkazem energetické náročnosti. Uvedené 30% zlepšení je výsledkem skutečného snížení potřeby primární energie (přičemž není bráno v úvahu snížení čisté potřeby primární energie z obnovitelných zdrojů). </w:t>
      </w:r>
    </w:p>
    <w:p w14:paraId="1FDB7CA2" w14:textId="77777777" w:rsidR="00F50DBD" w:rsidRDefault="00F50DBD" w:rsidP="00F50DBD"/>
    <w:p w14:paraId="424925CC" w14:textId="79F8CD59" w:rsidR="00F50DBD" w:rsidRPr="004B27F5" w:rsidRDefault="00F50DBD" w:rsidP="006C1B48">
      <w:pPr>
        <w:keepNext/>
      </w:pPr>
      <w:r>
        <w:lastRenderedPageBreak/>
        <w:t>Rámcový přehled vhodných opatření, vybraná klíčová jsou dále rozvedena v podkap</w:t>
      </w:r>
      <w:r w:rsidR="00B0588A">
        <w:t>i</w:t>
      </w:r>
      <w:r>
        <w:t>t</w:t>
      </w:r>
      <w:r w:rsidR="00B0588A">
        <w:t>o</w:t>
      </w:r>
      <w:r>
        <w:t>lách se specifickými technickými požadavky:</w:t>
      </w:r>
    </w:p>
    <w:p w14:paraId="0B3BDFE0" w14:textId="77777777" w:rsidR="00F50DBD" w:rsidRPr="004B27F5" w:rsidRDefault="00F50DBD" w:rsidP="00F50DBD">
      <w:pPr>
        <w:pStyle w:val="Odstavecseseznamem"/>
        <w:numPr>
          <w:ilvl w:val="0"/>
          <w:numId w:val="117"/>
        </w:numPr>
        <w:spacing w:after="160" w:line="259" w:lineRule="auto"/>
        <w:contextualSpacing/>
      </w:pPr>
      <w:r w:rsidRPr="004B27F5">
        <w:t>doplnění izolace ke stávajícím součástem pláště, jako jsou vnější zdi (včetně zelených zdí), střechy (včetně zelených střech), půdní vestavby, sklepy a přízemní podlaží (včetně opatření k zajištění vzduchotěsnosti, opatření ke snížení účinků tepelných mostů a lešení) a výrobky pro aplikaci izolace na plášť budovy (včetně mechanického upevnění a lepidla);</w:t>
      </w:r>
    </w:p>
    <w:p w14:paraId="130842E9" w14:textId="77777777" w:rsidR="00F50DBD" w:rsidRPr="004B27F5" w:rsidRDefault="00F50DBD" w:rsidP="00F50DBD">
      <w:pPr>
        <w:pStyle w:val="Odstavecseseznamem"/>
        <w:numPr>
          <w:ilvl w:val="0"/>
          <w:numId w:val="117"/>
        </w:numPr>
        <w:spacing w:after="160" w:line="259" w:lineRule="auto"/>
        <w:contextualSpacing/>
      </w:pPr>
      <w:r w:rsidRPr="004B27F5">
        <w:t xml:space="preserve">výměna stávajících oken za nová energeticky účinná okna; </w:t>
      </w:r>
    </w:p>
    <w:p w14:paraId="3EFB9067" w14:textId="77777777" w:rsidR="00F50DBD" w:rsidRPr="004B27F5" w:rsidRDefault="00F50DBD" w:rsidP="00F50DBD">
      <w:pPr>
        <w:pStyle w:val="Odstavecseseznamem"/>
        <w:numPr>
          <w:ilvl w:val="0"/>
          <w:numId w:val="117"/>
        </w:numPr>
        <w:spacing w:after="160" w:line="259" w:lineRule="auto"/>
        <w:contextualSpacing/>
      </w:pPr>
      <w:r w:rsidRPr="004B27F5">
        <w:t xml:space="preserve">výměna stávajících vnějších dveří za nové energeticky účinné dveře; </w:t>
      </w:r>
    </w:p>
    <w:p w14:paraId="53DF9C41" w14:textId="77777777" w:rsidR="00F50DBD" w:rsidRPr="004B27F5" w:rsidRDefault="00F50DBD" w:rsidP="00F50DBD">
      <w:pPr>
        <w:pStyle w:val="Odstavecseseznamem"/>
        <w:numPr>
          <w:ilvl w:val="0"/>
          <w:numId w:val="117"/>
        </w:numPr>
        <w:spacing w:after="160" w:line="259" w:lineRule="auto"/>
        <w:contextualSpacing/>
      </w:pPr>
      <w:r w:rsidRPr="004B27F5">
        <w:t xml:space="preserve">výměna stávajících světelných zdrojů za energeticky účinnější světelné zdroje; </w:t>
      </w:r>
    </w:p>
    <w:p w14:paraId="447A457A" w14:textId="77777777" w:rsidR="00F50DBD" w:rsidRPr="004B27F5" w:rsidRDefault="00F50DBD" w:rsidP="00F50DBD">
      <w:pPr>
        <w:pStyle w:val="Odstavecseseznamem"/>
        <w:numPr>
          <w:ilvl w:val="0"/>
          <w:numId w:val="117"/>
        </w:numPr>
        <w:spacing w:after="160" w:line="259" w:lineRule="auto"/>
        <w:contextualSpacing/>
      </w:pPr>
      <w:r w:rsidRPr="004B27F5">
        <w:t xml:space="preserve">instalace, výměna, údržba a/nebo opravy zařízení pro vytápění, větrání a klimatizaci (HVAC), elektrických varných a chladicích zařízení a systémů ohřevu vody, včetně zařízení souvisejících se službami dálkového vytápění, s využitím vysoce energeticky účinných technologií; </w:t>
      </w:r>
    </w:p>
    <w:p w14:paraId="21C82753" w14:textId="77777777" w:rsidR="00F50DBD" w:rsidRPr="004B27F5" w:rsidRDefault="00F50DBD" w:rsidP="00F50DBD">
      <w:pPr>
        <w:pStyle w:val="Odstavecseseznamem"/>
        <w:numPr>
          <w:ilvl w:val="0"/>
          <w:numId w:val="117"/>
        </w:numPr>
        <w:spacing w:after="160" w:line="259" w:lineRule="auto"/>
        <w:contextualSpacing/>
      </w:pPr>
      <w:r w:rsidRPr="004B27F5">
        <w:t>instalace kuchyňského a sanitárního vodovodního příslušenství využívajícího malé množství vody a energie, které odpovídá technickým specifikacím uvedeným v dodatku E přílohy I nařízení Komise v přenesené pravomoci (EU) 2021/2139, kterým se doplňuje nařízení (EU) 2020/852, a v případě sprchových panelů, směšovacích sprch, sprchových hlavic a baterií mají maximální průtok vody 6 litrů/min, což je doloženo stávajícím označením na trhu Unie;</w:t>
      </w:r>
    </w:p>
    <w:p w14:paraId="16995201" w14:textId="77777777" w:rsidR="00F50DBD" w:rsidRDefault="00F50DBD" w:rsidP="00F50DBD">
      <w:pPr>
        <w:pStyle w:val="Odstavecseseznamem"/>
        <w:numPr>
          <w:ilvl w:val="0"/>
          <w:numId w:val="117"/>
        </w:numPr>
        <w:spacing w:after="160" w:line="259" w:lineRule="auto"/>
        <w:contextualSpacing/>
      </w:pPr>
      <w:r w:rsidRPr="004B27F5">
        <w:t>instalace vnějších systémů ochrany proti slunci, jako jsou zástěny, rolovací nebo skládací okenice.</w:t>
      </w:r>
    </w:p>
    <w:p w14:paraId="12EBA258" w14:textId="77777777" w:rsidR="00F50DBD" w:rsidRPr="00AA43A9" w:rsidRDefault="00F50DBD" w:rsidP="00F50DBD">
      <w:pPr>
        <w:pStyle w:val="Odstavecseseznamem"/>
        <w:numPr>
          <w:ilvl w:val="0"/>
          <w:numId w:val="117"/>
        </w:numPr>
        <w:spacing w:after="160" w:line="259" w:lineRule="auto"/>
        <w:contextualSpacing/>
      </w:pPr>
      <w:r w:rsidRPr="004B27F5">
        <w:t xml:space="preserve">instalace </w:t>
      </w:r>
      <w:r w:rsidRPr="00AA43A9">
        <w:t>zónových termostatů, systémů inteligentních termostatů a čidel, včetně čidel pohybu a denního světla;</w:t>
      </w:r>
    </w:p>
    <w:p w14:paraId="74BFC35C" w14:textId="77777777" w:rsidR="00F50DBD" w:rsidRPr="00AA43A9" w:rsidRDefault="00F50DBD" w:rsidP="00F50DBD">
      <w:pPr>
        <w:pStyle w:val="Odstavecseseznamem"/>
        <w:numPr>
          <w:ilvl w:val="0"/>
          <w:numId w:val="117"/>
        </w:numPr>
        <w:spacing w:after="160" w:line="259" w:lineRule="auto"/>
        <w:contextualSpacing/>
      </w:pPr>
      <w:r w:rsidRPr="004B27F5">
        <w:t xml:space="preserve">instalace </w:t>
      </w:r>
      <w:r w:rsidRPr="00AA43A9">
        <w:t>systémů automatizace a kontroly budov, systémů hospodaření s energií v budovách, systémů řízení osvětlení a systémů hospodaření s energií;</w:t>
      </w:r>
    </w:p>
    <w:p w14:paraId="7BB6A5DE" w14:textId="77777777" w:rsidR="00F50DBD" w:rsidRPr="00AA43A9" w:rsidRDefault="00F50DBD" w:rsidP="00F50DBD">
      <w:pPr>
        <w:pStyle w:val="Odstavecseseznamem"/>
        <w:numPr>
          <w:ilvl w:val="0"/>
          <w:numId w:val="117"/>
        </w:numPr>
        <w:spacing w:after="160" w:line="259" w:lineRule="auto"/>
        <w:contextualSpacing/>
      </w:pPr>
      <w:r w:rsidRPr="004B27F5">
        <w:t xml:space="preserve">instalace </w:t>
      </w:r>
      <w:r w:rsidRPr="00AA43A9">
        <w:t>inteligentních měřičů plynu, tepla, chladu a elektřiny;</w:t>
      </w:r>
    </w:p>
    <w:p w14:paraId="290622D2" w14:textId="77777777" w:rsidR="00F50DBD" w:rsidRDefault="00F50DBD" w:rsidP="00F50DBD">
      <w:pPr>
        <w:pStyle w:val="Odstavecseseznamem"/>
        <w:numPr>
          <w:ilvl w:val="0"/>
          <w:numId w:val="117"/>
        </w:numPr>
        <w:spacing w:after="160" w:line="259" w:lineRule="auto"/>
        <w:contextualSpacing/>
      </w:pPr>
      <w:r w:rsidRPr="004B27F5">
        <w:t xml:space="preserve">instalace </w:t>
      </w:r>
      <w:r w:rsidRPr="00AA43A9">
        <w:t>fasádních a střešních prvků s funkcí stínění nebo regulace slunečního svitu, včetně prvků podporujících růst vegetace.</w:t>
      </w:r>
    </w:p>
    <w:p w14:paraId="6B729ECA" w14:textId="77777777" w:rsidR="00F50DBD" w:rsidRDefault="00F50DBD" w:rsidP="00F50DBD">
      <w:pPr>
        <w:spacing w:after="160" w:line="259" w:lineRule="auto"/>
        <w:contextualSpacing/>
      </w:pPr>
    </w:p>
    <w:p w14:paraId="7F99A425" w14:textId="77777777" w:rsidR="007E7F38" w:rsidRPr="008A231A" w:rsidRDefault="007E7F38" w:rsidP="007E7F38">
      <w:pPr>
        <w:pStyle w:val="Nadpis5"/>
      </w:pPr>
      <w:proofErr w:type="gramStart"/>
      <w:r w:rsidRPr="008A231A">
        <w:t>Zateplení - dílčí</w:t>
      </w:r>
      <w:proofErr w:type="gramEnd"/>
      <w:r w:rsidRPr="008A231A">
        <w:t xml:space="preserve"> opatření zejm. pro nízkopříjmové domácnosti</w:t>
      </w:r>
    </w:p>
    <w:tbl>
      <w:tblPr>
        <w:tblW w:w="9225"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5"/>
        <w:gridCol w:w="1537"/>
        <w:gridCol w:w="1538"/>
        <w:gridCol w:w="3075"/>
      </w:tblGrid>
      <w:tr w:rsidR="007E7F38" w:rsidRPr="00AA43A9" w14:paraId="19E7833D" w14:textId="77777777" w:rsidTr="0069395C">
        <w:trPr>
          <w:trHeight w:val="431"/>
        </w:trPr>
        <w:tc>
          <w:tcPr>
            <w:tcW w:w="3075" w:type="dxa"/>
          </w:tcPr>
          <w:p w14:paraId="443B2856" w14:textId="77777777" w:rsidR="007E7F38" w:rsidRPr="00AA43A9" w:rsidRDefault="007E7F38" w:rsidP="0069395C">
            <w:r w:rsidRPr="00AA43A9">
              <w:rPr>
                <w:b/>
                <w:bCs/>
              </w:rPr>
              <w:t xml:space="preserve">Typ konstrukce / opatření </w:t>
            </w:r>
          </w:p>
        </w:tc>
        <w:tc>
          <w:tcPr>
            <w:tcW w:w="3075" w:type="dxa"/>
            <w:gridSpan w:val="2"/>
          </w:tcPr>
          <w:p w14:paraId="2C873FB0" w14:textId="77777777" w:rsidR="007E7F38" w:rsidRPr="00AA43A9" w:rsidRDefault="007E7F38" w:rsidP="0069395C">
            <w:r w:rsidRPr="00AA43A9">
              <w:rPr>
                <w:b/>
                <w:bCs/>
              </w:rPr>
              <w:t xml:space="preserve">Celkový tepelný odpor tepelně-izolačního souvrství [m2K/W] </w:t>
            </w:r>
          </w:p>
        </w:tc>
        <w:tc>
          <w:tcPr>
            <w:tcW w:w="3075" w:type="dxa"/>
          </w:tcPr>
          <w:p w14:paraId="5BA3119C" w14:textId="77777777" w:rsidR="007E7F38" w:rsidRPr="00AA43A9" w:rsidRDefault="007E7F38" w:rsidP="0069395C">
            <w:r w:rsidRPr="00AA43A9">
              <w:rPr>
                <w:b/>
                <w:bCs/>
              </w:rPr>
              <w:t xml:space="preserve">Minimální tloušťka nového zateplení [mm] </w:t>
            </w:r>
          </w:p>
        </w:tc>
      </w:tr>
      <w:tr w:rsidR="007E7F38" w:rsidRPr="00AA43A9" w14:paraId="6F3CCC2C" w14:textId="77777777" w:rsidTr="0069395C">
        <w:trPr>
          <w:trHeight w:val="291"/>
        </w:trPr>
        <w:tc>
          <w:tcPr>
            <w:tcW w:w="3075" w:type="dxa"/>
          </w:tcPr>
          <w:p w14:paraId="61A26E69" w14:textId="77777777" w:rsidR="007E7F38" w:rsidRPr="00AA43A9" w:rsidRDefault="007E7F38" w:rsidP="0069395C">
            <w:r w:rsidRPr="00AA43A9">
              <w:t xml:space="preserve">Zateplení fasády, podlahy nad venkovním prostorem </w:t>
            </w:r>
          </w:p>
        </w:tc>
        <w:tc>
          <w:tcPr>
            <w:tcW w:w="3075" w:type="dxa"/>
            <w:gridSpan w:val="2"/>
          </w:tcPr>
          <w:p w14:paraId="2F729547" w14:textId="77777777" w:rsidR="007E7F38" w:rsidRPr="00AA43A9" w:rsidRDefault="007E7F38" w:rsidP="0069395C">
            <w:r w:rsidRPr="00AA43A9">
              <w:t xml:space="preserve">5,0 </w:t>
            </w:r>
          </w:p>
        </w:tc>
        <w:tc>
          <w:tcPr>
            <w:tcW w:w="3075" w:type="dxa"/>
          </w:tcPr>
          <w:p w14:paraId="59D5842E" w14:textId="77777777" w:rsidR="007E7F38" w:rsidRPr="00AA43A9" w:rsidRDefault="007E7F38" w:rsidP="0069395C">
            <w:r w:rsidRPr="00AA43A9">
              <w:t xml:space="preserve">200 </w:t>
            </w:r>
          </w:p>
        </w:tc>
      </w:tr>
      <w:tr w:rsidR="007E7F38" w:rsidRPr="00AA43A9" w14:paraId="07B88703" w14:textId="77777777" w:rsidTr="0069395C">
        <w:trPr>
          <w:trHeight w:val="153"/>
        </w:trPr>
        <w:tc>
          <w:tcPr>
            <w:tcW w:w="3075" w:type="dxa"/>
          </w:tcPr>
          <w:p w14:paraId="0A71B0AB" w14:textId="77777777" w:rsidR="007E7F38" w:rsidRPr="00AA43A9" w:rsidRDefault="007E7F38" w:rsidP="0069395C">
            <w:r w:rsidRPr="00AA43A9">
              <w:t xml:space="preserve">Zateplení střechy </w:t>
            </w:r>
          </w:p>
        </w:tc>
        <w:tc>
          <w:tcPr>
            <w:tcW w:w="3075" w:type="dxa"/>
            <w:gridSpan w:val="2"/>
          </w:tcPr>
          <w:p w14:paraId="46934D30" w14:textId="77777777" w:rsidR="007E7F38" w:rsidRPr="00AA43A9" w:rsidRDefault="007E7F38" w:rsidP="0069395C">
            <w:r w:rsidRPr="00AA43A9">
              <w:t xml:space="preserve">7,5 </w:t>
            </w:r>
          </w:p>
        </w:tc>
        <w:tc>
          <w:tcPr>
            <w:tcW w:w="3075" w:type="dxa"/>
          </w:tcPr>
          <w:p w14:paraId="1C0505B4" w14:textId="77777777" w:rsidR="007E7F38" w:rsidRPr="00AA43A9" w:rsidRDefault="007E7F38" w:rsidP="0069395C">
            <w:r w:rsidRPr="00AA43A9">
              <w:t xml:space="preserve">300 </w:t>
            </w:r>
          </w:p>
        </w:tc>
      </w:tr>
      <w:tr w:rsidR="007E7F38" w:rsidRPr="00AA43A9" w14:paraId="4BFE05F5" w14:textId="77777777" w:rsidTr="0069395C">
        <w:trPr>
          <w:trHeight w:val="153"/>
        </w:trPr>
        <w:tc>
          <w:tcPr>
            <w:tcW w:w="3075" w:type="dxa"/>
          </w:tcPr>
          <w:p w14:paraId="4D202F8B" w14:textId="77777777" w:rsidR="007E7F38" w:rsidRPr="00AA43A9" w:rsidRDefault="007E7F38" w:rsidP="0069395C">
            <w:r w:rsidRPr="00AA43A9">
              <w:t xml:space="preserve">Zateplení stropu pod nevytápěnou půdou </w:t>
            </w:r>
          </w:p>
        </w:tc>
        <w:tc>
          <w:tcPr>
            <w:tcW w:w="3075" w:type="dxa"/>
            <w:gridSpan w:val="2"/>
          </w:tcPr>
          <w:p w14:paraId="66CCBCD6" w14:textId="77777777" w:rsidR="007E7F38" w:rsidRPr="00AA43A9" w:rsidRDefault="007E7F38" w:rsidP="0069395C">
            <w:r w:rsidRPr="00AA43A9">
              <w:t xml:space="preserve">7,5 </w:t>
            </w:r>
          </w:p>
        </w:tc>
        <w:tc>
          <w:tcPr>
            <w:tcW w:w="3075" w:type="dxa"/>
          </w:tcPr>
          <w:p w14:paraId="577559AC" w14:textId="77777777" w:rsidR="007E7F38" w:rsidRPr="00AA43A9" w:rsidRDefault="007E7F38" w:rsidP="0069395C">
            <w:r w:rsidRPr="00AA43A9">
              <w:t xml:space="preserve">300 </w:t>
            </w:r>
          </w:p>
        </w:tc>
      </w:tr>
      <w:tr w:rsidR="007E7F38" w:rsidRPr="00AA43A9" w14:paraId="33BBA040" w14:textId="77777777" w:rsidTr="0069395C">
        <w:trPr>
          <w:trHeight w:val="290"/>
        </w:trPr>
        <w:tc>
          <w:tcPr>
            <w:tcW w:w="3075" w:type="dxa"/>
          </w:tcPr>
          <w:p w14:paraId="6B37661D" w14:textId="77777777" w:rsidR="007E7F38" w:rsidRPr="00AA43A9" w:rsidRDefault="007E7F38" w:rsidP="0069395C">
            <w:r w:rsidRPr="00AA43A9">
              <w:lastRenderedPageBreak/>
              <w:t xml:space="preserve">Zateplení podlahy a svislých konstrukcí v kontaktu se zeminou </w:t>
            </w:r>
          </w:p>
        </w:tc>
        <w:tc>
          <w:tcPr>
            <w:tcW w:w="3075" w:type="dxa"/>
            <w:gridSpan w:val="2"/>
          </w:tcPr>
          <w:p w14:paraId="475545C5" w14:textId="77777777" w:rsidR="007E7F38" w:rsidRPr="00AA43A9" w:rsidRDefault="007E7F38" w:rsidP="0069395C">
            <w:r w:rsidRPr="00AA43A9">
              <w:t xml:space="preserve">3,0 </w:t>
            </w:r>
          </w:p>
        </w:tc>
        <w:tc>
          <w:tcPr>
            <w:tcW w:w="3075" w:type="dxa"/>
          </w:tcPr>
          <w:p w14:paraId="2D626B50" w14:textId="77777777" w:rsidR="007E7F38" w:rsidRPr="00AA43A9" w:rsidRDefault="007E7F38" w:rsidP="0069395C">
            <w:r w:rsidRPr="00AA43A9">
              <w:t xml:space="preserve">120 </w:t>
            </w:r>
          </w:p>
        </w:tc>
      </w:tr>
      <w:tr w:rsidR="007E7F38" w:rsidRPr="00AA43A9" w14:paraId="3F909FA6" w14:textId="77777777" w:rsidTr="0069395C">
        <w:trPr>
          <w:trHeight w:val="290"/>
        </w:trPr>
        <w:tc>
          <w:tcPr>
            <w:tcW w:w="3075" w:type="dxa"/>
          </w:tcPr>
          <w:p w14:paraId="3FFF75F7" w14:textId="77777777" w:rsidR="007E7F38" w:rsidRPr="00AA43A9" w:rsidRDefault="007E7F38" w:rsidP="0069395C">
            <w:r w:rsidRPr="00AA43A9">
              <w:t xml:space="preserve">Zateplení ostatních konstrukcí a konstrukcí mezi vytápěným a nevytápěným prostorem </w:t>
            </w:r>
          </w:p>
        </w:tc>
        <w:tc>
          <w:tcPr>
            <w:tcW w:w="3075" w:type="dxa"/>
            <w:gridSpan w:val="2"/>
          </w:tcPr>
          <w:p w14:paraId="465D5FD8" w14:textId="77777777" w:rsidR="007E7F38" w:rsidRPr="00AA43A9" w:rsidRDefault="007E7F38" w:rsidP="0069395C">
            <w:r w:rsidRPr="00AA43A9">
              <w:t xml:space="preserve">3,0 </w:t>
            </w:r>
          </w:p>
        </w:tc>
        <w:tc>
          <w:tcPr>
            <w:tcW w:w="3075" w:type="dxa"/>
          </w:tcPr>
          <w:p w14:paraId="0732B684" w14:textId="77777777" w:rsidR="007E7F38" w:rsidRPr="00AA43A9" w:rsidRDefault="007E7F38" w:rsidP="0069395C">
            <w:r w:rsidRPr="00AA43A9">
              <w:t xml:space="preserve">120 </w:t>
            </w:r>
          </w:p>
        </w:tc>
      </w:tr>
      <w:tr w:rsidR="007E7F38" w:rsidRPr="00AA43A9" w14:paraId="3B462B94" w14:textId="77777777" w:rsidTr="0069395C">
        <w:trPr>
          <w:trHeight w:val="291"/>
        </w:trPr>
        <w:tc>
          <w:tcPr>
            <w:tcW w:w="4612" w:type="dxa"/>
            <w:gridSpan w:val="2"/>
          </w:tcPr>
          <w:p w14:paraId="2A4977E6" w14:textId="77777777" w:rsidR="007E7F38" w:rsidRPr="00AA43A9" w:rsidRDefault="007E7F38" w:rsidP="0069395C">
            <w:r w:rsidRPr="00AA43A9">
              <w:t>Výměna výplní otvorů – okna, balkonové dveře</w:t>
            </w:r>
            <w:proofErr w:type="gramStart"/>
            <w:r w:rsidRPr="00AA43A9">
              <w:t>, ,</w:t>
            </w:r>
            <w:proofErr w:type="gramEnd"/>
            <w:r w:rsidRPr="00AA43A9">
              <w:t xml:space="preserve"> velkorozměrové posuvné výplně </w:t>
            </w:r>
          </w:p>
        </w:tc>
        <w:tc>
          <w:tcPr>
            <w:tcW w:w="4613" w:type="dxa"/>
            <w:gridSpan w:val="2"/>
          </w:tcPr>
          <w:p w14:paraId="5F898F2A" w14:textId="77777777" w:rsidR="007E7F38" w:rsidRPr="00AA43A9" w:rsidRDefault="007E7F38" w:rsidP="0069395C">
            <w:r w:rsidRPr="00AA43A9">
              <w:t xml:space="preserve">UW ≤ 0,9 W/m2.K </w:t>
            </w:r>
          </w:p>
        </w:tc>
      </w:tr>
      <w:tr w:rsidR="007E7F38" w:rsidRPr="00AA43A9" w14:paraId="237BB0CF" w14:textId="77777777" w:rsidTr="0069395C">
        <w:trPr>
          <w:trHeight w:val="153"/>
        </w:trPr>
        <w:tc>
          <w:tcPr>
            <w:tcW w:w="4612" w:type="dxa"/>
            <w:gridSpan w:val="2"/>
          </w:tcPr>
          <w:p w14:paraId="0E02A722" w14:textId="77777777" w:rsidR="007E7F38" w:rsidRPr="00AA43A9" w:rsidRDefault="007E7F38" w:rsidP="0069395C">
            <w:r w:rsidRPr="00AA43A9">
              <w:t xml:space="preserve">Výměna výplní otvorů – střešní okna </w:t>
            </w:r>
          </w:p>
        </w:tc>
        <w:tc>
          <w:tcPr>
            <w:tcW w:w="4613" w:type="dxa"/>
            <w:gridSpan w:val="2"/>
          </w:tcPr>
          <w:p w14:paraId="16D27914" w14:textId="77777777" w:rsidR="007E7F38" w:rsidRPr="00AA43A9" w:rsidRDefault="007E7F38" w:rsidP="0069395C">
            <w:r w:rsidRPr="00AA43A9">
              <w:t xml:space="preserve">UW ≤ 1,0 W/m2.K </w:t>
            </w:r>
          </w:p>
        </w:tc>
      </w:tr>
      <w:tr w:rsidR="007E7F38" w:rsidRPr="00AA43A9" w14:paraId="5B4FDAD8" w14:textId="77777777" w:rsidTr="0069395C">
        <w:trPr>
          <w:trHeight w:val="153"/>
        </w:trPr>
        <w:tc>
          <w:tcPr>
            <w:tcW w:w="4612" w:type="dxa"/>
            <w:gridSpan w:val="2"/>
          </w:tcPr>
          <w:p w14:paraId="5B3AC60C" w14:textId="77777777" w:rsidR="007E7F38" w:rsidRPr="00AA43A9" w:rsidRDefault="007E7F38" w:rsidP="0069395C">
            <w:r w:rsidRPr="00AA43A9">
              <w:t xml:space="preserve">Výměna výplní otvorů – vchodové dveře </w:t>
            </w:r>
          </w:p>
        </w:tc>
        <w:tc>
          <w:tcPr>
            <w:tcW w:w="4613" w:type="dxa"/>
            <w:gridSpan w:val="2"/>
          </w:tcPr>
          <w:p w14:paraId="78CC93D2" w14:textId="77777777" w:rsidR="007E7F38" w:rsidRPr="00AA43A9" w:rsidRDefault="007E7F38" w:rsidP="0069395C">
            <w:r w:rsidRPr="00AA43A9">
              <w:t xml:space="preserve">UD ≤ 1,2 W/m2.K </w:t>
            </w:r>
          </w:p>
        </w:tc>
      </w:tr>
      <w:tr w:rsidR="007E7F38" w:rsidRPr="00AA43A9" w14:paraId="43FC0661" w14:textId="77777777" w:rsidTr="0069395C">
        <w:trPr>
          <w:trHeight w:val="153"/>
        </w:trPr>
        <w:tc>
          <w:tcPr>
            <w:tcW w:w="4612" w:type="dxa"/>
            <w:gridSpan w:val="2"/>
          </w:tcPr>
          <w:p w14:paraId="218B7E8A" w14:textId="77777777" w:rsidR="007E7F38" w:rsidRPr="00AA43A9" w:rsidRDefault="007E7F38" w:rsidP="0069395C">
            <w:r w:rsidRPr="00AA43A9">
              <w:t xml:space="preserve">Neuvedené typy konstrukcí na obálce budovy </w:t>
            </w:r>
          </w:p>
        </w:tc>
        <w:tc>
          <w:tcPr>
            <w:tcW w:w="4613" w:type="dxa"/>
            <w:gridSpan w:val="2"/>
          </w:tcPr>
          <w:p w14:paraId="7F824773" w14:textId="77777777" w:rsidR="007E7F38" w:rsidRPr="00AA43A9" w:rsidRDefault="007E7F38" w:rsidP="0069395C">
            <w:r w:rsidRPr="00AA43A9">
              <w:t xml:space="preserve">Splnění doporučených hodnot dle ČSN 730540-2 </w:t>
            </w:r>
          </w:p>
        </w:tc>
      </w:tr>
      <w:tr w:rsidR="007E7F38" w:rsidRPr="00AA43A9" w14:paraId="68525EC5" w14:textId="77777777" w:rsidTr="0069395C">
        <w:trPr>
          <w:trHeight w:val="428"/>
        </w:trPr>
        <w:tc>
          <w:tcPr>
            <w:tcW w:w="4612" w:type="dxa"/>
            <w:gridSpan w:val="2"/>
          </w:tcPr>
          <w:p w14:paraId="368D9DF7" w14:textId="77777777" w:rsidR="007E7F38" w:rsidRPr="00AA43A9" w:rsidRDefault="007E7F38" w:rsidP="0069395C">
            <w:r w:rsidRPr="00AA43A9">
              <w:t xml:space="preserve">Památkově chráněné objekty, u kterých orgán památkové péče stanovil podmínky pro provedení zateplení posuzované konstrukce </w:t>
            </w:r>
          </w:p>
        </w:tc>
        <w:tc>
          <w:tcPr>
            <w:tcW w:w="4613" w:type="dxa"/>
            <w:gridSpan w:val="2"/>
          </w:tcPr>
          <w:p w14:paraId="71F1E7B1" w14:textId="77777777" w:rsidR="007E7F38" w:rsidRPr="00AA43A9" w:rsidRDefault="007E7F38" w:rsidP="0069395C">
            <w:r w:rsidRPr="00AA43A9">
              <w:t xml:space="preserve">Splnění požadavků dle ČSN 730540-2 </w:t>
            </w:r>
          </w:p>
        </w:tc>
      </w:tr>
      <w:tr w:rsidR="007E7F38" w:rsidRPr="00AA43A9" w14:paraId="367B4631" w14:textId="77777777" w:rsidTr="0069395C">
        <w:trPr>
          <w:trHeight w:val="1263"/>
        </w:trPr>
        <w:tc>
          <w:tcPr>
            <w:tcW w:w="9225" w:type="dxa"/>
            <w:gridSpan w:val="4"/>
          </w:tcPr>
          <w:p w14:paraId="3B0A93F1" w14:textId="77777777" w:rsidR="007E7F38" w:rsidRPr="00AA43A9" w:rsidRDefault="007E7F38" w:rsidP="0069395C">
            <w:r w:rsidRPr="00AA43A9">
              <w:rPr>
                <w:b/>
                <w:bCs/>
                <w:i/>
                <w:iCs/>
              </w:rPr>
              <w:t xml:space="preserve">Minimální tloušťky zateplení </w:t>
            </w:r>
            <w:r w:rsidRPr="00AA43A9">
              <w:rPr>
                <w:i/>
                <w:iCs/>
              </w:rPr>
              <w:t xml:space="preserve">platí při použití tepelněizolačních materiálů s tepelnou vodivostí </w:t>
            </w:r>
            <w:proofErr w:type="spellStart"/>
            <w:r w:rsidRPr="00AA43A9">
              <w:rPr>
                <w:i/>
                <w:iCs/>
              </w:rPr>
              <w:t>λd</w:t>
            </w:r>
            <w:proofErr w:type="spellEnd"/>
            <w:r w:rsidRPr="00AA43A9">
              <w:rPr>
                <w:i/>
                <w:iCs/>
              </w:rPr>
              <w:t xml:space="preserve"> nižší nebo rovna 0,04 [W</w:t>
            </w:r>
            <w:proofErr w:type="gramStart"/>
            <w:r w:rsidRPr="00AA43A9">
              <w:rPr>
                <w:i/>
                <w:iCs/>
              </w:rPr>
              <w:t>/(</w:t>
            </w:r>
            <w:proofErr w:type="spellStart"/>
            <w:proofErr w:type="gramEnd"/>
            <w:r w:rsidRPr="00AA43A9">
              <w:rPr>
                <w:i/>
                <w:iCs/>
              </w:rPr>
              <w:t>m.K</w:t>
            </w:r>
            <w:proofErr w:type="spellEnd"/>
            <w:r w:rsidRPr="00AA43A9">
              <w:rPr>
                <w:i/>
                <w:iCs/>
              </w:rPr>
              <w:t xml:space="preserve">)]. </w:t>
            </w:r>
          </w:p>
          <w:p w14:paraId="1FDA5F5E" w14:textId="77777777" w:rsidR="007E7F38" w:rsidRPr="00AA43A9" w:rsidRDefault="007E7F38" w:rsidP="0069395C">
            <w:r w:rsidRPr="00AA43A9">
              <w:rPr>
                <w:i/>
                <w:iCs/>
              </w:rPr>
              <w:t xml:space="preserve">Splnění podmínky </w:t>
            </w:r>
            <w:r w:rsidRPr="00AA43A9">
              <w:rPr>
                <w:b/>
                <w:bCs/>
                <w:i/>
                <w:iCs/>
              </w:rPr>
              <w:t xml:space="preserve">součinitele prostupu tepla pro výplně otvorů </w:t>
            </w:r>
            <w:r w:rsidRPr="00AA43A9">
              <w:rPr>
                <w:i/>
                <w:iCs/>
              </w:rPr>
              <w:t xml:space="preserve">se posuzuje pro standardizované rozměry dle </w:t>
            </w:r>
            <w:proofErr w:type="spellStart"/>
            <w:r w:rsidRPr="00AA43A9">
              <w:rPr>
                <w:i/>
                <w:iCs/>
              </w:rPr>
              <w:t>vyhl</w:t>
            </w:r>
            <w:proofErr w:type="spellEnd"/>
            <w:r w:rsidRPr="00AA43A9">
              <w:rPr>
                <w:i/>
                <w:iCs/>
              </w:rPr>
              <w:t xml:space="preserve">. č. 264/2020 Sb., o energetické náročnosti budov, příloha 5, část C, odst. 3, písm. b). </w:t>
            </w:r>
          </w:p>
          <w:p w14:paraId="17895252" w14:textId="77777777" w:rsidR="007E7F38" w:rsidRPr="00AA43A9" w:rsidRDefault="007E7F38" w:rsidP="0069395C">
            <w:r w:rsidRPr="00AA43A9">
              <w:rPr>
                <w:i/>
                <w:iCs/>
              </w:rPr>
              <w:t xml:space="preserve">Při </w:t>
            </w:r>
            <w:r w:rsidRPr="00AA43A9">
              <w:rPr>
                <w:b/>
                <w:bCs/>
                <w:i/>
                <w:iCs/>
              </w:rPr>
              <w:t xml:space="preserve">přidání nové vrstvy tepelné izolace </w:t>
            </w:r>
            <w:r w:rsidRPr="00AA43A9">
              <w:rPr>
                <w:i/>
                <w:iCs/>
              </w:rPr>
              <w:t xml:space="preserve">na stávající, může být navržena tloušťka vrstvy nového materiálu taková, aby celkový tepelný odpor vrstvy původního a přidaného izolantu byl vyšší nebo roven uvedené hodnotě a současně musí být splněny doporučené hodnoty součinitele prostupu tepla dle platné ČSN 730540-2. </w:t>
            </w:r>
          </w:p>
          <w:p w14:paraId="0A27DDF9" w14:textId="77777777" w:rsidR="007E7F38" w:rsidRPr="00AA43A9" w:rsidRDefault="007E7F38" w:rsidP="0069395C">
            <w:r w:rsidRPr="00AA43A9">
              <w:rPr>
                <w:i/>
                <w:iCs/>
              </w:rPr>
              <w:t xml:space="preserve">V případě stanovení tepelného odporu tepelněizolačního souvrství výpočtem se nezapočítávají jiné než tepelněizolační materiály (např. původní zdivo a omítky), ani odpory při přestupu tepla </w:t>
            </w:r>
            <w:proofErr w:type="spellStart"/>
            <w:r w:rsidRPr="00AA43A9">
              <w:rPr>
                <w:i/>
                <w:iCs/>
              </w:rPr>
              <w:t>Rsi</w:t>
            </w:r>
            <w:proofErr w:type="spellEnd"/>
            <w:r w:rsidRPr="00AA43A9">
              <w:rPr>
                <w:i/>
                <w:iCs/>
              </w:rPr>
              <w:t xml:space="preserve"> a </w:t>
            </w:r>
            <w:proofErr w:type="spellStart"/>
            <w:r w:rsidRPr="00AA43A9">
              <w:rPr>
                <w:i/>
                <w:iCs/>
              </w:rPr>
              <w:t>Rse</w:t>
            </w:r>
            <w:proofErr w:type="spellEnd"/>
            <w:r w:rsidRPr="00AA43A9">
              <w:rPr>
                <w:i/>
                <w:iCs/>
              </w:rPr>
              <w:t xml:space="preserve">. Hodnoty návrhové tepelné vodivosti ve výpočtu </w:t>
            </w:r>
            <w:proofErr w:type="spellStart"/>
            <w:r w:rsidRPr="00AA43A9">
              <w:rPr>
                <w:i/>
                <w:iCs/>
              </w:rPr>
              <w:t>λu</w:t>
            </w:r>
            <w:proofErr w:type="spellEnd"/>
            <w:r w:rsidRPr="00AA43A9">
              <w:rPr>
                <w:i/>
                <w:iCs/>
              </w:rPr>
              <w:t xml:space="preserve"> [W</w:t>
            </w:r>
            <w:proofErr w:type="gramStart"/>
            <w:r w:rsidRPr="00AA43A9">
              <w:rPr>
                <w:i/>
                <w:iCs/>
              </w:rPr>
              <w:t>/(</w:t>
            </w:r>
            <w:proofErr w:type="spellStart"/>
            <w:proofErr w:type="gramEnd"/>
            <w:r w:rsidRPr="00AA43A9">
              <w:rPr>
                <w:i/>
                <w:iCs/>
              </w:rPr>
              <w:t>m.K</w:t>
            </w:r>
            <w:proofErr w:type="spellEnd"/>
            <w:r w:rsidRPr="00AA43A9">
              <w:rPr>
                <w:i/>
                <w:iCs/>
              </w:rPr>
              <w:t xml:space="preserve">)] budou stanoveny dle vyhlášky č. 264/2020 Sb. o energetické náročnosti budov, Příloha 5. </w:t>
            </w:r>
          </w:p>
        </w:tc>
      </w:tr>
    </w:tbl>
    <w:p w14:paraId="32408A23" w14:textId="77777777" w:rsidR="007E7F38" w:rsidRDefault="007E7F38" w:rsidP="007E7F38"/>
    <w:p w14:paraId="474CAC7E" w14:textId="77777777" w:rsidR="007E7F38" w:rsidRDefault="007E7F38" w:rsidP="007E7F38">
      <w:pPr>
        <w:pStyle w:val="Nadpis5"/>
      </w:pPr>
      <w:r>
        <w:lastRenderedPageBreak/>
        <w:t>Připojení k systému dálkové vytápění nebo chlazení</w:t>
      </w:r>
    </w:p>
    <w:p w14:paraId="3AA17D0B" w14:textId="77777777" w:rsidR="00EB5E38" w:rsidRDefault="00EB5E38" w:rsidP="006C1B48">
      <w:pPr>
        <w:keepNext/>
        <w:spacing w:after="160" w:line="259" w:lineRule="auto"/>
        <w:contextualSpacing/>
      </w:pPr>
      <w:r>
        <w:t>Připojení k systému dálkového vytápění nebo chlazení (SZTE), pokud systém:</w:t>
      </w:r>
    </w:p>
    <w:p w14:paraId="6046E277" w14:textId="45D7E6E9" w:rsidR="00EB5E38" w:rsidRDefault="00EB5E38" w:rsidP="006C1B48">
      <w:pPr>
        <w:pStyle w:val="Odstavecseseznamem"/>
        <w:numPr>
          <w:ilvl w:val="0"/>
          <w:numId w:val="215"/>
        </w:numPr>
        <w:spacing w:after="160" w:line="259" w:lineRule="auto"/>
        <w:contextualSpacing/>
      </w:pPr>
      <w:r>
        <w:t>lze klasifikovat jako účinný systém dálkového vytápění nebo chlazení</w:t>
      </w:r>
      <w:r w:rsidRPr="00D15207">
        <w:rPr>
          <w:rStyle w:val="Znakapoznpodarou"/>
        </w:rPr>
        <w:footnoteReference w:id="171"/>
      </w:r>
      <w:r>
        <w:t xml:space="preserve"> v souladu s článkem 26 směrnice o energetické účinnosti</w:t>
      </w:r>
      <w:r>
        <w:rPr>
          <w:rStyle w:val="Znakapoznpodarou"/>
        </w:rPr>
        <w:footnoteReference w:id="172"/>
      </w:r>
      <w:r>
        <w:t xml:space="preserve">. Doložení je možné skrze </w:t>
      </w:r>
      <w:r w:rsidRPr="00EB5E38">
        <w:t>osvědčení</w:t>
      </w:r>
      <w:r>
        <w:t xml:space="preserve">, resp. kontrolu, že je konkrétní SZTE uvedeno na seznamu systémů splňujících tyto podmínky, který je veden stran ERÚ a je dostupný zde: </w:t>
      </w:r>
      <w:hyperlink r:id="rId145" w:history="1">
        <w:r w:rsidRPr="00785702">
          <w:rPr>
            <w:rStyle w:val="Hypertextovodkaz"/>
          </w:rPr>
          <w:t>https://eru.gov.cz/prehled-ucinnych-soustav-zasobovani-tepelnou-energii</w:t>
        </w:r>
      </w:hyperlink>
      <w:r>
        <w:t xml:space="preserve">; </w:t>
      </w:r>
    </w:p>
    <w:p w14:paraId="1A6AD669" w14:textId="776066C9" w:rsidR="00EB5E38" w:rsidRDefault="00190EB6" w:rsidP="006C1B48">
      <w:pPr>
        <w:pStyle w:val="Odstavecseseznamem"/>
        <w:numPr>
          <w:ilvl w:val="0"/>
          <w:numId w:val="215"/>
        </w:numPr>
        <w:spacing w:after="160" w:line="259" w:lineRule="auto"/>
        <w:contextualSpacing/>
      </w:pPr>
      <w:r>
        <w:t xml:space="preserve">nebo </w:t>
      </w:r>
      <w:r w:rsidR="00EB5E38">
        <w:t>splňuje požadavky stanovené v čl. 26 odst. 5 směrnice o energetické účinnosti a připojení nevede ke zvýšení spotřeby fosilních paliv</w:t>
      </w:r>
      <w:r w:rsidR="00006990">
        <w:t xml:space="preserve"> (ve smyslu, že daná soustava má zpracován p</w:t>
      </w:r>
      <w:r w:rsidR="00006990" w:rsidRPr="009B23C0">
        <w:t>lán na zajištění účinnější spotřeby primární energie, na snížení distribučních ztrát a na zvýšení podílu energie z obnovitelných zdrojů v rámci dodávek vytápění a chlazení v souladu s čl. 26 odst. 5 směrnice o energetické účinnosti</w:t>
      </w:r>
      <w:r w:rsidR="00006990">
        <w:t>)</w:t>
      </w:r>
      <w:r w:rsidR="00EB5E38">
        <w:t xml:space="preserve">. Doložení je možné skrze kontroly existence </w:t>
      </w:r>
      <w:r w:rsidR="00EB5E38" w:rsidRPr="00EB5E38">
        <w:t>plán</w:t>
      </w:r>
      <w:r w:rsidR="00EB5E38">
        <w:t>u</w:t>
      </w:r>
      <w:r w:rsidR="00EB5E38" w:rsidRPr="00EB5E38">
        <w:t xml:space="preserve"> na zajištění účinnější spotřeby primární energie, na snížení distribučních ztrát a na zvýšení podílu energie z obnovitelných zdrojů v rámci dodávek vytápění a chlazení v souladu s čl. 26 odst. 5 směrnice o energetické účinnosti.</w:t>
      </w:r>
      <w:r w:rsidR="0076646F">
        <w:rPr>
          <w:rStyle w:val="Znakapoznpodarou"/>
        </w:rPr>
        <w:footnoteReference w:id="173"/>
      </w:r>
    </w:p>
    <w:p w14:paraId="68EB546E" w14:textId="77777777" w:rsidR="007E7F38" w:rsidRPr="00D15207" w:rsidRDefault="007E7F38" w:rsidP="007E7F38">
      <w:r w:rsidRPr="00D15207">
        <w:t>Podpora se poskytuje na zřízení rozvodu od hranice pozemku k předávací stanici, předávací stanice včetně případného ohřevu teplé vody a zařízení pro měření a regulaci.</w:t>
      </w:r>
      <w:r>
        <w:t xml:space="preserve"> </w:t>
      </w:r>
    </w:p>
    <w:p w14:paraId="2712ED95" w14:textId="77777777" w:rsidR="007E7F38" w:rsidRDefault="007E7F38" w:rsidP="007E7F38">
      <w:r w:rsidRPr="00D15207">
        <w:t>Převaha OZE nebo fosilních zdrojů v SZTE by se měla posuzovat v horizontu očekávané životnosti daného technického řešení zajištění tepla v budově.</w:t>
      </w:r>
    </w:p>
    <w:p w14:paraId="25AE16E4" w14:textId="77777777" w:rsidR="00077CF5" w:rsidRPr="00D15207" w:rsidRDefault="00077CF5" w:rsidP="007E7F38"/>
    <w:p w14:paraId="7F11944E" w14:textId="77777777" w:rsidR="007E7F38" w:rsidRDefault="007E7F38" w:rsidP="007E7F38">
      <w:pPr>
        <w:pStyle w:val="Nadpis5"/>
      </w:pPr>
      <w:r>
        <w:t>Tepelná čerpadla jako zdroje tepla</w:t>
      </w:r>
    </w:p>
    <w:tbl>
      <w:tblPr>
        <w:tblStyle w:val="Mkatabulky"/>
        <w:tblW w:w="0" w:type="auto"/>
        <w:tblLook w:val="04A0" w:firstRow="1" w:lastRow="0" w:firstColumn="1" w:lastColumn="0" w:noHBand="0" w:noVBand="1"/>
      </w:tblPr>
      <w:tblGrid>
        <w:gridCol w:w="3020"/>
        <w:gridCol w:w="3021"/>
        <w:gridCol w:w="3021"/>
      </w:tblGrid>
      <w:tr w:rsidR="007E7F38" w:rsidRPr="00334C70" w14:paraId="43631048" w14:textId="77777777" w:rsidTr="00817931">
        <w:tc>
          <w:tcPr>
            <w:tcW w:w="3020" w:type="dxa"/>
          </w:tcPr>
          <w:p w14:paraId="60736E3E" w14:textId="77777777" w:rsidR="007E7F38" w:rsidRPr="000C71C6" w:rsidRDefault="007E7F38" w:rsidP="00817931">
            <w:pPr>
              <w:pStyle w:val="Default"/>
              <w:jc w:val="both"/>
              <w:rPr>
                <w:rFonts w:ascii="Segoe UI" w:hAnsi="Segoe UI" w:cs="Segoe UI"/>
                <w:b/>
                <w:bCs/>
                <w:sz w:val="22"/>
                <w:szCs w:val="22"/>
              </w:rPr>
            </w:pPr>
            <w:r w:rsidRPr="000C71C6">
              <w:rPr>
                <w:rFonts w:ascii="Segoe UI" w:hAnsi="Segoe UI" w:cs="Segoe UI"/>
                <w:b/>
                <w:bCs/>
                <w:sz w:val="22"/>
                <w:szCs w:val="22"/>
              </w:rPr>
              <w:t>Typ zdroje</w:t>
            </w:r>
          </w:p>
        </w:tc>
        <w:tc>
          <w:tcPr>
            <w:tcW w:w="6042" w:type="dxa"/>
            <w:gridSpan w:val="2"/>
          </w:tcPr>
          <w:p w14:paraId="47592EBE" w14:textId="77777777" w:rsidR="007E7F38" w:rsidRPr="000C71C6" w:rsidRDefault="007E7F38" w:rsidP="00817931">
            <w:pPr>
              <w:pStyle w:val="Default"/>
              <w:jc w:val="both"/>
              <w:rPr>
                <w:rFonts w:ascii="Segoe UI" w:hAnsi="Segoe UI" w:cs="Segoe UI"/>
                <w:b/>
                <w:bCs/>
                <w:sz w:val="22"/>
                <w:szCs w:val="22"/>
              </w:rPr>
            </w:pPr>
            <w:r w:rsidRPr="000C71C6">
              <w:rPr>
                <w:rFonts w:ascii="Segoe UI" w:hAnsi="Segoe UI" w:cs="Segoe UI"/>
                <w:b/>
                <w:bCs/>
                <w:sz w:val="22"/>
                <w:szCs w:val="22"/>
              </w:rPr>
              <w:t>Požadavky na zdroje</w:t>
            </w:r>
          </w:p>
        </w:tc>
      </w:tr>
      <w:tr w:rsidR="007E7F38" w:rsidRPr="00334C70" w14:paraId="4C05EDCC" w14:textId="77777777" w:rsidTr="00817931">
        <w:tc>
          <w:tcPr>
            <w:tcW w:w="3020" w:type="dxa"/>
            <w:vMerge w:val="restart"/>
          </w:tcPr>
          <w:p w14:paraId="4A746B27" w14:textId="77777777" w:rsidR="007E7F38" w:rsidRPr="000C71C6" w:rsidRDefault="007E7F38" w:rsidP="00817931">
            <w:pPr>
              <w:pStyle w:val="Default"/>
              <w:rPr>
                <w:rFonts w:ascii="Segoe UI" w:hAnsi="Segoe UI" w:cs="Segoe UI"/>
                <w:sz w:val="22"/>
                <w:szCs w:val="22"/>
              </w:rPr>
            </w:pPr>
            <w:r w:rsidRPr="000C71C6">
              <w:rPr>
                <w:rFonts w:ascii="Segoe UI" w:hAnsi="Segoe UI" w:cs="Segoe UI"/>
                <w:b/>
                <w:bCs/>
                <w:sz w:val="22"/>
                <w:szCs w:val="22"/>
              </w:rPr>
              <w:t xml:space="preserve">Třída energetické účinnosti </w:t>
            </w:r>
          </w:p>
          <w:p w14:paraId="6F3F9E91" w14:textId="77777777" w:rsidR="007E7F38" w:rsidRPr="00334C70" w:rsidRDefault="007E7F38" w:rsidP="00817931">
            <w:pPr>
              <w:rPr>
                <w:rFonts w:cs="Segoe UI"/>
              </w:rPr>
            </w:pPr>
          </w:p>
        </w:tc>
        <w:tc>
          <w:tcPr>
            <w:tcW w:w="3021" w:type="dxa"/>
          </w:tcPr>
          <w:p w14:paraId="76B313FD" w14:textId="77777777" w:rsidR="007E7F38" w:rsidRPr="000C71C6" w:rsidRDefault="007E7F38" w:rsidP="00817931">
            <w:pPr>
              <w:pStyle w:val="Default"/>
              <w:jc w:val="both"/>
              <w:rPr>
                <w:rFonts w:ascii="Segoe UI" w:hAnsi="Segoe UI" w:cs="Segoe UI"/>
                <w:sz w:val="22"/>
                <w:szCs w:val="22"/>
              </w:rPr>
            </w:pPr>
            <w:r w:rsidRPr="000C71C6">
              <w:rPr>
                <w:rFonts w:ascii="Segoe UI" w:hAnsi="Segoe UI" w:cs="Segoe UI"/>
                <w:sz w:val="22"/>
                <w:szCs w:val="22"/>
              </w:rPr>
              <w:lastRenderedPageBreak/>
              <w:t xml:space="preserve">vzduch-voda </w:t>
            </w:r>
          </w:p>
          <w:p w14:paraId="4F12BFBA" w14:textId="77777777" w:rsidR="007E7F38" w:rsidRPr="000C71C6" w:rsidRDefault="007E7F38" w:rsidP="00817931">
            <w:pPr>
              <w:pStyle w:val="Default"/>
              <w:jc w:val="both"/>
              <w:rPr>
                <w:rFonts w:ascii="Segoe UI" w:hAnsi="Segoe UI" w:cs="Segoe UI"/>
                <w:sz w:val="22"/>
                <w:szCs w:val="22"/>
              </w:rPr>
            </w:pPr>
            <w:r w:rsidRPr="000C71C6">
              <w:rPr>
                <w:rFonts w:ascii="Segoe UI" w:hAnsi="Segoe UI" w:cs="Segoe UI"/>
                <w:sz w:val="22"/>
                <w:szCs w:val="22"/>
              </w:rPr>
              <w:t xml:space="preserve">země-voda </w:t>
            </w:r>
          </w:p>
          <w:p w14:paraId="1D52354A" w14:textId="77777777" w:rsidR="007E7F38" w:rsidRPr="00334C70" w:rsidRDefault="007E7F38" w:rsidP="00817931">
            <w:pPr>
              <w:rPr>
                <w:rFonts w:cs="Segoe UI"/>
              </w:rPr>
            </w:pPr>
            <w:r w:rsidRPr="000C71C6">
              <w:rPr>
                <w:rFonts w:cs="Segoe UI"/>
              </w:rPr>
              <w:lastRenderedPageBreak/>
              <w:t xml:space="preserve">voda-voda </w:t>
            </w:r>
          </w:p>
        </w:tc>
        <w:tc>
          <w:tcPr>
            <w:tcW w:w="3021" w:type="dxa"/>
          </w:tcPr>
          <w:p w14:paraId="75D30EE1" w14:textId="77777777" w:rsidR="007E7F38" w:rsidRPr="000C71C6" w:rsidRDefault="007E7F38" w:rsidP="00817931">
            <w:pPr>
              <w:pStyle w:val="Default"/>
              <w:jc w:val="both"/>
              <w:rPr>
                <w:rFonts w:ascii="Segoe UI" w:hAnsi="Segoe UI" w:cs="Segoe UI"/>
                <w:sz w:val="22"/>
                <w:szCs w:val="22"/>
              </w:rPr>
            </w:pPr>
            <w:r w:rsidRPr="000C71C6">
              <w:rPr>
                <w:rFonts w:ascii="Segoe UI" w:hAnsi="Segoe UI" w:cs="Segoe UI"/>
                <w:b/>
                <w:bCs/>
                <w:sz w:val="22"/>
                <w:szCs w:val="22"/>
              </w:rPr>
              <w:lastRenderedPageBreak/>
              <w:t xml:space="preserve">A++ </w:t>
            </w:r>
          </w:p>
          <w:p w14:paraId="3CEEB404" w14:textId="77777777" w:rsidR="007E7F38" w:rsidRPr="000C71C6" w:rsidRDefault="007E7F38" w:rsidP="00817931">
            <w:pPr>
              <w:pStyle w:val="Default"/>
              <w:jc w:val="both"/>
              <w:rPr>
                <w:rFonts w:ascii="Segoe UI" w:hAnsi="Segoe UI" w:cs="Segoe UI"/>
                <w:sz w:val="22"/>
                <w:szCs w:val="22"/>
              </w:rPr>
            </w:pPr>
            <w:r w:rsidRPr="000C71C6">
              <w:rPr>
                <w:rFonts w:ascii="Segoe UI" w:hAnsi="Segoe UI" w:cs="Segoe UI"/>
                <w:i/>
                <w:iCs/>
                <w:sz w:val="22"/>
                <w:szCs w:val="22"/>
              </w:rPr>
              <w:lastRenderedPageBreak/>
              <w:t xml:space="preserve">tj. účinnost </w:t>
            </w:r>
            <w:proofErr w:type="spellStart"/>
            <w:r w:rsidRPr="000C71C6">
              <w:rPr>
                <w:rFonts w:ascii="Segoe UI" w:hAnsi="Segoe UI" w:cs="Segoe UI"/>
                <w:i/>
                <w:iCs/>
                <w:sz w:val="22"/>
                <w:szCs w:val="22"/>
              </w:rPr>
              <w:t>ηs</w:t>
            </w:r>
            <w:proofErr w:type="spellEnd"/>
            <w:r w:rsidRPr="000C71C6">
              <w:rPr>
                <w:rFonts w:ascii="Segoe UI" w:hAnsi="Segoe UI" w:cs="Segoe UI"/>
                <w:i/>
                <w:iCs/>
                <w:sz w:val="22"/>
                <w:szCs w:val="22"/>
              </w:rPr>
              <w:t xml:space="preserve"> ≥ </w:t>
            </w:r>
            <w:r w:rsidRPr="000C71C6">
              <w:rPr>
                <w:rFonts w:ascii="Segoe UI" w:hAnsi="Segoe UI" w:cs="Segoe UI"/>
                <w:sz w:val="22"/>
                <w:szCs w:val="22"/>
              </w:rPr>
              <w:t xml:space="preserve">150 % pro </w:t>
            </w:r>
            <w:r w:rsidRPr="000C71C6">
              <w:rPr>
                <w:rFonts w:ascii="Segoe UI" w:hAnsi="Segoe UI" w:cs="Segoe UI"/>
                <w:i/>
                <w:iCs/>
                <w:sz w:val="22"/>
                <w:szCs w:val="22"/>
              </w:rPr>
              <w:t xml:space="preserve">nízkoteplotní nebo </w:t>
            </w:r>
            <w:proofErr w:type="spellStart"/>
            <w:r w:rsidRPr="000C71C6">
              <w:rPr>
                <w:rFonts w:ascii="Segoe UI" w:hAnsi="Segoe UI" w:cs="Segoe UI"/>
                <w:i/>
                <w:iCs/>
                <w:sz w:val="22"/>
                <w:szCs w:val="22"/>
              </w:rPr>
              <w:t>ηs</w:t>
            </w:r>
            <w:proofErr w:type="spellEnd"/>
            <w:r w:rsidRPr="000C71C6">
              <w:rPr>
                <w:rFonts w:ascii="Segoe UI" w:hAnsi="Segoe UI" w:cs="Segoe UI"/>
                <w:i/>
                <w:iCs/>
                <w:sz w:val="22"/>
                <w:szCs w:val="22"/>
              </w:rPr>
              <w:t xml:space="preserve"> ≥ 125 % pro </w:t>
            </w:r>
            <w:proofErr w:type="spellStart"/>
            <w:r w:rsidRPr="000C71C6">
              <w:rPr>
                <w:rFonts w:ascii="Segoe UI" w:hAnsi="Segoe UI" w:cs="Segoe UI"/>
                <w:i/>
                <w:iCs/>
                <w:sz w:val="22"/>
                <w:szCs w:val="22"/>
              </w:rPr>
              <w:t>středněteplotní</w:t>
            </w:r>
            <w:proofErr w:type="spellEnd"/>
            <w:r w:rsidRPr="000C71C6">
              <w:rPr>
                <w:rFonts w:ascii="Segoe UI" w:hAnsi="Segoe UI" w:cs="Segoe UI"/>
                <w:i/>
                <w:iCs/>
                <w:sz w:val="22"/>
                <w:szCs w:val="22"/>
              </w:rPr>
              <w:t xml:space="preserve"> aplikace vytápění </w:t>
            </w:r>
          </w:p>
          <w:p w14:paraId="2C7CD50C" w14:textId="77777777" w:rsidR="007E7F38" w:rsidRPr="00334C70" w:rsidRDefault="007E7F38" w:rsidP="00817931">
            <w:pPr>
              <w:rPr>
                <w:rFonts w:cs="Segoe UI"/>
              </w:rPr>
            </w:pPr>
            <w:r w:rsidRPr="000C71C6">
              <w:rPr>
                <w:rFonts w:cs="Segoe UI"/>
              </w:rPr>
              <w:t xml:space="preserve">dle nařízení (EU) č. 811/2013 </w:t>
            </w:r>
          </w:p>
        </w:tc>
      </w:tr>
      <w:tr w:rsidR="007E7F38" w:rsidRPr="00334C70" w14:paraId="6347B7DD" w14:textId="77777777" w:rsidTr="00817931">
        <w:tc>
          <w:tcPr>
            <w:tcW w:w="3020" w:type="dxa"/>
            <w:vMerge/>
          </w:tcPr>
          <w:p w14:paraId="1A808D0B" w14:textId="77777777" w:rsidR="007E7F38" w:rsidRPr="00334C70" w:rsidRDefault="007E7F38" w:rsidP="00817931">
            <w:pPr>
              <w:rPr>
                <w:rFonts w:cs="Segoe UI"/>
              </w:rPr>
            </w:pPr>
          </w:p>
        </w:tc>
        <w:tc>
          <w:tcPr>
            <w:tcW w:w="3021" w:type="dxa"/>
          </w:tcPr>
          <w:p w14:paraId="50AFA1FB" w14:textId="77777777" w:rsidR="007E7F38" w:rsidRPr="000C71C6" w:rsidRDefault="007E7F38" w:rsidP="00817931">
            <w:pPr>
              <w:pStyle w:val="Default"/>
              <w:jc w:val="both"/>
              <w:rPr>
                <w:rFonts w:ascii="Segoe UI" w:hAnsi="Segoe UI" w:cs="Segoe UI"/>
                <w:sz w:val="22"/>
                <w:szCs w:val="22"/>
              </w:rPr>
            </w:pPr>
            <w:r w:rsidRPr="000C71C6">
              <w:rPr>
                <w:rFonts w:ascii="Segoe UI" w:hAnsi="Segoe UI" w:cs="Segoe UI"/>
                <w:sz w:val="22"/>
                <w:szCs w:val="22"/>
              </w:rPr>
              <w:t>vzduch-vzduch, do 12</w:t>
            </w:r>
            <w:r>
              <w:rPr>
                <w:rFonts w:ascii="Segoe UI" w:hAnsi="Segoe UI" w:cs="Segoe UI"/>
                <w:sz w:val="22"/>
                <w:szCs w:val="22"/>
              </w:rPr>
              <w:t> </w:t>
            </w:r>
            <w:r w:rsidRPr="000C71C6">
              <w:rPr>
                <w:rFonts w:ascii="Segoe UI" w:hAnsi="Segoe UI" w:cs="Segoe UI"/>
                <w:sz w:val="22"/>
                <w:szCs w:val="22"/>
              </w:rPr>
              <w:t xml:space="preserve">kW chlad. výkonu </w:t>
            </w:r>
          </w:p>
          <w:p w14:paraId="7CE602DB" w14:textId="77777777" w:rsidR="007E7F38" w:rsidRPr="00334C70" w:rsidRDefault="007E7F38" w:rsidP="00817931">
            <w:pPr>
              <w:rPr>
                <w:rFonts w:cs="Segoe UI"/>
              </w:rPr>
            </w:pPr>
          </w:p>
        </w:tc>
        <w:tc>
          <w:tcPr>
            <w:tcW w:w="3021" w:type="dxa"/>
          </w:tcPr>
          <w:p w14:paraId="1F08823F" w14:textId="77777777" w:rsidR="007E7F38" w:rsidRPr="000C71C6" w:rsidRDefault="007E7F38" w:rsidP="00817931">
            <w:pPr>
              <w:pStyle w:val="Default"/>
              <w:jc w:val="both"/>
              <w:rPr>
                <w:rFonts w:ascii="Segoe UI" w:hAnsi="Segoe UI" w:cs="Segoe UI"/>
                <w:sz w:val="22"/>
                <w:szCs w:val="22"/>
              </w:rPr>
            </w:pPr>
            <w:r w:rsidRPr="000C71C6">
              <w:rPr>
                <w:rFonts w:ascii="Segoe UI" w:hAnsi="Segoe UI" w:cs="Segoe UI"/>
                <w:b/>
                <w:bCs/>
                <w:sz w:val="22"/>
                <w:szCs w:val="22"/>
              </w:rPr>
              <w:t xml:space="preserve">A++ </w:t>
            </w:r>
            <w:r w:rsidRPr="000C71C6">
              <w:rPr>
                <w:rFonts w:ascii="Segoe UI" w:hAnsi="Segoe UI" w:cs="Segoe UI"/>
                <w:i/>
                <w:iCs/>
                <w:sz w:val="22"/>
                <w:szCs w:val="22"/>
              </w:rPr>
              <w:t xml:space="preserve">v režimu vytápění, tzn SCOP ≥ </w:t>
            </w:r>
            <w:r w:rsidRPr="000C71C6">
              <w:rPr>
                <w:rFonts w:ascii="Segoe UI" w:hAnsi="Segoe UI" w:cs="Segoe UI"/>
                <w:sz w:val="22"/>
                <w:szCs w:val="22"/>
              </w:rPr>
              <w:t xml:space="preserve">4,60 (dle nařízení EU č. 626/2011 pro průměrné topné období) </w:t>
            </w:r>
          </w:p>
          <w:p w14:paraId="247979F0" w14:textId="77777777" w:rsidR="007E7F38" w:rsidRPr="00334C70" w:rsidRDefault="007E7F38" w:rsidP="00817931">
            <w:pPr>
              <w:rPr>
                <w:rFonts w:cs="Segoe UI"/>
              </w:rPr>
            </w:pPr>
          </w:p>
        </w:tc>
      </w:tr>
      <w:tr w:rsidR="007E7F38" w:rsidRPr="00334C70" w14:paraId="687E0851" w14:textId="77777777" w:rsidTr="00817931">
        <w:tc>
          <w:tcPr>
            <w:tcW w:w="3020" w:type="dxa"/>
            <w:vMerge/>
          </w:tcPr>
          <w:p w14:paraId="516584A8" w14:textId="77777777" w:rsidR="007E7F38" w:rsidRPr="00334C70" w:rsidRDefault="007E7F38" w:rsidP="00817931">
            <w:pPr>
              <w:rPr>
                <w:rFonts w:cs="Segoe UI"/>
              </w:rPr>
            </w:pPr>
          </w:p>
        </w:tc>
        <w:tc>
          <w:tcPr>
            <w:tcW w:w="3021" w:type="dxa"/>
          </w:tcPr>
          <w:p w14:paraId="3E9F0609" w14:textId="77777777" w:rsidR="007E7F38" w:rsidRPr="000C71C6" w:rsidRDefault="007E7F38" w:rsidP="00817931">
            <w:pPr>
              <w:pStyle w:val="Default"/>
              <w:jc w:val="both"/>
              <w:rPr>
                <w:rFonts w:ascii="Segoe UI" w:hAnsi="Segoe UI" w:cs="Segoe UI"/>
                <w:sz w:val="22"/>
                <w:szCs w:val="22"/>
              </w:rPr>
            </w:pPr>
            <w:r w:rsidRPr="000C71C6">
              <w:rPr>
                <w:rFonts w:ascii="Segoe UI" w:hAnsi="Segoe UI" w:cs="Segoe UI"/>
                <w:sz w:val="22"/>
                <w:szCs w:val="22"/>
              </w:rPr>
              <w:t>vzduch-vzduch, nad 12</w:t>
            </w:r>
            <w:r>
              <w:rPr>
                <w:rFonts w:ascii="Segoe UI" w:hAnsi="Segoe UI" w:cs="Segoe UI"/>
                <w:sz w:val="22"/>
                <w:szCs w:val="22"/>
              </w:rPr>
              <w:t> </w:t>
            </w:r>
            <w:r w:rsidRPr="000C71C6">
              <w:rPr>
                <w:rFonts w:ascii="Segoe UI" w:hAnsi="Segoe UI" w:cs="Segoe UI"/>
                <w:sz w:val="22"/>
                <w:szCs w:val="22"/>
              </w:rPr>
              <w:t xml:space="preserve">kW chlad. výkonu </w:t>
            </w:r>
          </w:p>
        </w:tc>
        <w:tc>
          <w:tcPr>
            <w:tcW w:w="3021" w:type="dxa"/>
          </w:tcPr>
          <w:p w14:paraId="75B75B69" w14:textId="77777777" w:rsidR="007E7F38" w:rsidRPr="000C71C6" w:rsidRDefault="007E7F38" w:rsidP="00817931">
            <w:pPr>
              <w:pStyle w:val="Default"/>
              <w:jc w:val="both"/>
              <w:rPr>
                <w:rFonts w:ascii="Segoe UI" w:hAnsi="Segoe UI" w:cs="Segoe UI"/>
                <w:sz w:val="22"/>
                <w:szCs w:val="22"/>
              </w:rPr>
            </w:pPr>
            <w:r w:rsidRPr="000C71C6">
              <w:rPr>
                <w:rFonts w:ascii="Segoe UI" w:hAnsi="Segoe UI" w:cs="Segoe UI"/>
                <w:sz w:val="22"/>
                <w:szCs w:val="22"/>
              </w:rPr>
              <w:t xml:space="preserve">SCOP≥4,60 </w:t>
            </w:r>
          </w:p>
          <w:p w14:paraId="163ACAAD" w14:textId="77777777" w:rsidR="007E7F38" w:rsidRPr="000C71C6" w:rsidRDefault="007E7F38" w:rsidP="00817931">
            <w:pPr>
              <w:pStyle w:val="Default"/>
              <w:jc w:val="both"/>
              <w:rPr>
                <w:rFonts w:ascii="Segoe UI" w:hAnsi="Segoe UI" w:cs="Segoe UI"/>
                <w:b/>
                <w:bCs/>
                <w:sz w:val="22"/>
                <w:szCs w:val="22"/>
              </w:rPr>
            </w:pPr>
            <w:r w:rsidRPr="000C71C6">
              <w:rPr>
                <w:rFonts w:ascii="Segoe UI" w:hAnsi="Segoe UI" w:cs="Segoe UI"/>
                <w:sz w:val="22"/>
                <w:szCs w:val="22"/>
              </w:rPr>
              <w:t xml:space="preserve">pro průměrné období </w:t>
            </w:r>
          </w:p>
        </w:tc>
      </w:tr>
      <w:tr w:rsidR="007E7F38" w:rsidRPr="00334C70" w14:paraId="4CB2C61A" w14:textId="77777777" w:rsidTr="00817931">
        <w:tc>
          <w:tcPr>
            <w:tcW w:w="3020" w:type="dxa"/>
            <w:vMerge w:val="restart"/>
          </w:tcPr>
          <w:p w14:paraId="4611F17A" w14:textId="77777777" w:rsidR="007E7F38" w:rsidRPr="000C71C6" w:rsidRDefault="007E7F38" w:rsidP="00817931">
            <w:pPr>
              <w:pStyle w:val="Default"/>
              <w:rPr>
                <w:rFonts w:ascii="Segoe UI" w:hAnsi="Segoe UI" w:cs="Segoe UI"/>
                <w:sz w:val="22"/>
                <w:szCs w:val="22"/>
              </w:rPr>
            </w:pPr>
            <w:r w:rsidRPr="000C71C6">
              <w:rPr>
                <w:rFonts w:ascii="Segoe UI" w:hAnsi="Segoe UI" w:cs="Segoe UI"/>
                <w:b/>
                <w:bCs/>
                <w:sz w:val="22"/>
                <w:szCs w:val="22"/>
              </w:rPr>
              <w:t xml:space="preserve">Splnění vybraných předpisů </w:t>
            </w:r>
          </w:p>
          <w:p w14:paraId="3969BE4C" w14:textId="77777777" w:rsidR="007E7F38" w:rsidRPr="00334C70" w:rsidRDefault="007E7F38" w:rsidP="00817931">
            <w:pPr>
              <w:rPr>
                <w:rFonts w:cs="Segoe UI"/>
              </w:rPr>
            </w:pPr>
          </w:p>
        </w:tc>
        <w:tc>
          <w:tcPr>
            <w:tcW w:w="3021" w:type="dxa"/>
          </w:tcPr>
          <w:p w14:paraId="28B62F72" w14:textId="77777777" w:rsidR="007E7F38" w:rsidRPr="000C71C6" w:rsidRDefault="007E7F38" w:rsidP="00817931">
            <w:pPr>
              <w:pStyle w:val="Default"/>
              <w:jc w:val="both"/>
              <w:rPr>
                <w:rFonts w:ascii="Segoe UI" w:hAnsi="Segoe UI" w:cs="Segoe UI"/>
                <w:sz w:val="22"/>
                <w:szCs w:val="22"/>
              </w:rPr>
            </w:pPr>
            <w:r w:rsidRPr="000C71C6">
              <w:rPr>
                <w:rFonts w:ascii="Segoe UI" w:hAnsi="Segoe UI" w:cs="Segoe UI"/>
                <w:sz w:val="22"/>
                <w:szCs w:val="22"/>
              </w:rPr>
              <w:t xml:space="preserve">vzduch-voda </w:t>
            </w:r>
          </w:p>
          <w:p w14:paraId="7046E6FA" w14:textId="77777777" w:rsidR="007E7F38" w:rsidRPr="000C71C6" w:rsidRDefault="007E7F38" w:rsidP="00817931">
            <w:pPr>
              <w:pStyle w:val="Default"/>
              <w:jc w:val="both"/>
              <w:rPr>
                <w:rFonts w:ascii="Segoe UI" w:hAnsi="Segoe UI" w:cs="Segoe UI"/>
                <w:sz w:val="22"/>
                <w:szCs w:val="22"/>
              </w:rPr>
            </w:pPr>
            <w:r w:rsidRPr="000C71C6">
              <w:rPr>
                <w:rFonts w:ascii="Segoe UI" w:hAnsi="Segoe UI" w:cs="Segoe UI"/>
                <w:sz w:val="22"/>
                <w:szCs w:val="22"/>
              </w:rPr>
              <w:t xml:space="preserve">země-voda </w:t>
            </w:r>
          </w:p>
          <w:p w14:paraId="6B17F85C" w14:textId="77777777" w:rsidR="007E7F38" w:rsidRPr="00334C70" w:rsidRDefault="007E7F38" w:rsidP="00817931">
            <w:pPr>
              <w:rPr>
                <w:rFonts w:cs="Segoe UI"/>
              </w:rPr>
            </w:pPr>
            <w:r w:rsidRPr="000C71C6">
              <w:rPr>
                <w:rFonts w:cs="Segoe UI"/>
              </w:rPr>
              <w:t xml:space="preserve">voda-voda </w:t>
            </w:r>
          </w:p>
        </w:tc>
        <w:tc>
          <w:tcPr>
            <w:tcW w:w="3021" w:type="dxa"/>
          </w:tcPr>
          <w:p w14:paraId="119FBEDC" w14:textId="77777777" w:rsidR="007E7F38" w:rsidRPr="000C71C6" w:rsidRDefault="007E7F38" w:rsidP="00817931">
            <w:pPr>
              <w:pStyle w:val="Default"/>
              <w:jc w:val="both"/>
              <w:rPr>
                <w:rFonts w:ascii="Segoe UI" w:hAnsi="Segoe UI" w:cs="Segoe UI"/>
                <w:sz w:val="22"/>
                <w:szCs w:val="22"/>
              </w:rPr>
            </w:pPr>
            <w:r w:rsidRPr="000C71C6">
              <w:rPr>
                <w:rFonts w:ascii="Segoe UI" w:hAnsi="Segoe UI" w:cs="Segoe UI"/>
                <w:sz w:val="22"/>
                <w:szCs w:val="22"/>
              </w:rPr>
              <w:t xml:space="preserve">(EU) č. 813/2013 </w:t>
            </w:r>
          </w:p>
          <w:p w14:paraId="3869C4E1" w14:textId="77777777" w:rsidR="007E7F38" w:rsidRPr="00334C70" w:rsidRDefault="007E7F38" w:rsidP="00817931">
            <w:pPr>
              <w:rPr>
                <w:rFonts w:cs="Segoe UI"/>
              </w:rPr>
            </w:pPr>
          </w:p>
        </w:tc>
      </w:tr>
      <w:tr w:rsidR="007E7F38" w:rsidRPr="00334C70" w14:paraId="03112F95" w14:textId="77777777" w:rsidTr="00817931">
        <w:tc>
          <w:tcPr>
            <w:tcW w:w="3020" w:type="dxa"/>
            <w:vMerge/>
          </w:tcPr>
          <w:p w14:paraId="0166AF89" w14:textId="77777777" w:rsidR="007E7F38" w:rsidRPr="00334C70" w:rsidRDefault="007E7F38" w:rsidP="00817931">
            <w:pPr>
              <w:rPr>
                <w:rFonts w:cs="Segoe UI"/>
              </w:rPr>
            </w:pPr>
          </w:p>
        </w:tc>
        <w:tc>
          <w:tcPr>
            <w:tcW w:w="3021" w:type="dxa"/>
          </w:tcPr>
          <w:p w14:paraId="5B68D74F" w14:textId="77777777" w:rsidR="007E7F38" w:rsidRPr="000C71C6" w:rsidRDefault="007E7F38" w:rsidP="00817931">
            <w:pPr>
              <w:pStyle w:val="Default"/>
              <w:jc w:val="both"/>
              <w:rPr>
                <w:rFonts w:ascii="Segoe UI" w:hAnsi="Segoe UI" w:cs="Segoe UI"/>
                <w:sz w:val="22"/>
                <w:szCs w:val="22"/>
              </w:rPr>
            </w:pPr>
            <w:r w:rsidRPr="000C71C6">
              <w:rPr>
                <w:rFonts w:ascii="Segoe UI" w:hAnsi="Segoe UI" w:cs="Segoe UI"/>
                <w:sz w:val="22"/>
                <w:szCs w:val="22"/>
              </w:rPr>
              <w:t>vzduch-vzduch, do 12</w:t>
            </w:r>
            <w:r>
              <w:rPr>
                <w:rFonts w:ascii="Segoe UI" w:hAnsi="Segoe UI" w:cs="Segoe UI"/>
                <w:sz w:val="22"/>
                <w:szCs w:val="22"/>
              </w:rPr>
              <w:t> </w:t>
            </w:r>
            <w:r w:rsidRPr="000C71C6">
              <w:rPr>
                <w:rFonts w:ascii="Segoe UI" w:hAnsi="Segoe UI" w:cs="Segoe UI"/>
                <w:sz w:val="22"/>
                <w:szCs w:val="22"/>
              </w:rPr>
              <w:t xml:space="preserve">kW chlad. výkonu </w:t>
            </w:r>
          </w:p>
        </w:tc>
        <w:tc>
          <w:tcPr>
            <w:tcW w:w="3021" w:type="dxa"/>
          </w:tcPr>
          <w:p w14:paraId="6018E8E9" w14:textId="77777777" w:rsidR="007E7F38" w:rsidRPr="000C71C6" w:rsidRDefault="007E7F38" w:rsidP="00817931">
            <w:pPr>
              <w:pStyle w:val="Default"/>
              <w:jc w:val="both"/>
              <w:rPr>
                <w:rFonts w:ascii="Segoe UI" w:hAnsi="Segoe UI" w:cs="Segoe UI"/>
                <w:sz w:val="22"/>
                <w:szCs w:val="22"/>
              </w:rPr>
            </w:pPr>
            <w:r w:rsidRPr="000C71C6">
              <w:rPr>
                <w:rFonts w:ascii="Segoe UI" w:hAnsi="Segoe UI" w:cs="Segoe UI"/>
                <w:sz w:val="22"/>
                <w:szCs w:val="22"/>
              </w:rPr>
              <w:t xml:space="preserve">(EU) č. 206/2012 </w:t>
            </w:r>
          </w:p>
          <w:p w14:paraId="36AC1793" w14:textId="77777777" w:rsidR="007E7F38" w:rsidRPr="00334C70" w:rsidRDefault="007E7F38" w:rsidP="00817931">
            <w:pPr>
              <w:rPr>
                <w:rFonts w:cs="Segoe UI"/>
              </w:rPr>
            </w:pPr>
          </w:p>
        </w:tc>
      </w:tr>
    </w:tbl>
    <w:p w14:paraId="455B1E0D" w14:textId="77777777" w:rsidR="007E7F38" w:rsidRDefault="007E7F38" w:rsidP="007E7F38">
      <w:pPr>
        <w:pStyle w:val="Odstavecseseznamem"/>
        <w:numPr>
          <w:ilvl w:val="0"/>
          <w:numId w:val="119"/>
        </w:numPr>
        <w:spacing w:after="160" w:line="259" w:lineRule="auto"/>
        <w:contextualSpacing/>
      </w:pPr>
      <w:r>
        <w:t>V případě tepelných čerpadel umožňujících kombinování vnější jednotky s různými vnitřními, jsou podporovány pouze ty varianty kombinací, pro něž je k dispozici certifikace dle výše uvedených požadavků.</w:t>
      </w:r>
    </w:p>
    <w:p w14:paraId="539CB808" w14:textId="77777777" w:rsidR="007E7F38" w:rsidRDefault="007E7F38" w:rsidP="007E7F38">
      <w:pPr>
        <w:pStyle w:val="Odstavecseseznamem"/>
        <w:numPr>
          <w:ilvl w:val="0"/>
          <w:numId w:val="119"/>
        </w:numPr>
        <w:spacing w:after="160" w:line="259" w:lineRule="auto"/>
        <w:contextualSpacing/>
      </w:pPr>
      <w:r>
        <w:t>Instalace tepelných čerpadel vzduch-vzduch je podporována pouze v případech, kdy dům v navrhovaném stavu nemá provozuschopnou teplovodní otopnou soustavu s jiným zdrojem tepla.</w:t>
      </w:r>
    </w:p>
    <w:p w14:paraId="3E4CFD8C" w14:textId="77777777" w:rsidR="007E7F38" w:rsidRDefault="007E7F38" w:rsidP="007E7F38">
      <w:pPr>
        <w:pStyle w:val="Odstavecseseznamem"/>
        <w:numPr>
          <w:ilvl w:val="0"/>
          <w:numId w:val="119"/>
        </w:numPr>
        <w:spacing w:after="160" w:line="259" w:lineRule="auto"/>
        <w:contextualSpacing/>
      </w:pPr>
      <w:r>
        <w:t>Systém vytápění s tepelnými čerpadly vzduch-vzduch musí zajistit přímé vytápění všech obytných místností v domě nebo být zajištěna distribuce tepla do obytných místností tak, aby se jednalo o hlavní zdroj tepla pro vytápění.</w:t>
      </w:r>
    </w:p>
    <w:p w14:paraId="2AA7BA41" w14:textId="77777777" w:rsidR="007E7F38" w:rsidRDefault="007E7F38" w:rsidP="007E7F38">
      <w:pPr>
        <w:pStyle w:val="Odstavecseseznamem"/>
        <w:numPr>
          <w:ilvl w:val="0"/>
          <w:numId w:val="119"/>
        </w:numPr>
        <w:spacing w:after="160" w:line="259" w:lineRule="auto"/>
        <w:contextualSpacing/>
      </w:pPr>
      <w:r>
        <w:t>Podporována jsou pouze tepelná čerpadla s elektrickým pohonem.</w:t>
      </w:r>
    </w:p>
    <w:p w14:paraId="7FA113A5" w14:textId="77777777" w:rsidR="007E7F38" w:rsidRDefault="007E7F38" w:rsidP="007E7F38">
      <w:pPr>
        <w:pStyle w:val="Odstavecseseznamem"/>
        <w:numPr>
          <w:ilvl w:val="0"/>
          <w:numId w:val="119"/>
        </w:numPr>
        <w:spacing w:after="160" w:line="259" w:lineRule="auto"/>
        <w:contextualSpacing/>
      </w:pPr>
      <w:r>
        <w:t xml:space="preserve">Účinnost </w:t>
      </w:r>
      <w:proofErr w:type="spellStart"/>
      <w:r>
        <w:t>ηs</w:t>
      </w:r>
      <w:proofErr w:type="spellEnd"/>
      <w:r>
        <w:t xml:space="preserve"> a topné faktory COP a SCOP podporovaného tepelného čerpadla musí být ověřeny:</w:t>
      </w:r>
    </w:p>
    <w:p w14:paraId="617B9E72" w14:textId="77777777" w:rsidR="007E7F38" w:rsidRDefault="007E7F38" w:rsidP="007E7F38">
      <w:pPr>
        <w:pStyle w:val="Odstavecseseznamem"/>
        <w:numPr>
          <w:ilvl w:val="1"/>
          <w:numId w:val="119"/>
        </w:numPr>
        <w:spacing w:after="160" w:line="259" w:lineRule="auto"/>
        <w:contextualSpacing/>
      </w:pPr>
      <w:r>
        <w:t>akreditovanou zkušební laboratoří uvedenou v některém ze seznamů v poznámce pod čarou,24 a to zkouškami provedenými dle příslušných výrobkových norem, nebo</w:t>
      </w:r>
    </w:p>
    <w:p w14:paraId="5E7A5ED8" w14:textId="77777777" w:rsidR="007E7F38" w:rsidRDefault="007E7F38" w:rsidP="007E7F38">
      <w:pPr>
        <w:pStyle w:val="Odstavecseseznamem"/>
        <w:numPr>
          <w:ilvl w:val="1"/>
          <w:numId w:val="119"/>
        </w:numPr>
        <w:spacing w:after="160" w:line="259" w:lineRule="auto"/>
        <w:contextualSpacing/>
      </w:pPr>
      <w:r>
        <w:t xml:space="preserve">vydáním certifikátu EHPA </w:t>
      </w:r>
      <w:proofErr w:type="spellStart"/>
      <w:r>
        <w:t>Quality</w:t>
      </w:r>
      <w:proofErr w:type="spellEnd"/>
      <w:r>
        <w:t xml:space="preserve"> Label, HP </w:t>
      </w:r>
      <w:proofErr w:type="spellStart"/>
      <w:r>
        <w:t>Keymark</w:t>
      </w:r>
      <w:proofErr w:type="spellEnd"/>
      <w:r>
        <w:t xml:space="preserve"> nebo </w:t>
      </w:r>
      <w:proofErr w:type="spellStart"/>
      <w:r>
        <w:t>Eurovent</w:t>
      </w:r>
      <w:proofErr w:type="spellEnd"/>
      <w:r>
        <w:t>.</w:t>
      </w:r>
    </w:p>
    <w:p w14:paraId="68A73890" w14:textId="77777777" w:rsidR="00077CF5" w:rsidRDefault="00077CF5" w:rsidP="006C1B48">
      <w:pPr>
        <w:spacing w:after="160" w:line="259" w:lineRule="auto"/>
        <w:contextualSpacing/>
      </w:pPr>
    </w:p>
    <w:p w14:paraId="0A692D28" w14:textId="77777777" w:rsidR="007E7F38" w:rsidRDefault="007E7F38" w:rsidP="007E7F38">
      <w:pPr>
        <w:pStyle w:val="Nadpis5"/>
      </w:pPr>
      <w:r>
        <w:t>Zdroje na biomasu</w:t>
      </w:r>
    </w:p>
    <w:tbl>
      <w:tblPr>
        <w:tblStyle w:val="Mkatabulky"/>
        <w:tblW w:w="0" w:type="auto"/>
        <w:tblLook w:val="04A0" w:firstRow="1" w:lastRow="0" w:firstColumn="1" w:lastColumn="0" w:noHBand="0" w:noVBand="1"/>
      </w:tblPr>
      <w:tblGrid>
        <w:gridCol w:w="3020"/>
        <w:gridCol w:w="3021"/>
        <w:gridCol w:w="3021"/>
      </w:tblGrid>
      <w:tr w:rsidR="007E7F38" w:rsidRPr="00D44AAB" w14:paraId="40877868" w14:textId="77777777" w:rsidTr="003D2764">
        <w:tc>
          <w:tcPr>
            <w:tcW w:w="3020" w:type="dxa"/>
          </w:tcPr>
          <w:p w14:paraId="7FF607B5" w14:textId="77777777" w:rsidR="007E7F38" w:rsidRPr="00FB733F" w:rsidRDefault="007E7F38" w:rsidP="003D2764">
            <w:pPr>
              <w:rPr>
                <w:rFonts w:cs="Segoe UI"/>
                <w:b/>
                <w:bCs/>
                <w:sz w:val="20"/>
                <w:szCs w:val="20"/>
              </w:rPr>
            </w:pPr>
            <w:r w:rsidRPr="00FB733F">
              <w:rPr>
                <w:rFonts w:cs="Segoe UI"/>
                <w:b/>
                <w:bCs/>
                <w:sz w:val="20"/>
                <w:szCs w:val="20"/>
              </w:rPr>
              <w:t>Typ zdroje</w:t>
            </w:r>
          </w:p>
        </w:tc>
        <w:tc>
          <w:tcPr>
            <w:tcW w:w="6042" w:type="dxa"/>
            <w:gridSpan w:val="2"/>
          </w:tcPr>
          <w:p w14:paraId="1C92A317" w14:textId="77777777" w:rsidR="007E7F38" w:rsidRPr="00FB733F" w:rsidRDefault="007E7F38" w:rsidP="003D2764">
            <w:pPr>
              <w:rPr>
                <w:rFonts w:cs="Segoe UI"/>
                <w:b/>
                <w:bCs/>
                <w:sz w:val="20"/>
                <w:szCs w:val="20"/>
              </w:rPr>
            </w:pPr>
            <w:r w:rsidRPr="00FB733F">
              <w:rPr>
                <w:rFonts w:cs="Segoe UI"/>
                <w:b/>
                <w:bCs/>
                <w:sz w:val="20"/>
                <w:szCs w:val="20"/>
              </w:rPr>
              <w:t>Požadavky na zdroje</w:t>
            </w:r>
          </w:p>
        </w:tc>
      </w:tr>
      <w:tr w:rsidR="007E7F38" w:rsidRPr="00D44AAB" w14:paraId="58F561E3" w14:textId="77777777" w:rsidTr="003D2764">
        <w:tc>
          <w:tcPr>
            <w:tcW w:w="3020" w:type="dxa"/>
            <w:vMerge w:val="restart"/>
          </w:tcPr>
          <w:p w14:paraId="2822F976" w14:textId="77777777" w:rsidR="007E7F38" w:rsidRPr="00FB733F" w:rsidRDefault="007E7F38" w:rsidP="003D2764">
            <w:pPr>
              <w:rPr>
                <w:rFonts w:cs="Segoe UI"/>
                <w:b/>
                <w:bCs/>
                <w:sz w:val="20"/>
                <w:szCs w:val="20"/>
              </w:rPr>
            </w:pPr>
            <w:r w:rsidRPr="00FB733F">
              <w:rPr>
                <w:rFonts w:cs="Segoe UI"/>
                <w:b/>
                <w:bCs/>
                <w:sz w:val="20"/>
                <w:szCs w:val="20"/>
              </w:rPr>
              <w:t>Kotle na biomasu</w:t>
            </w:r>
          </w:p>
        </w:tc>
        <w:tc>
          <w:tcPr>
            <w:tcW w:w="3021" w:type="dxa"/>
          </w:tcPr>
          <w:p w14:paraId="60C8E8E0" w14:textId="77777777" w:rsidR="007E7F38" w:rsidRPr="00FB733F" w:rsidRDefault="007E7F38" w:rsidP="003D2764">
            <w:pPr>
              <w:rPr>
                <w:rFonts w:cs="Segoe UI"/>
                <w:sz w:val="20"/>
                <w:szCs w:val="20"/>
              </w:rPr>
            </w:pPr>
            <w:r w:rsidRPr="00D44AAB">
              <w:rPr>
                <w:rFonts w:cs="Segoe UI"/>
                <w:b/>
                <w:bCs/>
                <w:sz w:val="20"/>
                <w:szCs w:val="20"/>
              </w:rPr>
              <w:t xml:space="preserve">Třída energetické účinnosti </w:t>
            </w:r>
          </w:p>
        </w:tc>
        <w:tc>
          <w:tcPr>
            <w:tcW w:w="3021" w:type="dxa"/>
          </w:tcPr>
          <w:p w14:paraId="169ABE62" w14:textId="77777777" w:rsidR="007E7F38" w:rsidRPr="00FB733F" w:rsidRDefault="007E7F38" w:rsidP="003D2764">
            <w:pPr>
              <w:pStyle w:val="Default"/>
              <w:rPr>
                <w:rFonts w:ascii="Segoe UI" w:hAnsi="Segoe UI" w:cs="Segoe UI"/>
                <w:sz w:val="20"/>
                <w:szCs w:val="20"/>
              </w:rPr>
            </w:pPr>
            <w:r w:rsidRPr="00FB733F">
              <w:rPr>
                <w:rFonts w:ascii="Segoe UI" w:hAnsi="Segoe UI" w:cs="Segoe UI"/>
                <w:b/>
                <w:bCs/>
                <w:sz w:val="20"/>
                <w:szCs w:val="20"/>
              </w:rPr>
              <w:t xml:space="preserve">A+ </w:t>
            </w:r>
          </w:p>
          <w:p w14:paraId="49866362" w14:textId="77777777" w:rsidR="007E7F38" w:rsidRPr="00D44AAB" w:rsidRDefault="007E7F38" w:rsidP="003D2764">
            <w:pPr>
              <w:rPr>
                <w:rFonts w:cs="Segoe UI"/>
                <w:sz w:val="20"/>
                <w:szCs w:val="20"/>
              </w:rPr>
            </w:pPr>
            <w:r w:rsidRPr="00D44AAB">
              <w:rPr>
                <w:rFonts w:cs="Segoe UI"/>
                <w:sz w:val="20"/>
                <w:szCs w:val="20"/>
              </w:rPr>
              <w:t xml:space="preserve">(EU) č. 1187/2015 </w:t>
            </w:r>
          </w:p>
          <w:p w14:paraId="439F7FC4" w14:textId="77777777" w:rsidR="007E7F38" w:rsidRPr="00FB733F" w:rsidRDefault="007E7F38" w:rsidP="003D2764">
            <w:pPr>
              <w:pStyle w:val="Default"/>
              <w:jc w:val="both"/>
              <w:rPr>
                <w:rFonts w:ascii="Segoe UI" w:hAnsi="Segoe UI" w:cs="Segoe UI"/>
                <w:sz w:val="20"/>
                <w:szCs w:val="20"/>
              </w:rPr>
            </w:pPr>
            <w:r w:rsidRPr="00FB733F">
              <w:rPr>
                <w:rFonts w:ascii="Segoe UI" w:hAnsi="Segoe UI" w:cs="Segoe UI"/>
                <w:sz w:val="20"/>
                <w:szCs w:val="20"/>
              </w:rPr>
              <w:t xml:space="preserve">popř. splnění požadavků pro 5. třídu dle EN 303-5 pro kotle o výkonu nad 70kW </w:t>
            </w:r>
          </w:p>
        </w:tc>
      </w:tr>
      <w:tr w:rsidR="007E7F38" w:rsidRPr="00D44AAB" w14:paraId="51BCA1E4" w14:textId="77777777" w:rsidTr="003D2764">
        <w:tc>
          <w:tcPr>
            <w:tcW w:w="3020" w:type="dxa"/>
            <w:vMerge/>
          </w:tcPr>
          <w:p w14:paraId="58B91994" w14:textId="77777777" w:rsidR="007E7F38" w:rsidRPr="00FB733F" w:rsidRDefault="007E7F38" w:rsidP="003D2764">
            <w:pPr>
              <w:rPr>
                <w:rFonts w:cs="Segoe UI"/>
                <w:sz w:val="20"/>
                <w:szCs w:val="20"/>
              </w:rPr>
            </w:pPr>
          </w:p>
        </w:tc>
        <w:tc>
          <w:tcPr>
            <w:tcW w:w="3021" w:type="dxa"/>
          </w:tcPr>
          <w:p w14:paraId="501733FB" w14:textId="77777777" w:rsidR="007E7F38" w:rsidRPr="00FB733F" w:rsidRDefault="007E7F38" w:rsidP="003D2764">
            <w:pPr>
              <w:rPr>
                <w:rFonts w:cs="Segoe UI"/>
                <w:sz w:val="20"/>
                <w:szCs w:val="20"/>
              </w:rPr>
            </w:pPr>
            <w:r w:rsidRPr="00D44AAB">
              <w:rPr>
                <w:rFonts w:cs="Segoe UI"/>
                <w:b/>
                <w:bCs/>
                <w:sz w:val="20"/>
                <w:szCs w:val="20"/>
              </w:rPr>
              <w:t xml:space="preserve">Splnění vybraných předpisů </w:t>
            </w:r>
          </w:p>
        </w:tc>
        <w:tc>
          <w:tcPr>
            <w:tcW w:w="3021" w:type="dxa"/>
          </w:tcPr>
          <w:p w14:paraId="25320FA2" w14:textId="77777777" w:rsidR="007E7F38" w:rsidRPr="00D44AAB" w:rsidRDefault="007E7F38" w:rsidP="003D2764">
            <w:pPr>
              <w:rPr>
                <w:rFonts w:cs="Segoe UI"/>
                <w:sz w:val="20"/>
                <w:szCs w:val="20"/>
              </w:rPr>
            </w:pPr>
            <w:r w:rsidRPr="00D44AAB">
              <w:rPr>
                <w:rFonts w:cs="Segoe UI"/>
                <w:sz w:val="20"/>
                <w:szCs w:val="20"/>
              </w:rPr>
              <w:t xml:space="preserve">(EU) č. 1189/2015 </w:t>
            </w:r>
          </w:p>
          <w:p w14:paraId="0C8E7F77" w14:textId="77777777" w:rsidR="007E7F38" w:rsidRPr="00FB733F" w:rsidRDefault="007E7F38" w:rsidP="003D2764">
            <w:pPr>
              <w:pStyle w:val="Default"/>
              <w:jc w:val="both"/>
              <w:rPr>
                <w:rFonts w:ascii="Segoe UI" w:hAnsi="Segoe UI" w:cs="Segoe UI"/>
                <w:sz w:val="20"/>
                <w:szCs w:val="20"/>
              </w:rPr>
            </w:pPr>
            <w:r w:rsidRPr="00FB733F">
              <w:rPr>
                <w:rFonts w:ascii="Segoe UI" w:hAnsi="Segoe UI" w:cs="Segoe UI"/>
                <w:sz w:val="20"/>
                <w:szCs w:val="20"/>
              </w:rPr>
              <w:t xml:space="preserve">a současně splnění požadavků pro 5. třídu dle EN 303-5 pro kotle o výkonu nad 70kW </w:t>
            </w:r>
          </w:p>
        </w:tc>
      </w:tr>
      <w:tr w:rsidR="007E7F38" w:rsidRPr="00D44AAB" w14:paraId="35E1A154" w14:textId="77777777" w:rsidTr="003D2764">
        <w:tc>
          <w:tcPr>
            <w:tcW w:w="3020" w:type="dxa"/>
            <w:vMerge w:val="restart"/>
          </w:tcPr>
          <w:p w14:paraId="4C9B815E" w14:textId="77777777" w:rsidR="007E7F38" w:rsidRPr="00FB733F" w:rsidRDefault="007E7F38" w:rsidP="003D2764">
            <w:pPr>
              <w:jc w:val="center"/>
              <w:rPr>
                <w:rFonts w:cs="Segoe UI"/>
                <w:b/>
                <w:bCs/>
                <w:sz w:val="20"/>
                <w:szCs w:val="20"/>
              </w:rPr>
            </w:pPr>
            <w:r w:rsidRPr="00FB733F">
              <w:rPr>
                <w:rFonts w:cs="Segoe UI"/>
                <w:b/>
                <w:bCs/>
                <w:sz w:val="20"/>
                <w:szCs w:val="20"/>
              </w:rPr>
              <w:t>Lokální zdroje na biomasu</w:t>
            </w:r>
          </w:p>
        </w:tc>
        <w:tc>
          <w:tcPr>
            <w:tcW w:w="3021" w:type="dxa"/>
          </w:tcPr>
          <w:p w14:paraId="04BECF50" w14:textId="77777777" w:rsidR="007E7F38" w:rsidRPr="00FB733F" w:rsidRDefault="007E7F38" w:rsidP="003D2764">
            <w:pPr>
              <w:rPr>
                <w:rFonts w:cs="Segoe UI"/>
                <w:sz w:val="20"/>
                <w:szCs w:val="20"/>
              </w:rPr>
            </w:pPr>
            <w:r w:rsidRPr="00D44AAB">
              <w:rPr>
                <w:rFonts w:cs="Segoe UI"/>
                <w:b/>
                <w:bCs/>
                <w:sz w:val="20"/>
                <w:szCs w:val="20"/>
              </w:rPr>
              <w:t xml:space="preserve">Třída energetické účinnosti </w:t>
            </w:r>
          </w:p>
        </w:tc>
        <w:tc>
          <w:tcPr>
            <w:tcW w:w="3021" w:type="dxa"/>
          </w:tcPr>
          <w:p w14:paraId="2723F393" w14:textId="77777777" w:rsidR="007E7F38" w:rsidRPr="00FB733F" w:rsidRDefault="007E7F38" w:rsidP="003D2764">
            <w:pPr>
              <w:pStyle w:val="Default"/>
              <w:rPr>
                <w:rFonts w:ascii="Segoe UI" w:hAnsi="Segoe UI" w:cs="Segoe UI"/>
                <w:sz w:val="20"/>
                <w:szCs w:val="20"/>
              </w:rPr>
            </w:pPr>
            <w:r w:rsidRPr="00FB733F">
              <w:rPr>
                <w:rFonts w:ascii="Segoe UI" w:hAnsi="Segoe UI" w:cs="Segoe UI"/>
                <w:sz w:val="20"/>
                <w:szCs w:val="20"/>
              </w:rPr>
              <w:t xml:space="preserve">sálavé a teplovzdušné: </w:t>
            </w:r>
            <w:r w:rsidRPr="00FB733F">
              <w:rPr>
                <w:rFonts w:ascii="Segoe UI" w:hAnsi="Segoe UI" w:cs="Segoe UI"/>
                <w:b/>
                <w:bCs/>
                <w:sz w:val="20"/>
                <w:szCs w:val="20"/>
              </w:rPr>
              <w:t xml:space="preserve">A+ </w:t>
            </w:r>
          </w:p>
          <w:p w14:paraId="29441B21" w14:textId="77777777" w:rsidR="007E7F38" w:rsidRPr="00FB733F" w:rsidRDefault="007E7F38" w:rsidP="003D2764">
            <w:pPr>
              <w:pStyle w:val="Default"/>
              <w:rPr>
                <w:rFonts w:ascii="Segoe UI" w:hAnsi="Segoe UI" w:cs="Segoe UI"/>
                <w:sz w:val="20"/>
                <w:szCs w:val="20"/>
              </w:rPr>
            </w:pPr>
            <w:r w:rsidRPr="00FB733F">
              <w:rPr>
                <w:rFonts w:ascii="Segoe UI" w:hAnsi="Segoe UI" w:cs="Segoe UI"/>
                <w:sz w:val="20"/>
                <w:szCs w:val="20"/>
              </w:rPr>
              <w:t xml:space="preserve">s teplovodním výměníkem: </w:t>
            </w:r>
            <w:r w:rsidRPr="00FB733F">
              <w:rPr>
                <w:rFonts w:ascii="Segoe UI" w:hAnsi="Segoe UI" w:cs="Segoe UI"/>
                <w:b/>
                <w:bCs/>
                <w:sz w:val="20"/>
                <w:szCs w:val="20"/>
              </w:rPr>
              <w:t xml:space="preserve">A++ </w:t>
            </w:r>
          </w:p>
          <w:p w14:paraId="34D19AD4" w14:textId="77777777" w:rsidR="007E7F38" w:rsidRPr="00FB733F" w:rsidRDefault="007E7F38" w:rsidP="003D2764">
            <w:pPr>
              <w:pStyle w:val="Default"/>
              <w:rPr>
                <w:rFonts w:ascii="Segoe UI" w:hAnsi="Segoe UI" w:cs="Segoe UI"/>
                <w:sz w:val="20"/>
                <w:szCs w:val="20"/>
              </w:rPr>
            </w:pPr>
            <w:r w:rsidRPr="00FB733F">
              <w:rPr>
                <w:rFonts w:ascii="Segoe UI" w:hAnsi="Segoe UI" w:cs="Segoe UI"/>
                <w:sz w:val="20"/>
                <w:szCs w:val="20"/>
              </w:rPr>
              <w:t xml:space="preserve">dle (EU) č. 1186/2015 </w:t>
            </w:r>
          </w:p>
          <w:p w14:paraId="682D88AF" w14:textId="77777777" w:rsidR="007E7F38" w:rsidRPr="00FB733F" w:rsidRDefault="007E7F38" w:rsidP="003D2764">
            <w:pPr>
              <w:rPr>
                <w:rFonts w:cs="Segoe UI"/>
                <w:sz w:val="20"/>
                <w:szCs w:val="20"/>
              </w:rPr>
            </w:pPr>
            <w:r w:rsidRPr="00D44AAB">
              <w:rPr>
                <w:rFonts w:cs="Segoe UI"/>
                <w:sz w:val="20"/>
                <w:szCs w:val="20"/>
              </w:rPr>
              <w:t xml:space="preserve">individuálně stavěná – splnění požadavků ČSN EN 15544 </w:t>
            </w:r>
          </w:p>
        </w:tc>
      </w:tr>
      <w:tr w:rsidR="007E7F38" w:rsidRPr="00D44AAB" w14:paraId="3BE94CCC" w14:textId="77777777" w:rsidTr="003D2764">
        <w:tc>
          <w:tcPr>
            <w:tcW w:w="3020" w:type="dxa"/>
            <w:vMerge/>
          </w:tcPr>
          <w:p w14:paraId="2BF6E1BE" w14:textId="77777777" w:rsidR="007E7F38" w:rsidRPr="00FB733F" w:rsidRDefault="007E7F38" w:rsidP="003D2764">
            <w:pPr>
              <w:rPr>
                <w:rFonts w:cs="Segoe UI"/>
                <w:sz w:val="20"/>
                <w:szCs w:val="20"/>
              </w:rPr>
            </w:pPr>
          </w:p>
        </w:tc>
        <w:tc>
          <w:tcPr>
            <w:tcW w:w="3021" w:type="dxa"/>
          </w:tcPr>
          <w:p w14:paraId="393F01C7" w14:textId="77777777" w:rsidR="007E7F38" w:rsidRPr="00FB733F" w:rsidRDefault="007E7F38" w:rsidP="003D2764">
            <w:pPr>
              <w:rPr>
                <w:rFonts w:cs="Segoe UI"/>
                <w:sz w:val="20"/>
                <w:szCs w:val="20"/>
              </w:rPr>
            </w:pPr>
            <w:r w:rsidRPr="00D44AAB">
              <w:rPr>
                <w:rFonts w:cs="Segoe UI"/>
                <w:b/>
                <w:bCs/>
                <w:sz w:val="20"/>
                <w:szCs w:val="20"/>
              </w:rPr>
              <w:t xml:space="preserve">Splnění vybraných předpisů </w:t>
            </w:r>
          </w:p>
        </w:tc>
        <w:tc>
          <w:tcPr>
            <w:tcW w:w="3021" w:type="dxa"/>
          </w:tcPr>
          <w:p w14:paraId="4133FB45" w14:textId="77777777" w:rsidR="007E7F38" w:rsidRPr="00FB733F" w:rsidRDefault="007E7F38" w:rsidP="003D2764">
            <w:pPr>
              <w:pStyle w:val="Default"/>
              <w:rPr>
                <w:rFonts w:ascii="Segoe UI" w:hAnsi="Segoe UI" w:cs="Segoe UI"/>
                <w:sz w:val="20"/>
                <w:szCs w:val="20"/>
              </w:rPr>
            </w:pPr>
            <w:r w:rsidRPr="00FB733F">
              <w:rPr>
                <w:rFonts w:ascii="Segoe UI" w:hAnsi="Segoe UI" w:cs="Segoe UI"/>
                <w:sz w:val="20"/>
                <w:szCs w:val="20"/>
              </w:rPr>
              <w:t xml:space="preserve">(EU) č. 1185/2015 </w:t>
            </w:r>
          </w:p>
          <w:p w14:paraId="023B66F4" w14:textId="77777777" w:rsidR="007E7F38" w:rsidRPr="00FB733F" w:rsidRDefault="007E7F38" w:rsidP="003D2764">
            <w:pPr>
              <w:rPr>
                <w:rFonts w:cs="Segoe UI"/>
                <w:sz w:val="20"/>
                <w:szCs w:val="20"/>
              </w:rPr>
            </w:pPr>
            <w:r w:rsidRPr="00D44AAB">
              <w:rPr>
                <w:rFonts w:cs="Segoe UI"/>
                <w:sz w:val="20"/>
                <w:szCs w:val="20"/>
              </w:rPr>
              <w:t xml:space="preserve">ČSN EN 15544 (pro individuálně stavěná kamna) </w:t>
            </w:r>
          </w:p>
        </w:tc>
      </w:tr>
    </w:tbl>
    <w:p w14:paraId="003403C2" w14:textId="77777777" w:rsidR="007E7F38" w:rsidRDefault="007E7F38" w:rsidP="007E7F38">
      <w:pPr>
        <w:pStyle w:val="Odstavecseseznamem"/>
        <w:numPr>
          <w:ilvl w:val="0"/>
          <w:numId w:val="120"/>
        </w:numPr>
        <w:spacing w:after="160" w:line="259" w:lineRule="auto"/>
        <w:contextualSpacing/>
      </w:pPr>
      <w:r>
        <w:t>Podporovány jsou pouze kotle určené výhradně ke spalování biomasy. Podpora se neposkytuje na pořízení kotlů určených na spalování pevných fosilních paliv a nedřevní biomasy, a to i v případě kotlů umožňujících spalování více druhů paliv (tzv. kombinovaných kotlů).</w:t>
      </w:r>
    </w:p>
    <w:p w14:paraId="6680E531" w14:textId="77777777" w:rsidR="007E7F38" w:rsidRDefault="007E7F38" w:rsidP="007E7F38">
      <w:pPr>
        <w:pStyle w:val="Odstavecseseznamem"/>
        <w:numPr>
          <w:ilvl w:val="0"/>
          <w:numId w:val="120"/>
        </w:numPr>
        <w:spacing w:after="160" w:line="259" w:lineRule="auto"/>
        <w:contextualSpacing/>
      </w:pPr>
      <w:r>
        <w:t>Kotle bez řízeného přísunu spalovacího vzduchu pomocí ventilátoru nejsou podporovány.</w:t>
      </w:r>
    </w:p>
    <w:p w14:paraId="79E58016" w14:textId="77777777" w:rsidR="007E7F38" w:rsidRDefault="007E7F38" w:rsidP="007E7F38">
      <w:pPr>
        <w:pStyle w:val="Odstavecseseznamem"/>
        <w:numPr>
          <w:ilvl w:val="0"/>
          <w:numId w:val="120"/>
        </w:numPr>
        <w:spacing w:after="160" w:line="259" w:lineRule="auto"/>
        <w:contextualSpacing/>
      </w:pPr>
      <w:r>
        <w:t>V případě kotlů umožňujících ruční přikládání je vyžadováno současné užití zásobníku tepla – akumulační nádoby o minimálním objemu (včetně případného zásobníku teplé vody, pokud je tímto kotlem ohříván):</w:t>
      </w:r>
    </w:p>
    <w:p w14:paraId="746FBACF" w14:textId="77777777" w:rsidR="007E7F38" w:rsidRDefault="007E7F38" w:rsidP="007E7F38">
      <w:pPr>
        <w:pStyle w:val="Odstavecseseznamem"/>
        <w:numPr>
          <w:ilvl w:val="1"/>
          <w:numId w:val="120"/>
        </w:numPr>
        <w:spacing w:after="160" w:line="259" w:lineRule="auto"/>
        <w:contextualSpacing/>
      </w:pPr>
      <w:r>
        <w:t>55 l/kW instalovaného výkonu kotle,</w:t>
      </w:r>
    </w:p>
    <w:p w14:paraId="7D5E89E9" w14:textId="77777777" w:rsidR="007E7F38" w:rsidRDefault="007E7F38" w:rsidP="007E7F38">
      <w:pPr>
        <w:pStyle w:val="Odstavecseseznamem"/>
        <w:numPr>
          <w:ilvl w:val="1"/>
          <w:numId w:val="120"/>
        </w:numPr>
        <w:spacing w:after="160" w:line="259" w:lineRule="auto"/>
        <w:contextualSpacing/>
      </w:pPr>
      <w:r>
        <w:t>stanoveném výpočtem dle části 4.4.6 ČSN EN 303-5 „Kotle pro ústřední vytápění“, za předpokladu, že nejde o objem nižší než stanovený výrobcem a uvedený v návodu k montáži kotle.</w:t>
      </w:r>
    </w:p>
    <w:p w14:paraId="2EDDB372" w14:textId="77777777" w:rsidR="007E7F38" w:rsidRDefault="007E7F38" w:rsidP="007E7F38">
      <w:pPr>
        <w:pStyle w:val="Odstavecseseznamem"/>
        <w:numPr>
          <w:ilvl w:val="0"/>
          <w:numId w:val="120"/>
        </w:numPr>
        <w:spacing w:after="160" w:line="259" w:lineRule="auto"/>
        <w:contextualSpacing/>
      </w:pPr>
      <w:r>
        <w:t>Požadavek na užití akumulační nádoby se nevztahuje na kotle umožňující ruční přikládání, které umožňují provoz při tepelném výkonu rovném nebo nižším než 30 % jmenovitého výkonu a které byly za těchto podmínek certifikovány a výrobce nepožaduje instalaci akumulační nádoby v návodu k montáži.</w:t>
      </w:r>
    </w:p>
    <w:p w14:paraId="0A39E360" w14:textId="77777777" w:rsidR="007E7F38" w:rsidRDefault="007E7F38" w:rsidP="007E7F38">
      <w:pPr>
        <w:pStyle w:val="Odstavecseseznamem"/>
        <w:numPr>
          <w:ilvl w:val="0"/>
          <w:numId w:val="120"/>
        </w:numPr>
        <w:spacing w:after="160" w:line="259" w:lineRule="auto"/>
        <w:contextualSpacing/>
      </w:pPr>
      <w:r>
        <w:t xml:space="preserve">Zdroje tepla spalující pevnou biomasu musí splňovat úroveň emisí tuhých znečišťujících látek odpovídající nejvýše 20 </w:t>
      </w:r>
      <w:r w:rsidRPr="004E656D">
        <w:t>mg</w:t>
      </w:r>
      <w:r w:rsidRPr="00BE1F1E">
        <w:rPr>
          <w:rFonts w:cstheme="minorHAnsi"/>
        </w:rPr>
        <w:t>·</w:t>
      </w:r>
      <w:r w:rsidRPr="004E656D">
        <w:t>m</w:t>
      </w:r>
      <w:r w:rsidRPr="00BE1F1E">
        <w:rPr>
          <w:vertAlign w:val="superscript"/>
        </w:rPr>
        <w:t>-3</w:t>
      </w:r>
      <w:r>
        <w:t>, a to v případě zdrojů spadajících do působnosti nařízení 2024/1781/EU o ekodesignu jakožto hodnotu sezónní emise zjišťovanou podle postupů stanovených příslušným prováděcím nařízením či delegovaným aktem; a v případě ostatních zdrojů jakožto hodnotu emisního limitu stanoveného v povolení provozu podle § 11 odst. 2 písm. c) zákona č. 201/2012 Sb., o ochraně ovzduší, v platném znění.</w:t>
      </w:r>
      <w:r>
        <w:rPr>
          <w:rStyle w:val="Znakapoznpodarou"/>
        </w:rPr>
        <w:footnoteReference w:id="174"/>
      </w:r>
    </w:p>
    <w:p w14:paraId="599DB621" w14:textId="77777777" w:rsidR="00077CF5" w:rsidRDefault="00077CF5" w:rsidP="006C1B48">
      <w:pPr>
        <w:spacing w:after="160" w:line="259" w:lineRule="auto"/>
        <w:contextualSpacing/>
      </w:pPr>
    </w:p>
    <w:p w14:paraId="686F76B1" w14:textId="77777777" w:rsidR="007E7F38" w:rsidRDefault="007E7F38" w:rsidP="007E7F38">
      <w:pPr>
        <w:pStyle w:val="Nadpis5"/>
      </w:pPr>
      <w:r>
        <w:lastRenderedPageBreak/>
        <w:t xml:space="preserve">Solární ohřev vody a </w:t>
      </w:r>
      <w:r w:rsidRPr="0011220A">
        <w:t>tepelné čerpadlo s elektrickým pohonem pro ohřev vody</w:t>
      </w:r>
    </w:p>
    <w:p w14:paraId="17295BD0" w14:textId="77777777" w:rsidR="007E7F38" w:rsidRPr="00272F56" w:rsidRDefault="007E7F38" w:rsidP="007E7F38">
      <w:r w:rsidRPr="00272F56">
        <w:t>Podporu na instalaci zdroje tepla nebo solárního systému do budovy napojené na účinnou soustavu zásobování tepelnou energií (dále jen „ÚSZTE“) nebo soustavu zásobování tepelnou energií (dále jen „SZTE“), která využívá alespoň 50 % energie z obnovitelných zdrojů, je možné poskytnout pouze, pokud nedojde ke zhoršení její celkové průměrné roční účinnosti.</w:t>
      </w:r>
    </w:p>
    <w:p w14:paraId="28B4098A" w14:textId="77777777" w:rsidR="007E7F38" w:rsidRDefault="007E7F38" w:rsidP="007E7F38">
      <w:pPr>
        <w:rPr>
          <w:b/>
          <w:bCs/>
          <w:vertAlign w:val="superscript"/>
        </w:rPr>
      </w:pPr>
      <w:r w:rsidRPr="00272F56">
        <w:rPr>
          <w:b/>
          <w:bCs/>
        </w:rPr>
        <w:t>Solární ohřev vody, plocha apertury panelů min. 1,8 m</w:t>
      </w:r>
      <w:r w:rsidRPr="00272F56">
        <w:rPr>
          <w:b/>
          <w:bCs/>
          <w:vertAlign w:val="superscript"/>
        </w:rPr>
        <w:t>2</w:t>
      </w:r>
      <w:r>
        <w:rPr>
          <w:b/>
          <w:bCs/>
          <w:vertAlign w:val="superscript"/>
        </w:rPr>
        <w:t xml:space="preserve"> </w:t>
      </w:r>
      <w:r>
        <w:rPr>
          <w:b/>
          <w:bCs/>
        </w:rPr>
        <w:t>a s</w:t>
      </w:r>
      <w:r w:rsidRPr="00272F56">
        <w:rPr>
          <w:b/>
          <w:bCs/>
        </w:rPr>
        <w:t>olární termický ohřev vody s přitápěním, plocha apertury panelů min. 3,6 m</w:t>
      </w:r>
      <w:r w:rsidRPr="00272F56">
        <w:rPr>
          <w:b/>
          <w:bCs/>
          <w:vertAlign w:val="superscript"/>
        </w:rPr>
        <w:t>2</w:t>
      </w:r>
    </w:p>
    <w:p w14:paraId="1DDEB7D8" w14:textId="77777777" w:rsidR="007E7F38" w:rsidRPr="00272F56" w:rsidRDefault="007E7F38" w:rsidP="007E7F38">
      <w:pPr>
        <w:pStyle w:val="Odstavecseseznamem"/>
        <w:numPr>
          <w:ilvl w:val="0"/>
          <w:numId w:val="121"/>
        </w:numPr>
        <w:spacing w:after="160" w:line="259" w:lineRule="auto"/>
        <w:contextualSpacing/>
      </w:pPr>
      <w:r w:rsidRPr="00272F56">
        <w:t xml:space="preserve">Podporované solární termické systémy musí být sestaveny pouze z kolektorů splňujících minimální hodnotu účinnosti </w:t>
      </w:r>
      <w:proofErr w:type="spellStart"/>
      <w:r w:rsidRPr="00272F56">
        <w:t>ηsk</w:t>
      </w:r>
      <w:proofErr w:type="spellEnd"/>
      <w:r w:rsidRPr="00272F56">
        <w:t xml:space="preserve"> dle vyhlášky č. 441/2012 Sb., o stanovení minimální účinnosti užití energie při výrobě elektřiny a tepelné energie. </w:t>
      </w:r>
    </w:p>
    <w:p w14:paraId="043FA29A" w14:textId="77777777" w:rsidR="007E7F38" w:rsidRPr="00272F56" w:rsidRDefault="007E7F38" w:rsidP="007E7F38">
      <w:pPr>
        <w:pStyle w:val="Odstavecseseznamem"/>
        <w:numPr>
          <w:ilvl w:val="0"/>
          <w:numId w:val="121"/>
        </w:numPr>
        <w:spacing w:after="160" w:line="259" w:lineRule="auto"/>
        <w:contextualSpacing/>
      </w:pPr>
      <w:r w:rsidRPr="00272F56">
        <w:t xml:space="preserve">Systém musí umožňovat celoroční provoz a mít zajištěnu ochranu systému včetně zásobníku teplé vody proti mrazu a zamrznutí, a to bez dodávky energie z jiného zdroje (elektřina ze sítě apod.). </w:t>
      </w:r>
    </w:p>
    <w:p w14:paraId="184DAC37" w14:textId="77777777" w:rsidR="007E7F38" w:rsidRPr="00272F56" w:rsidRDefault="007E7F38" w:rsidP="007E7F38">
      <w:pPr>
        <w:pStyle w:val="Odstavecseseznamem"/>
        <w:numPr>
          <w:ilvl w:val="0"/>
          <w:numId w:val="121"/>
        </w:numPr>
        <w:spacing w:after="160" w:line="259" w:lineRule="auto"/>
        <w:contextualSpacing/>
      </w:pPr>
      <w:r w:rsidRPr="00272F56">
        <w:t>Povinnou součástí systému je ochrana proti opaření horkou vodou ze zásobníkového ohřívače.</w:t>
      </w:r>
      <w:r w:rsidRPr="00272F56">
        <w:rPr>
          <w:rStyle w:val="Znakapoznpodarou"/>
        </w:rPr>
        <w:t xml:space="preserve"> </w:t>
      </w:r>
      <w:r>
        <w:rPr>
          <w:rStyle w:val="Znakapoznpodarou"/>
        </w:rPr>
        <w:footnoteReference w:id="175"/>
      </w:r>
    </w:p>
    <w:p w14:paraId="76D46B48" w14:textId="77777777" w:rsidR="007E7F38" w:rsidRPr="00272F56" w:rsidRDefault="007E7F38" w:rsidP="007E7F38">
      <w:pPr>
        <w:pStyle w:val="Odstavecseseznamem"/>
        <w:numPr>
          <w:ilvl w:val="0"/>
          <w:numId w:val="121"/>
        </w:numPr>
        <w:spacing w:after="160" w:line="259" w:lineRule="auto"/>
        <w:contextualSpacing/>
      </w:pPr>
      <w:r w:rsidRPr="00272F56">
        <w:t xml:space="preserve">Požadovaný minimální objem zásobníkového ohřívače nebo akumulačního zásobníku pro ohřev vody je 45 litrů vody na 1 m2 apertury kolektorů. </w:t>
      </w:r>
    </w:p>
    <w:p w14:paraId="4E2496ED" w14:textId="77777777" w:rsidR="007E7F38" w:rsidRPr="00272F56" w:rsidRDefault="007E7F38" w:rsidP="007E7F38">
      <w:pPr>
        <w:rPr>
          <w:b/>
          <w:bCs/>
        </w:rPr>
      </w:pPr>
      <w:r w:rsidRPr="00272F56">
        <w:rPr>
          <w:b/>
          <w:bCs/>
        </w:rPr>
        <w:t>Solární fotovoltaický ohřev vody, instalovaný výkon min. 1,8 kW</w:t>
      </w:r>
    </w:p>
    <w:p w14:paraId="6CBEDFFB" w14:textId="77777777" w:rsidR="007E7F38" w:rsidRPr="00272F56" w:rsidRDefault="007E7F38" w:rsidP="007E7F38">
      <w:pPr>
        <w:pStyle w:val="Odstavecseseznamem"/>
        <w:numPr>
          <w:ilvl w:val="0"/>
          <w:numId w:val="122"/>
        </w:numPr>
        <w:spacing w:after="160" w:line="259" w:lineRule="auto"/>
        <w:contextualSpacing/>
      </w:pPr>
      <w:r w:rsidRPr="00272F56">
        <w:t xml:space="preserve">Podporované fotovoltaické systémy pro ohřev vody musí být odděleny od distribuční soustavy el. energie a vnitřních rozvodů propojených s distribuční soustavou. Musí používat technologii pro účinnou optimalizaci systému v závislosti na zátěži – sledovaní maximálního bodu výkonu „MPPT“. </w:t>
      </w:r>
    </w:p>
    <w:p w14:paraId="71A390DF" w14:textId="77777777" w:rsidR="007E7F38" w:rsidRPr="00272F56" w:rsidRDefault="007E7F38" w:rsidP="007E7F38">
      <w:pPr>
        <w:pStyle w:val="Odstavecseseznamem"/>
        <w:numPr>
          <w:ilvl w:val="0"/>
          <w:numId w:val="122"/>
        </w:numPr>
        <w:spacing w:after="160" w:line="259" w:lineRule="auto"/>
        <w:contextualSpacing/>
      </w:pPr>
      <w:r w:rsidRPr="00272F56">
        <w:t>Povinnou součástí systému je ochrana proti opaření horkou vodou ze zásobníkového ohřívače.</w:t>
      </w:r>
    </w:p>
    <w:p w14:paraId="2AF9C269" w14:textId="77777777" w:rsidR="007E7F38" w:rsidRPr="00272F56" w:rsidRDefault="007E7F38" w:rsidP="007E7F38">
      <w:pPr>
        <w:pStyle w:val="Odstavecseseznamem"/>
        <w:numPr>
          <w:ilvl w:val="0"/>
          <w:numId w:val="122"/>
        </w:numPr>
        <w:spacing w:after="160" w:line="259" w:lineRule="auto"/>
        <w:contextualSpacing/>
      </w:pPr>
      <w:r w:rsidRPr="00272F56">
        <w:t>Systém musí zajistit automatické připojení bivalentního zdroje ohřevu vody v období, kdy solární fotovoltaický systém nedokáže zajistit ohřev vody na minimální nastavenou úroveň teploty vody.</w:t>
      </w:r>
      <w:r>
        <w:rPr>
          <w:rStyle w:val="Znakapoznpodarou"/>
        </w:rPr>
        <w:footnoteReference w:id="176"/>
      </w:r>
    </w:p>
    <w:p w14:paraId="4AA3F250" w14:textId="77777777" w:rsidR="007E7F38" w:rsidRPr="00272F56" w:rsidRDefault="007E7F38" w:rsidP="007E7F38">
      <w:pPr>
        <w:pStyle w:val="Odstavecseseznamem"/>
        <w:numPr>
          <w:ilvl w:val="0"/>
          <w:numId w:val="122"/>
        </w:numPr>
        <w:spacing w:after="160" w:line="259" w:lineRule="auto"/>
        <w:contextualSpacing/>
      </w:pPr>
      <w:r w:rsidRPr="00272F56">
        <w:t xml:space="preserve">Efektivní hodnota výstupního napětí solárního regulátoru (měniče), popř. celkové napětí k němu připojeného </w:t>
      </w:r>
      <w:proofErr w:type="spellStart"/>
      <w:r w:rsidRPr="00272F56">
        <w:t>stringu</w:t>
      </w:r>
      <w:proofErr w:type="spellEnd"/>
      <w:r w:rsidRPr="00272F56">
        <w:t>.</w:t>
      </w:r>
      <w:r>
        <w:rPr>
          <w:rStyle w:val="Znakapoznpodarou"/>
        </w:rPr>
        <w:footnoteReference w:id="177"/>
      </w:r>
      <w:r w:rsidRPr="00272F56">
        <w:t xml:space="preserve"> FV panelů, musí odpovídat jmenovité hodnotě napětí na něj napojených topných těles ohřívajících vodu v akumulačním zásobníku, s tolerancí nejvýše 15 %. Popř. bude zajištěno takové napětí FV systému, při kterém bude výkon napojených topných těles nejméně 75 % instalovaného výkonu FV panelů. </w:t>
      </w:r>
    </w:p>
    <w:p w14:paraId="0E93BB6F" w14:textId="77777777" w:rsidR="007E7F38" w:rsidRPr="00272F56" w:rsidRDefault="007E7F38" w:rsidP="007E7F38">
      <w:pPr>
        <w:pStyle w:val="Odstavecseseznamem"/>
        <w:numPr>
          <w:ilvl w:val="0"/>
          <w:numId w:val="122"/>
        </w:numPr>
        <w:spacing w:after="160" w:line="259" w:lineRule="auto"/>
        <w:contextualSpacing/>
      </w:pPr>
      <w:r w:rsidRPr="00272F56">
        <w:lastRenderedPageBreak/>
        <w:t>Na instalované zařízení bude vyhotovena revizní zpráva dle Nařízení vlády 190/2022 Sb., o vyhrazených technických elektrických zařízeních a požadavcích na zajištění jejich bezpečnosti, a to i v případech, kdy instalace nepodléhá revizi dle výše uvedeného nařízení. O této kontrole bude vypracována zpráva revizním technikem.</w:t>
      </w:r>
      <w:r>
        <w:rPr>
          <w:rStyle w:val="Znakapoznpodarou"/>
        </w:rPr>
        <w:footnoteReference w:id="178"/>
      </w:r>
      <w:r w:rsidRPr="00272F56">
        <w:t xml:space="preserve"> </w:t>
      </w:r>
    </w:p>
    <w:p w14:paraId="548A5908" w14:textId="77777777" w:rsidR="007E7F38" w:rsidRPr="00272F56" w:rsidRDefault="007E7F38" w:rsidP="007E7F38">
      <w:pPr>
        <w:pStyle w:val="Odstavecseseznamem"/>
        <w:numPr>
          <w:ilvl w:val="0"/>
          <w:numId w:val="122"/>
        </w:numPr>
        <w:spacing w:after="160" w:line="259" w:lineRule="auto"/>
        <w:contextualSpacing/>
      </w:pPr>
      <w:r w:rsidRPr="00272F56">
        <w:t>Požadovaný minimální objem zásobníkového ohřívače nebo akumulačního zásobníku pro ohřev vody je 45 litrů vody na 1 kW instalovaného výkonu panelů.</w:t>
      </w:r>
      <w:r>
        <w:rPr>
          <w:rStyle w:val="Znakapoznpodarou"/>
        </w:rPr>
        <w:footnoteReference w:id="179"/>
      </w:r>
      <w:r w:rsidRPr="00272F56">
        <w:t xml:space="preserve"> </w:t>
      </w:r>
    </w:p>
    <w:p w14:paraId="5A865B3A" w14:textId="77777777" w:rsidR="007E7F38" w:rsidRPr="00272F56" w:rsidRDefault="007E7F38" w:rsidP="007E7F38">
      <w:pPr>
        <w:rPr>
          <w:b/>
          <w:bCs/>
        </w:rPr>
      </w:pPr>
      <w:r w:rsidRPr="00272F56">
        <w:rPr>
          <w:b/>
          <w:bCs/>
        </w:rPr>
        <w:t>Tepelné čerpadlo pro ohřev vody</w:t>
      </w:r>
    </w:p>
    <w:p w14:paraId="6F66994F" w14:textId="77777777" w:rsidR="007E7F38" w:rsidRPr="00272F56" w:rsidRDefault="007E7F38" w:rsidP="007E7F38">
      <w:pPr>
        <w:pStyle w:val="Odstavecseseznamem"/>
        <w:numPr>
          <w:ilvl w:val="0"/>
          <w:numId w:val="129"/>
        </w:numPr>
        <w:spacing w:after="160" w:line="259" w:lineRule="auto"/>
        <w:contextualSpacing/>
      </w:pPr>
      <w:r w:rsidRPr="00272F56">
        <w:t xml:space="preserve">Není podporována instalace tepelných čerpadel využívající odváděný vzduch z vytápěné části domu, ve které je instalován jiný systém řízeného větrání se zpětným získáváním tepla. </w:t>
      </w:r>
    </w:p>
    <w:p w14:paraId="4E14525A" w14:textId="77777777" w:rsidR="007E7F38" w:rsidRPr="00272F56" w:rsidRDefault="007E7F38" w:rsidP="007E7F38">
      <w:pPr>
        <w:pStyle w:val="Odstavecseseznamem"/>
        <w:numPr>
          <w:ilvl w:val="0"/>
          <w:numId w:val="129"/>
        </w:numPr>
        <w:spacing w:after="160" w:line="259" w:lineRule="auto"/>
        <w:contextualSpacing/>
      </w:pPr>
      <w:r w:rsidRPr="00272F56">
        <w:t xml:space="preserve">Podporována jsou tepelná čerpadla s elektrickým pohonem, která: </w:t>
      </w:r>
    </w:p>
    <w:p w14:paraId="7CA81AD6" w14:textId="77777777" w:rsidR="007E7F38" w:rsidRPr="00272F56" w:rsidRDefault="007E7F38" w:rsidP="007E7F38">
      <w:pPr>
        <w:pStyle w:val="Odstavecseseznamem"/>
        <w:numPr>
          <w:ilvl w:val="1"/>
          <w:numId w:val="129"/>
        </w:numPr>
        <w:spacing w:after="160" w:line="259" w:lineRule="auto"/>
        <w:contextualSpacing/>
      </w:pPr>
      <w:r w:rsidRPr="00272F56">
        <w:t xml:space="preserve">splňují požadavky platné na ekodesign dle nařízení Komise (EU) č. 813/2013, kterým se provádí směrnice Evropského parlamentu a Rady 2009/125/ES, pokud jde o požadavky na ekodesign ohřívačů pro vytápění vnitřních prostorů a kombinovaných ohřívačů nebo nařízení Komise (EU) č. 814/2013. </w:t>
      </w:r>
    </w:p>
    <w:p w14:paraId="581A8345" w14:textId="77777777" w:rsidR="007E7F38" w:rsidRDefault="007E7F38" w:rsidP="007E7F38">
      <w:pPr>
        <w:pStyle w:val="Odstavecseseznamem"/>
        <w:numPr>
          <w:ilvl w:val="1"/>
          <w:numId w:val="129"/>
        </w:numPr>
        <w:spacing w:after="160" w:line="259" w:lineRule="auto"/>
        <w:contextualSpacing/>
      </w:pPr>
      <w:r w:rsidRPr="00272F56">
        <w:t xml:space="preserve">splňují požadavky pro třídu energetické účinnosti </w:t>
      </w:r>
      <w:r w:rsidRPr="002167B9">
        <w:rPr>
          <w:b/>
          <w:bCs/>
        </w:rPr>
        <w:t xml:space="preserve">A+ </w:t>
      </w:r>
      <w:r w:rsidRPr="00272F56">
        <w:t xml:space="preserve">pro zatěžovací profil L nebo vyšší a průměrné klimatické podmínky dle Nařízení komise (EU) č. 812/2013, popř. Nařízení komise (EU) č. 811/2013. Pro čerpadla s ohřevem vody v externím zásobníku, u kterých výrobce neuvádí třídu energetické účinnosti ohřevu vody, se připouští jejich použití při splnění třídy energetické účinnosti A++ pro nízkoteplotní nebo </w:t>
      </w:r>
      <w:proofErr w:type="spellStart"/>
      <w:r w:rsidRPr="00272F56">
        <w:t>středněteplotní</w:t>
      </w:r>
      <w:proofErr w:type="spellEnd"/>
      <w:r w:rsidRPr="00272F56">
        <w:t xml:space="preserve"> aplikace dle Nařízení komise (EU) č. 811/2013.</w:t>
      </w:r>
    </w:p>
    <w:p w14:paraId="0B8170C2" w14:textId="77777777" w:rsidR="00077CF5" w:rsidRDefault="00077CF5" w:rsidP="006C1B48">
      <w:pPr>
        <w:spacing w:after="160" w:line="259" w:lineRule="auto"/>
        <w:contextualSpacing/>
      </w:pPr>
    </w:p>
    <w:p w14:paraId="0B47FED3" w14:textId="77777777" w:rsidR="007E7F38" w:rsidRDefault="007E7F38" w:rsidP="007E7F38">
      <w:pPr>
        <w:pStyle w:val="Nadpis5"/>
      </w:pPr>
      <w:r>
        <w:t>Kogenerace</w:t>
      </w:r>
    </w:p>
    <w:p w14:paraId="6407925B" w14:textId="77777777" w:rsidR="007E7F38" w:rsidRDefault="007E7F38" w:rsidP="007E7F38">
      <w:pPr>
        <w:pStyle w:val="Odstavecseseznamem"/>
        <w:numPr>
          <w:ilvl w:val="0"/>
          <w:numId w:val="128"/>
        </w:numPr>
        <w:spacing w:after="160" w:line="259" w:lineRule="auto"/>
        <w:contextualSpacing/>
      </w:pPr>
      <w:r w:rsidRPr="00EB64F9">
        <w:t>Splnění vybraných předpisů</w:t>
      </w:r>
      <w:r>
        <w:t xml:space="preserve"> (EU) č. 813/2013 a (EU) č. 1189/2015</w:t>
      </w:r>
    </w:p>
    <w:p w14:paraId="1186A59F" w14:textId="77777777" w:rsidR="007E7F38" w:rsidRDefault="007E7F38" w:rsidP="007E7F38">
      <w:pPr>
        <w:pStyle w:val="Odstavecseseznamem"/>
        <w:numPr>
          <w:ilvl w:val="0"/>
          <w:numId w:val="128"/>
        </w:numPr>
        <w:spacing w:after="160" w:line="259" w:lineRule="auto"/>
        <w:contextualSpacing/>
      </w:pPr>
      <w:r w:rsidRPr="00EB64F9">
        <w:t xml:space="preserve">Podporovány jsou pouze </w:t>
      </w:r>
      <w:proofErr w:type="spellStart"/>
      <w:r w:rsidRPr="00EB64F9">
        <w:t>mikrokogenerační</w:t>
      </w:r>
      <w:proofErr w:type="spellEnd"/>
      <w:r w:rsidRPr="00EB64F9">
        <w:t xml:space="preserve"> jednotky s instalovaným elektrickým výkonem do 50 kW využívající jako palivo biomasu a z ní vyráběná paliva v kapalném či plynném stavu.</w:t>
      </w:r>
    </w:p>
    <w:p w14:paraId="1929724A" w14:textId="77777777" w:rsidR="00077CF5" w:rsidRPr="00272F56" w:rsidRDefault="00077CF5" w:rsidP="006C1B48">
      <w:pPr>
        <w:spacing w:after="160" w:line="259" w:lineRule="auto"/>
        <w:contextualSpacing/>
      </w:pPr>
    </w:p>
    <w:p w14:paraId="0E755FFF" w14:textId="77777777" w:rsidR="007E7F38" w:rsidRDefault="007E7F38" w:rsidP="007E7F38">
      <w:pPr>
        <w:pStyle w:val="Nadpis5"/>
      </w:pPr>
      <w:r>
        <w:t>Fotovoltaické systému (FVE)</w:t>
      </w:r>
    </w:p>
    <w:p w14:paraId="47F06120" w14:textId="77777777" w:rsidR="007E7F38" w:rsidRDefault="007E7F38" w:rsidP="007E7F38">
      <w:pPr>
        <w:pStyle w:val="Odstavecseseznamem"/>
        <w:numPr>
          <w:ilvl w:val="0"/>
          <w:numId w:val="123"/>
        </w:numPr>
        <w:spacing w:after="160" w:line="259" w:lineRule="auto"/>
        <w:contextualSpacing/>
      </w:pPr>
      <w:r>
        <w:t>Podpora se poskytuje na pořízení a instalaci nového fotovoltaického systému propojeného s vnitřními rozvody el. energie a distribuční soustavou, určeného pro výrobu elektrické energie s přednostním využitím vyrobené energie v objektech žadatele, připouští se dodávka nevyužité energie do distribuční soustavy nebo její využití v místním energetickém společenství, do něhož je tato budova zapojena.</w:t>
      </w:r>
    </w:p>
    <w:p w14:paraId="6BCAD7E6" w14:textId="77777777" w:rsidR="007E7F38" w:rsidRDefault="007E7F38" w:rsidP="007E7F38">
      <w:pPr>
        <w:pStyle w:val="Odstavecseseznamem"/>
        <w:numPr>
          <w:ilvl w:val="0"/>
          <w:numId w:val="123"/>
        </w:numPr>
        <w:spacing w:after="160" w:line="259" w:lineRule="auto"/>
        <w:contextualSpacing/>
      </w:pPr>
      <w:r>
        <w:lastRenderedPageBreak/>
        <w:t>Systémy bez propojení s distribuční soustavou jsou podporovány pouze v případech, kdy podporovaná nemovitost není připojena k distribuční soustavě, popř. z technických důvodů provozovatel distribuční soustavy připojení FV systému nepovolil.</w:t>
      </w:r>
    </w:p>
    <w:p w14:paraId="5FC97323" w14:textId="77777777" w:rsidR="007E7F38" w:rsidRPr="00A66618" w:rsidRDefault="007E7F38" w:rsidP="007E7F38">
      <w:pPr>
        <w:pStyle w:val="Odstavecseseznamem"/>
        <w:numPr>
          <w:ilvl w:val="0"/>
          <w:numId w:val="123"/>
        </w:numPr>
        <w:spacing w:after="160" w:line="259" w:lineRule="auto"/>
        <w:contextualSpacing/>
      </w:pPr>
      <w:r>
        <w:t>Podporu nelze poskytnout, pokud je na podporované nemovitosti instalován jiný fotovoltaický systém využívající podporu výroby elektřiny z obnovitelných zdrojů dle zákona č. 180/2005 Sb., o podpoře výroby elektřiny z obnovitelných zdrojů energie, ve znění pozdějších předpisů, (tzv. „zelený bonus“).</w:t>
      </w:r>
    </w:p>
    <w:p w14:paraId="4E52E4CC" w14:textId="77777777" w:rsidR="007E7F38" w:rsidRPr="00A66618" w:rsidRDefault="007E7F38" w:rsidP="007E7F38">
      <w:pPr>
        <w:pStyle w:val="Odstavecseseznamem"/>
        <w:numPr>
          <w:ilvl w:val="0"/>
          <w:numId w:val="123"/>
        </w:numPr>
        <w:spacing w:after="160" w:line="259" w:lineRule="auto"/>
        <w:contextualSpacing/>
      </w:pPr>
      <w:r w:rsidRPr="00A66618">
        <w:t xml:space="preserve">Minimální podporovaný instalovaný výkon je 2 </w:t>
      </w:r>
      <w:proofErr w:type="spellStart"/>
      <w:r w:rsidRPr="00A66618">
        <w:t>kWp</w:t>
      </w:r>
      <w:proofErr w:type="spellEnd"/>
      <w:r w:rsidRPr="00A66618">
        <w:t xml:space="preserve"> a připojení FV systému k el. síti je požadováno </w:t>
      </w:r>
      <w:proofErr w:type="gramStart"/>
      <w:r w:rsidRPr="00A66618">
        <w:t>3-fázové</w:t>
      </w:r>
      <w:proofErr w:type="gramEnd"/>
      <w:r w:rsidRPr="00A66618">
        <w:t xml:space="preserve">. </w:t>
      </w:r>
    </w:p>
    <w:p w14:paraId="5D205334" w14:textId="77777777" w:rsidR="007E7F38" w:rsidRPr="00A66618" w:rsidRDefault="007E7F38" w:rsidP="007E7F38">
      <w:pPr>
        <w:pStyle w:val="Odstavecseseznamem"/>
        <w:numPr>
          <w:ilvl w:val="0"/>
          <w:numId w:val="123"/>
        </w:numPr>
        <w:spacing w:after="160" w:line="259" w:lineRule="auto"/>
        <w:contextualSpacing/>
      </w:pPr>
      <w:r w:rsidRPr="00A66618">
        <w:t xml:space="preserve">Systém musí být vybaven: </w:t>
      </w:r>
    </w:p>
    <w:p w14:paraId="3C24DDB7" w14:textId="77777777" w:rsidR="007E7F38" w:rsidRPr="00A66618" w:rsidRDefault="007E7F38" w:rsidP="007E7F38">
      <w:pPr>
        <w:pStyle w:val="Odstavecseseznamem"/>
        <w:numPr>
          <w:ilvl w:val="1"/>
          <w:numId w:val="123"/>
        </w:numPr>
        <w:spacing w:after="160" w:line="259" w:lineRule="auto"/>
        <w:contextualSpacing/>
      </w:pPr>
      <w:r w:rsidRPr="00A66618">
        <w:t xml:space="preserve">hybridním měničem s Euro účinností (viz ČSN EN 50530) min. 95 % nebo </w:t>
      </w:r>
    </w:p>
    <w:p w14:paraId="6D5A7791" w14:textId="77777777" w:rsidR="007E7F38" w:rsidRPr="00A66618" w:rsidRDefault="007E7F38" w:rsidP="007E7F38">
      <w:pPr>
        <w:pStyle w:val="Odstavecseseznamem"/>
        <w:numPr>
          <w:ilvl w:val="1"/>
          <w:numId w:val="123"/>
        </w:numPr>
        <w:spacing w:after="160" w:line="259" w:lineRule="auto"/>
        <w:contextualSpacing/>
      </w:pPr>
      <w:r w:rsidRPr="00A66618">
        <w:t xml:space="preserve">v případě systémů složených z více komponent zajišťujících jednotlivé funkce samostatně, solárními měniči s Euro účinností min. 95 %, ostatní typy měničů (včetně baterie/AC) s maximální účinností min. 95 %, popř. EURO účinností min. 92 %. </w:t>
      </w:r>
    </w:p>
    <w:p w14:paraId="42A9D775" w14:textId="77777777" w:rsidR="007E7F38" w:rsidRPr="00A66618" w:rsidRDefault="007E7F38" w:rsidP="007E7F38">
      <w:pPr>
        <w:pStyle w:val="Odstavecseseznamem"/>
        <w:numPr>
          <w:ilvl w:val="0"/>
          <w:numId w:val="123"/>
        </w:numPr>
        <w:spacing w:after="160" w:line="259" w:lineRule="auto"/>
        <w:contextualSpacing/>
      </w:pPr>
      <w:r w:rsidRPr="00A66618">
        <w:t xml:space="preserve">Systém musí být vybaven sledovačem bodu maximálního výkonu (MPPT). Pokud není sledovač součástí instalovaného fotovoltaického měniče, musí být doložena jeho účinnost přizpůsobení min. 98 %. </w:t>
      </w:r>
    </w:p>
    <w:p w14:paraId="08BB7EFF" w14:textId="77777777" w:rsidR="007E7F38" w:rsidRPr="00A66618" w:rsidRDefault="007E7F38" w:rsidP="007E7F38">
      <w:pPr>
        <w:pStyle w:val="Odstavecseseznamem"/>
        <w:numPr>
          <w:ilvl w:val="0"/>
          <w:numId w:val="123"/>
        </w:numPr>
        <w:spacing w:after="160" w:line="259" w:lineRule="auto"/>
        <w:contextualSpacing/>
      </w:pPr>
      <w:r w:rsidRPr="00A66618">
        <w:t xml:space="preserve">Navrhované měniče výstupem připojené k el. síti musí vyhovovat požadavkům normy EN 50549-1:2019 (požadavky na paralelně připojené výrobny s distribučními sítěmi). </w:t>
      </w:r>
    </w:p>
    <w:p w14:paraId="1C03A7CC" w14:textId="77777777" w:rsidR="007E7F38" w:rsidRPr="00A66618" w:rsidRDefault="007E7F38" w:rsidP="007E7F38">
      <w:pPr>
        <w:pStyle w:val="Odstavecseseznamem"/>
        <w:numPr>
          <w:ilvl w:val="0"/>
          <w:numId w:val="123"/>
        </w:numPr>
        <w:spacing w:after="160" w:line="259" w:lineRule="auto"/>
        <w:contextualSpacing/>
      </w:pPr>
      <w:r w:rsidRPr="00A66618">
        <w:t>Minimální účinnost (vztažena k celkové ploše fotovoltaického modulu) při standardních testovacích podmínkách STC</w:t>
      </w:r>
      <w:r>
        <w:rPr>
          <w:rStyle w:val="Znakapoznpodarou"/>
        </w:rPr>
        <w:footnoteReference w:id="180"/>
      </w:r>
      <w:r w:rsidRPr="00A66618">
        <w:t xml:space="preserve"> je: </w:t>
      </w:r>
    </w:p>
    <w:p w14:paraId="53490890" w14:textId="77777777" w:rsidR="007E7F38" w:rsidRPr="00A66618" w:rsidRDefault="007E7F38" w:rsidP="007E7F38">
      <w:pPr>
        <w:pStyle w:val="Odstavecseseznamem"/>
        <w:numPr>
          <w:ilvl w:val="1"/>
          <w:numId w:val="123"/>
        </w:numPr>
        <w:spacing w:after="160" w:line="259" w:lineRule="auto"/>
        <w:contextualSpacing/>
      </w:pPr>
      <w:r w:rsidRPr="00A66618">
        <w:t xml:space="preserve">18 % pro panely a moduly složené z monokrystalických a polykrystalických článků, </w:t>
      </w:r>
    </w:p>
    <w:p w14:paraId="33DA52C8" w14:textId="77777777" w:rsidR="007E7F38" w:rsidRPr="00A66618" w:rsidRDefault="007E7F38" w:rsidP="007E7F38">
      <w:pPr>
        <w:pStyle w:val="Odstavecseseznamem"/>
        <w:numPr>
          <w:ilvl w:val="1"/>
          <w:numId w:val="123"/>
        </w:numPr>
        <w:spacing w:after="160" w:line="259" w:lineRule="auto"/>
        <w:contextualSpacing/>
      </w:pPr>
      <w:r w:rsidRPr="00A66618">
        <w:t xml:space="preserve">12 % pro panely a moduly složené z tenkovrstvých amorfních článků, </w:t>
      </w:r>
    </w:p>
    <w:p w14:paraId="59A68DA9" w14:textId="77777777" w:rsidR="007E7F38" w:rsidRPr="00A66618" w:rsidRDefault="007E7F38" w:rsidP="007E7F38">
      <w:pPr>
        <w:pStyle w:val="Odstavecseseznamem"/>
        <w:numPr>
          <w:ilvl w:val="1"/>
          <w:numId w:val="123"/>
        </w:numPr>
        <w:spacing w:after="160" w:line="259" w:lineRule="auto"/>
        <w:contextualSpacing/>
      </w:pPr>
      <w:r w:rsidRPr="00A66618">
        <w:t xml:space="preserve">bez požadavku pro fotovoltaické střešní krytiny, fasádní a okenní systémy a jiné než plošné kolektory (např. trubicové). </w:t>
      </w:r>
    </w:p>
    <w:p w14:paraId="65955F6A" w14:textId="77777777" w:rsidR="007E7F38" w:rsidRPr="00A66618" w:rsidRDefault="007E7F38" w:rsidP="007E7F38">
      <w:pPr>
        <w:pStyle w:val="Odstavecseseznamem"/>
        <w:numPr>
          <w:ilvl w:val="0"/>
          <w:numId w:val="123"/>
        </w:numPr>
        <w:spacing w:after="160" w:line="259" w:lineRule="auto"/>
        <w:contextualSpacing/>
      </w:pPr>
      <w:r w:rsidRPr="00A66618">
        <w:t xml:space="preserve">Pro účely porovnání s podmínkami programu je uvažována jmenovitá kapacita baterií deklarovaná výrobcem (neuvažuje se snížení vlivem vybíjecích cyklů) stanovená při vybíjení konstantním proudem po dobu 10 hodin nebo kratší. </w:t>
      </w:r>
    </w:p>
    <w:p w14:paraId="2E7A493D" w14:textId="77777777" w:rsidR="007E7F38" w:rsidRPr="00A66618" w:rsidRDefault="007E7F38" w:rsidP="007E7F38">
      <w:pPr>
        <w:pStyle w:val="Odstavecseseznamem"/>
        <w:numPr>
          <w:ilvl w:val="0"/>
          <w:numId w:val="123"/>
        </w:numPr>
        <w:spacing w:after="160" w:line="259" w:lineRule="auto"/>
        <w:contextualSpacing/>
      </w:pPr>
      <w:r w:rsidRPr="00A66618">
        <w:t xml:space="preserve">Povinnou součástí podporovaného systému je nový bateriový systém (s el. akumulátory) o minimální kapacitě vyjádřené v kWh stejné jako podporovaný výkon vyjádřený v </w:t>
      </w:r>
      <w:proofErr w:type="spellStart"/>
      <w:r w:rsidRPr="00A66618">
        <w:t>kWp</w:t>
      </w:r>
      <w:proofErr w:type="spellEnd"/>
      <w:r w:rsidRPr="00A66618">
        <w:t xml:space="preserve">. Kapacita jiných typů akumulátorů než typů využívajících lithium, se nezapočítává. </w:t>
      </w:r>
    </w:p>
    <w:p w14:paraId="245879EF" w14:textId="77777777" w:rsidR="007E7F38" w:rsidRPr="00A66618" w:rsidRDefault="007E7F38" w:rsidP="007E7F38">
      <w:pPr>
        <w:pStyle w:val="Odstavecseseznamem"/>
        <w:numPr>
          <w:ilvl w:val="0"/>
          <w:numId w:val="123"/>
        </w:numPr>
        <w:spacing w:after="160" w:line="259" w:lineRule="auto"/>
        <w:contextualSpacing/>
      </w:pPr>
      <w:r w:rsidRPr="00A66618">
        <w:t xml:space="preserve">Systém musí být umístěn na podporované nemovitosti, jiné stavbě plnící doplňkovou funkci k této nemovitosti, či jiné speciální konstrukci umístěné na pozemku náležícím k podporované nemovitosti, která je uzpůsobená tak, aby nebyl omezen růst vegetace a její údržba. </w:t>
      </w:r>
    </w:p>
    <w:p w14:paraId="714A9851" w14:textId="77777777" w:rsidR="007E7F38" w:rsidRDefault="007E7F38" w:rsidP="007E7F38">
      <w:pPr>
        <w:pStyle w:val="Odstavecseseznamem"/>
        <w:numPr>
          <w:ilvl w:val="0"/>
          <w:numId w:val="123"/>
        </w:numPr>
        <w:spacing w:after="160" w:line="259" w:lineRule="auto"/>
        <w:contextualSpacing/>
      </w:pPr>
      <w:r w:rsidRPr="00A66618">
        <w:t xml:space="preserve">Vyšší maximální podpora může být poskytnuta v případě současného splnění podmínek: </w:t>
      </w:r>
    </w:p>
    <w:p w14:paraId="55C25B1A" w14:textId="77777777" w:rsidR="007E7F38" w:rsidRPr="00A66618" w:rsidRDefault="007E7F38" w:rsidP="007E7F38">
      <w:pPr>
        <w:pStyle w:val="Odstavecseseznamem"/>
        <w:numPr>
          <w:ilvl w:val="1"/>
          <w:numId w:val="123"/>
        </w:numPr>
        <w:spacing w:after="160" w:line="259" w:lineRule="auto"/>
        <w:contextualSpacing/>
      </w:pPr>
      <w:r w:rsidRPr="00A66618">
        <w:lastRenderedPageBreak/>
        <w:t xml:space="preserve">Podmínka </w:t>
      </w:r>
      <w:r w:rsidRPr="00A66618">
        <w:rPr>
          <w:b/>
          <w:bCs/>
        </w:rPr>
        <w:t xml:space="preserve">zapojení systému do komunitní energetiky </w:t>
      </w:r>
      <w:r w:rsidRPr="00A66618">
        <w:t>je splněna, pokud je výrobní EAN podporovaného fotovoltaického systému registrován v Elektroenergetickém datovém centru (EDC) jako dodavatelský EAN (</w:t>
      </w:r>
      <w:proofErr w:type="spellStart"/>
      <w:r w:rsidRPr="00A66618">
        <w:t>EANd</w:t>
      </w:r>
      <w:proofErr w:type="spellEnd"/>
      <w:r w:rsidRPr="00A66618">
        <w:t xml:space="preserve">) ve skupině sdílení a vykazuje každoročně nenulové množství elektřiny sdílené do odběrného místa, které je připojeno v jiném místě připojení než výrobna, nebo je podporovaný systém zapojen prostřednictvím </w:t>
      </w:r>
      <w:proofErr w:type="spellStart"/>
      <w:r w:rsidRPr="00A66618">
        <w:t>agregátora</w:t>
      </w:r>
      <w:proofErr w:type="spellEnd"/>
      <w:r w:rsidRPr="00A66618">
        <w:t xml:space="preserve"> do poskytování flexibility</w:t>
      </w:r>
      <w:r>
        <w:rPr>
          <w:rStyle w:val="Znakapoznpodarou"/>
        </w:rPr>
        <w:footnoteReference w:id="181"/>
      </w:r>
      <w:r w:rsidRPr="00A66618">
        <w:t xml:space="preserve">, a to po celou dobu udržitelnosti projektu. </w:t>
      </w:r>
    </w:p>
    <w:p w14:paraId="1C2DE211" w14:textId="77777777" w:rsidR="007E7F38" w:rsidRDefault="007E7F38" w:rsidP="007E7F38">
      <w:pPr>
        <w:pStyle w:val="Odstavecseseznamem"/>
        <w:numPr>
          <w:ilvl w:val="1"/>
          <w:numId w:val="123"/>
        </w:numPr>
        <w:spacing w:after="160" w:line="259" w:lineRule="auto"/>
        <w:contextualSpacing/>
      </w:pPr>
      <w:r w:rsidRPr="00A66618">
        <w:t xml:space="preserve">II. Systém </w:t>
      </w:r>
      <w:r w:rsidRPr="00A66618">
        <w:rPr>
          <w:b/>
          <w:bCs/>
        </w:rPr>
        <w:t xml:space="preserve">chytrého řízení </w:t>
      </w:r>
      <w:r w:rsidRPr="00A66618">
        <w:t>musí zajišťovat aktivní řízení toků energie pro technologie instalované v podporované nemovitosti (povinně bateriové úložiště a dále elektrických systémů vytápění a ohřevu vody, klimatizace, dobíjecí stanice/</w:t>
      </w:r>
      <w:proofErr w:type="spellStart"/>
      <w:r w:rsidRPr="00A66618">
        <w:t>wallboxu</w:t>
      </w:r>
      <w:proofErr w:type="spellEnd"/>
      <w:r w:rsidRPr="00A66618">
        <w:t xml:space="preserve"> jsou-li instalovány a aktivní řízení umožňují) a současně je připraven pro zapojení do systému komunitní energetiky, popř. služeb poskytování flexibility, tj. umožňuje automatizované vzdálené řízení zdroje, včetně omezení přetoků do distribuční soustavy (možnost řízení pouze signálem HDO není postačující). </w:t>
      </w:r>
    </w:p>
    <w:p w14:paraId="2A922108" w14:textId="77777777" w:rsidR="00077CF5" w:rsidRPr="00A66618" w:rsidRDefault="00077CF5" w:rsidP="006C1B48">
      <w:pPr>
        <w:spacing w:after="160" w:line="259" w:lineRule="auto"/>
        <w:contextualSpacing/>
      </w:pPr>
    </w:p>
    <w:p w14:paraId="3F243D48" w14:textId="77777777" w:rsidR="007E7F38" w:rsidRDefault="007E7F38" w:rsidP="007E7F38">
      <w:pPr>
        <w:pStyle w:val="Nadpis5"/>
      </w:pPr>
      <w:r>
        <w:t>Využití tepla z odpadní vody</w:t>
      </w:r>
    </w:p>
    <w:p w14:paraId="6C4FD409" w14:textId="77777777" w:rsidR="007E7F38" w:rsidRDefault="007E7F38" w:rsidP="007E7F38">
      <w:pPr>
        <w:pStyle w:val="Odstavecseseznamem"/>
        <w:numPr>
          <w:ilvl w:val="0"/>
          <w:numId w:val="125"/>
        </w:numPr>
        <w:spacing w:after="160" w:line="259" w:lineRule="auto"/>
        <w:contextualSpacing/>
      </w:pPr>
      <w:r>
        <w:t xml:space="preserve">V případě použití zařízení bez tepelného čerpadla musí být využito zařízení s výrobcem deklarovanou účinností zpětného získávání tepla minimálně 40 %. Tato podmínka se považuje za splněnou v případě zařízení s certifikací </w:t>
      </w:r>
      <w:proofErr w:type="spellStart"/>
      <w:r>
        <w:t>iPAH</w:t>
      </w:r>
      <w:proofErr w:type="spellEnd"/>
      <w:r>
        <w:t xml:space="preserve"> (International </w:t>
      </w:r>
      <w:proofErr w:type="spellStart"/>
      <w:r>
        <w:t>Passive</w:t>
      </w:r>
      <w:proofErr w:type="spellEnd"/>
      <w:r>
        <w:t xml:space="preserve"> House </w:t>
      </w:r>
      <w:proofErr w:type="spellStart"/>
      <w:r>
        <w:t>Association</w:t>
      </w:r>
      <w:proofErr w:type="spellEnd"/>
      <w:r>
        <w:t>). Požadovaná účinnost musí být splněna při níže uvedených okrajových podmínkách měření:</w:t>
      </w:r>
    </w:p>
    <w:p w14:paraId="4D865827" w14:textId="77777777" w:rsidR="007E7F38" w:rsidRDefault="007E7F38" w:rsidP="007E7F38">
      <w:pPr>
        <w:pStyle w:val="Odstavecseseznamem"/>
        <w:numPr>
          <w:ilvl w:val="1"/>
          <w:numId w:val="126"/>
        </w:numPr>
        <w:spacing w:after="160" w:line="259" w:lineRule="auto"/>
        <w:contextualSpacing/>
      </w:pPr>
      <w:r>
        <w:t>objemový průtok min. 8 litrů/minutu,</w:t>
      </w:r>
    </w:p>
    <w:p w14:paraId="35F0A5D0" w14:textId="77777777" w:rsidR="007E7F38" w:rsidRDefault="007E7F38" w:rsidP="007E7F38">
      <w:pPr>
        <w:pStyle w:val="Odstavecseseznamem"/>
        <w:numPr>
          <w:ilvl w:val="1"/>
          <w:numId w:val="126"/>
        </w:numPr>
        <w:spacing w:after="160" w:line="259" w:lineRule="auto"/>
        <w:contextualSpacing/>
      </w:pPr>
      <w:r>
        <w:t>teplota studené vody min. 8 °C,</w:t>
      </w:r>
    </w:p>
    <w:p w14:paraId="6C15E7A3" w14:textId="77777777" w:rsidR="007E7F38" w:rsidRDefault="007E7F38" w:rsidP="007E7F38">
      <w:pPr>
        <w:pStyle w:val="Odstavecseseznamem"/>
        <w:numPr>
          <w:ilvl w:val="1"/>
          <w:numId w:val="126"/>
        </w:numPr>
        <w:spacing w:after="160" w:line="259" w:lineRule="auto"/>
        <w:contextualSpacing/>
      </w:pPr>
      <w:r>
        <w:t>teplota okolí v rozsahu 18–25 °C,</w:t>
      </w:r>
    </w:p>
    <w:p w14:paraId="46FFB525" w14:textId="77777777" w:rsidR="007E7F38" w:rsidRDefault="007E7F38" w:rsidP="007E7F38">
      <w:pPr>
        <w:pStyle w:val="Odstavecseseznamem"/>
        <w:numPr>
          <w:ilvl w:val="1"/>
          <w:numId w:val="126"/>
        </w:numPr>
        <w:spacing w:after="160" w:line="259" w:lineRule="auto"/>
        <w:contextualSpacing/>
      </w:pPr>
      <w:r>
        <w:t>teplota odpadní vody (z níž se odebírá teplo) max. 39 °C.</w:t>
      </w:r>
    </w:p>
    <w:p w14:paraId="31DCA6D1" w14:textId="77777777" w:rsidR="00077CF5" w:rsidRDefault="00077CF5" w:rsidP="00077CF5">
      <w:pPr>
        <w:spacing w:after="160" w:line="259" w:lineRule="auto"/>
        <w:contextualSpacing/>
      </w:pPr>
    </w:p>
    <w:p w14:paraId="0557BDBD" w14:textId="77777777" w:rsidR="00077CF5" w:rsidRDefault="00077CF5" w:rsidP="00077CF5">
      <w:pPr>
        <w:pStyle w:val="Nadpis5"/>
      </w:pPr>
      <w:r>
        <w:t>Větrání</w:t>
      </w:r>
    </w:p>
    <w:p w14:paraId="1216AA0B" w14:textId="77777777" w:rsidR="00077CF5" w:rsidRDefault="00077CF5" w:rsidP="00077CF5">
      <w:pPr>
        <w:pStyle w:val="Odstavecseseznamem"/>
        <w:numPr>
          <w:ilvl w:val="0"/>
          <w:numId w:val="124"/>
        </w:numPr>
        <w:spacing w:after="160" w:line="259" w:lineRule="auto"/>
        <w:contextualSpacing/>
      </w:pPr>
      <w:r>
        <w:t>Větrací systém musí být navržen dle platných norem a musí zajišťovat řízené větrání všech obytných místností v podporované nemovitosti nebo ve vymezené bytové jednotce této stavby.</w:t>
      </w:r>
    </w:p>
    <w:p w14:paraId="0A862C2F" w14:textId="77777777" w:rsidR="00077CF5" w:rsidRDefault="00077CF5" w:rsidP="00077CF5">
      <w:pPr>
        <w:pStyle w:val="Odstavecseseznamem"/>
        <w:numPr>
          <w:ilvl w:val="0"/>
          <w:numId w:val="124"/>
        </w:numPr>
        <w:spacing w:after="160" w:line="259" w:lineRule="auto"/>
        <w:contextualSpacing/>
      </w:pPr>
      <w:r w:rsidRPr="00B24E65">
        <w:t xml:space="preserve">Minimální požadovaná účinnost zpětného zisku tepla je 75 % (deklarovaná účinnost VZT jednotky při návrhovém průtoku vzduchu, stanovená dle EN 308, popř. EN 13141-7, EN 13141-8 nebo certifikace </w:t>
      </w:r>
      <w:proofErr w:type="gramStart"/>
      <w:r w:rsidRPr="00B24E65">
        <w:t xml:space="preserve">PHI - </w:t>
      </w:r>
      <w:proofErr w:type="spellStart"/>
      <w:r w:rsidRPr="00B24E65">
        <w:t>Passive</w:t>
      </w:r>
      <w:proofErr w:type="spellEnd"/>
      <w:proofErr w:type="gramEnd"/>
      <w:r w:rsidRPr="00B24E65">
        <w:t xml:space="preserve"> House Institute). Pro jednotky bez výměníku zpětného získávání tepla, využívající tepelné čerpadlo (tzv. „aktivní rekuperace“) není požadavek na účinnost stanoven. </w:t>
      </w:r>
    </w:p>
    <w:p w14:paraId="5859C5CA" w14:textId="77777777" w:rsidR="00077CF5" w:rsidRDefault="00077CF5" w:rsidP="00077CF5">
      <w:pPr>
        <w:pStyle w:val="Odstavecseseznamem"/>
        <w:numPr>
          <w:ilvl w:val="0"/>
          <w:numId w:val="124"/>
        </w:numPr>
        <w:spacing w:after="160" w:line="259" w:lineRule="auto"/>
        <w:contextualSpacing/>
      </w:pPr>
      <w:r>
        <w:lastRenderedPageBreak/>
        <w:t>V případě jednotek, u nichž je ke zpětnému získávání tepla využíváno pouze tepelné čerpadlo (jednotky bez výměníku pro zpětné získávání tepla, tzv. “aktivní rekuperace”), jsou podporovány pouze systémy využívající získané teplo k ohřevu teplé vody.</w:t>
      </w:r>
    </w:p>
    <w:p w14:paraId="0705B180" w14:textId="77777777" w:rsidR="00077CF5" w:rsidRDefault="00077CF5" w:rsidP="00077CF5">
      <w:pPr>
        <w:pStyle w:val="Odstavecseseznamem"/>
        <w:numPr>
          <w:ilvl w:val="0"/>
          <w:numId w:val="124"/>
        </w:numPr>
        <w:spacing w:after="160" w:line="259" w:lineRule="auto"/>
        <w:contextualSpacing/>
      </w:pPr>
      <w:r>
        <w:t>Podmínkou pro získání podpory v této podoblasti podpory je dosažení průvzdušnosti obálky budovy n50 ≤ 2,5 [h-1].</w:t>
      </w:r>
    </w:p>
    <w:p w14:paraId="00772A2F" w14:textId="77777777" w:rsidR="00077CF5" w:rsidRDefault="00077CF5" w:rsidP="00077CF5">
      <w:pPr>
        <w:pStyle w:val="Odstavecseseznamem"/>
        <w:numPr>
          <w:ilvl w:val="0"/>
          <w:numId w:val="124"/>
        </w:numPr>
        <w:spacing w:after="160" w:line="259" w:lineRule="auto"/>
        <w:contextualSpacing/>
      </w:pPr>
      <w:r>
        <w:t>Splnění požadavku na maximální průvzdušnost obálky budovy n50 musí být doloženo protokolem o měření průvzdušnosti obálky budovy zpracovaným v souladu s metodickým pokynem k upřesnění pravidel pro měření průvzdušnosti obálky budovy.</w:t>
      </w:r>
    </w:p>
    <w:p w14:paraId="33129464" w14:textId="77777777" w:rsidR="00077CF5" w:rsidRPr="00A66618" w:rsidRDefault="00077CF5" w:rsidP="006C1B48">
      <w:pPr>
        <w:spacing w:after="160" w:line="259" w:lineRule="auto"/>
        <w:contextualSpacing/>
      </w:pPr>
    </w:p>
    <w:p w14:paraId="769A06C4" w14:textId="77777777" w:rsidR="00077CF5" w:rsidRDefault="00077CF5" w:rsidP="00077CF5">
      <w:pPr>
        <w:pStyle w:val="Nadpis5"/>
      </w:pPr>
      <w:r>
        <w:t>Zelené střechy</w:t>
      </w:r>
    </w:p>
    <w:p w14:paraId="0E02882A" w14:textId="77777777" w:rsidR="00077CF5" w:rsidRPr="00D45983" w:rsidRDefault="00077CF5" w:rsidP="00077CF5">
      <w:pPr>
        <w:pStyle w:val="Odstavecseseznamem"/>
        <w:numPr>
          <w:ilvl w:val="0"/>
          <w:numId w:val="158"/>
        </w:numPr>
        <w:spacing w:after="0" w:line="240" w:lineRule="auto"/>
        <w:contextualSpacing/>
      </w:pPr>
      <w:r w:rsidRPr="00D45983">
        <w:t xml:space="preserve">Zelené střechy musí být navrženy v souladu s dokumentem </w:t>
      </w:r>
      <w:hyperlink r:id="rId146" w:history="1">
        <w:r w:rsidRPr="00D45983">
          <w:rPr>
            <w:rStyle w:val="Hypertextovodkaz"/>
          </w:rPr>
          <w:t>Standardy pro navrhování, provádění a údržbu – Vegetační souvrství zelených střech</w:t>
        </w:r>
      </w:hyperlink>
      <w:r w:rsidRPr="00D45983">
        <w:t>.</w:t>
      </w:r>
    </w:p>
    <w:p w14:paraId="122E751F" w14:textId="77777777" w:rsidR="00077CF5" w:rsidRDefault="00077CF5" w:rsidP="00077CF5">
      <w:pPr>
        <w:pStyle w:val="Odstavecseseznamem"/>
        <w:numPr>
          <w:ilvl w:val="0"/>
          <w:numId w:val="158"/>
        </w:numPr>
        <w:spacing w:after="0" w:line="240" w:lineRule="auto"/>
        <w:contextualSpacing/>
      </w:pPr>
      <w:r w:rsidRPr="00D45983">
        <w:t xml:space="preserve">Žadatel zodpovídá za řádnou následnou péči a údržbu zelené střechy. Vegetace v dobré kondici musí být po celou dobu udržitelnosti minimálně na dvou třetinách plochy zelené střechy. </w:t>
      </w:r>
    </w:p>
    <w:p w14:paraId="1B4FF324" w14:textId="77777777" w:rsidR="00077CF5" w:rsidRPr="00CF7AE4" w:rsidRDefault="00077CF5" w:rsidP="00077CF5">
      <w:pPr>
        <w:pStyle w:val="Odstavecseseznamem"/>
        <w:numPr>
          <w:ilvl w:val="0"/>
          <w:numId w:val="158"/>
        </w:numPr>
        <w:spacing w:after="0" w:line="240" w:lineRule="auto"/>
      </w:pPr>
      <w:r w:rsidRPr="00CF7AE4">
        <w:t>V případě zelených střech musí být součinitel odtoku max. 0,55 u plochých extenzivních střech</w:t>
      </w:r>
      <w:r w:rsidRPr="00CF7AE4">
        <w:rPr>
          <w:vertAlign w:val="superscript"/>
        </w:rPr>
        <w:footnoteReference w:id="182"/>
      </w:r>
      <w:r w:rsidRPr="00CF7AE4">
        <w:t>, max. 0,1 u plochých intenzivních střech</w:t>
      </w:r>
      <w:r w:rsidRPr="00CF7AE4">
        <w:rPr>
          <w:vertAlign w:val="superscript"/>
        </w:rPr>
        <w:footnoteReference w:id="183"/>
      </w:r>
      <w:r w:rsidRPr="00CF7AE4">
        <w:t xml:space="preserve"> a max. 0,7 u střech se sklonem nad 12°.</w:t>
      </w:r>
    </w:p>
    <w:p w14:paraId="652F6D7D" w14:textId="77777777" w:rsidR="00077CF5" w:rsidRPr="00CF7AE4" w:rsidRDefault="00077CF5" w:rsidP="00077CF5">
      <w:pPr>
        <w:pStyle w:val="Odstavecseseznamem"/>
        <w:numPr>
          <w:ilvl w:val="0"/>
          <w:numId w:val="158"/>
        </w:numPr>
        <w:spacing w:after="0" w:line="240" w:lineRule="auto"/>
      </w:pPr>
      <w:r w:rsidRPr="00CF7AE4">
        <w:t>Plocha zelené střechy je minimálně 10 m</w:t>
      </w:r>
      <w:r w:rsidRPr="00CF7AE4">
        <w:rPr>
          <w:vertAlign w:val="superscript"/>
        </w:rPr>
        <w:t>2</w:t>
      </w:r>
      <w:r w:rsidRPr="00CF7AE4">
        <w:t xml:space="preserve"> (v případě více nenavazujících ploch musí každá z ploch splňovat tento limit). </w:t>
      </w:r>
    </w:p>
    <w:p w14:paraId="67884433" w14:textId="77777777" w:rsidR="00077CF5" w:rsidRPr="00CF7AE4" w:rsidRDefault="00077CF5" w:rsidP="00077CF5">
      <w:pPr>
        <w:pStyle w:val="Odstavecseseznamem"/>
        <w:numPr>
          <w:ilvl w:val="0"/>
          <w:numId w:val="158"/>
        </w:numPr>
        <w:spacing w:after="0" w:line="240" w:lineRule="auto"/>
      </w:pPr>
      <w:r w:rsidRPr="00CF7AE4">
        <w:t>Součástí skladby zelené střechy je instalace geotextílie jako ochranné vrstvy hydroizolačního souvrství o plošné hmotnosti 500 g·m</w:t>
      </w:r>
      <w:r w:rsidRPr="00CF7AE4">
        <w:rPr>
          <w:vertAlign w:val="superscript"/>
        </w:rPr>
        <w:t>-2</w:t>
      </w:r>
      <w:r w:rsidRPr="00CF7AE4">
        <w:t xml:space="preserve"> a více.</w:t>
      </w:r>
    </w:p>
    <w:p w14:paraId="71AD5907" w14:textId="77777777" w:rsidR="00077CF5" w:rsidRPr="00CF7AE4" w:rsidRDefault="00077CF5" w:rsidP="00077CF5">
      <w:pPr>
        <w:pStyle w:val="Odstavecseseznamem"/>
        <w:numPr>
          <w:ilvl w:val="0"/>
          <w:numId w:val="158"/>
        </w:numPr>
        <w:spacing w:after="0" w:line="240" w:lineRule="auto"/>
      </w:pPr>
      <w:r w:rsidRPr="00CF7AE4">
        <w:t>Plocha zeleně musí tvořit minimálně 80 % z celkové plochy zelené střechy.</w:t>
      </w:r>
    </w:p>
    <w:p w14:paraId="223D4F17" w14:textId="77777777" w:rsidR="00077CF5" w:rsidRDefault="00077CF5" w:rsidP="00077CF5">
      <w:pPr>
        <w:pStyle w:val="Odstavecseseznamem"/>
        <w:numPr>
          <w:ilvl w:val="0"/>
          <w:numId w:val="158"/>
        </w:numPr>
        <w:spacing w:after="0" w:line="240" w:lineRule="auto"/>
        <w:contextualSpacing/>
      </w:pPr>
      <w:r w:rsidRPr="00CF7AE4">
        <w:t>K případné závlaze zelených střech musí být primárně využívána srážková voda. Doplňkově může být k závlaze využita voda z vodovodního řadu či jiných zdrojů, a to pouze v případě, kdy není technicky možné a ekonomicky efektivní zajistit pro závlahu dostatečné množství srážkové vody. Pozn.: Podrobný popis a zdůvodnění technických a ekonomických limitů, které vyvolávají potřebu využití vody z vodovodního řadu či jiných zdrojů, musí být uvedeny přímo v projektové dokumentaci zpracované osobou s příslušnou autorizací. Absence podrobného popisu a zdůvodnění znamená nesplnění tohoto kritéria.</w:t>
      </w:r>
    </w:p>
    <w:p w14:paraId="63A699FE" w14:textId="77777777" w:rsidR="00077CF5" w:rsidRPr="00D45983" w:rsidRDefault="00077CF5" w:rsidP="006C1B48">
      <w:pPr>
        <w:spacing w:after="0" w:line="240" w:lineRule="auto"/>
        <w:contextualSpacing/>
      </w:pPr>
    </w:p>
    <w:p w14:paraId="250FEE6A" w14:textId="77777777" w:rsidR="00077CF5" w:rsidRDefault="00077CF5" w:rsidP="00077CF5">
      <w:pPr>
        <w:pStyle w:val="Nadpis5"/>
      </w:pPr>
      <w:r>
        <w:lastRenderedPageBreak/>
        <w:t>S</w:t>
      </w:r>
      <w:r w:rsidRPr="00451D6D">
        <w:t xml:space="preserve">ystémy hospodaření s dešťovou vodou </w:t>
      </w:r>
    </w:p>
    <w:p w14:paraId="6F3A0FCD" w14:textId="77777777" w:rsidR="00077CF5" w:rsidRDefault="00077CF5" w:rsidP="00077CF5">
      <w:pPr>
        <w:pStyle w:val="Odstavecseseznamem"/>
        <w:numPr>
          <w:ilvl w:val="0"/>
          <w:numId w:val="125"/>
        </w:numPr>
        <w:spacing w:after="160" w:line="259" w:lineRule="auto"/>
        <w:contextualSpacing/>
      </w:pPr>
      <w:r>
        <w:t>V případě podporovaných systémů pro hospodaření se srážkovou vodou musí systém zajišťovat odvodnění plochy odpovídající min. 50 % půdorysného průmětu střechy podporované nemovitosti. Systém může zajišťovat také odvodnění dalších vhodných ploch (např. terasy, střechy altánů, garáží, stodol atd.) s výjimkou komunikací a parkovacích ploch pro motorová vozidla.</w:t>
      </w:r>
    </w:p>
    <w:p w14:paraId="217D2DA0" w14:textId="77777777" w:rsidR="00077CF5" w:rsidRPr="00D45983" w:rsidRDefault="00077CF5" w:rsidP="00077CF5">
      <w:pPr>
        <w:pStyle w:val="Odstavecseseznamem"/>
        <w:numPr>
          <w:ilvl w:val="0"/>
          <w:numId w:val="125"/>
        </w:numPr>
        <w:spacing w:after="160" w:line="259" w:lineRule="auto"/>
        <w:contextualSpacing/>
      </w:pPr>
      <w:r>
        <w:t>Akumulační nádrže musí být umístěny a zabezpečeny tak, aby byla zajištěna vyhovující kvalita akumulované vody bez rizika poškození systému mrazem. Akumulovaná voda musí být chráněna před účinky denního světla a prudkých výkyvů teplot. Doporučuje se instalovat akumulační nádrže pod úrovní terénu nebo v určených technických prostorách staveb.</w:t>
      </w:r>
    </w:p>
    <w:p w14:paraId="5A4C1A3B" w14:textId="77777777" w:rsidR="00077CF5" w:rsidRDefault="00077CF5" w:rsidP="00077CF5">
      <w:pPr>
        <w:pStyle w:val="Odstavecseseznamem"/>
        <w:numPr>
          <w:ilvl w:val="0"/>
          <w:numId w:val="125"/>
        </w:numPr>
        <w:spacing w:after="160" w:line="259" w:lineRule="auto"/>
        <w:contextualSpacing/>
      </w:pPr>
      <w:r>
        <w:t>Jako akumulační nádrž lze využít také stávající vyčištěné a těsné podzemní jímky (např. žumpy, které původně sloužily pro zachytávání odpadní vody) či speciálně upravená tělesa studní.</w:t>
      </w:r>
    </w:p>
    <w:p w14:paraId="349731BC" w14:textId="77777777" w:rsidR="00077CF5" w:rsidRDefault="00077CF5" w:rsidP="00077CF5">
      <w:pPr>
        <w:pStyle w:val="Odstavecseseznamem"/>
        <w:numPr>
          <w:ilvl w:val="0"/>
          <w:numId w:val="125"/>
        </w:numPr>
        <w:spacing w:after="160" w:line="259" w:lineRule="auto"/>
        <w:contextualSpacing/>
      </w:pPr>
      <w:r>
        <w:t xml:space="preserve">V případě kombinace opatření </w:t>
      </w:r>
      <w:r w:rsidRPr="00451D6D">
        <w:t>pro využívání dešťové a odpadní vody jako užitkové</w:t>
      </w:r>
      <w:r>
        <w:t xml:space="preserve"> v případě novostaveb je požadováno, aby na tento systém byly napojeny všechny toalety v obytné části domu.</w:t>
      </w:r>
    </w:p>
    <w:p w14:paraId="275BCD25" w14:textId="77777777" w:rsidR="00077CF5" w:rsidRDefault="00077CF5" w:rsidP="00077CF5">
      <w:pPr>
        <w:pStyle w:val="Odstavecseseznamem"/>
        <w:numPr>
          <w:ilvl w:val="0"/>
          <w:numId w:val="125"/>
        </w:numPr>
        <w:spacing w:after="160" w:line="259" w:lineRule="auto"/>
        <w:contextualSpacing/>
      </w:pPr>
      <w:r>
        <w:t>Minimální požadovaný objem akumulační nádrže na dešťovou vodu je 2 m</w:t>
      </w:r>
      <w:r w:rsidRPr="00451D6D">
        <w:rPr>
          <w:vertAlign w:val="superscript"/>
        </w:rPr>
        <w:t>3</w:t>
      </w:r>
      <w:r>
        <w:t>.</w:t>
      </w:r>
    </w:p>
    <w:p w14:paraId="59AAD9F7" w14:textId="77777777" w:rsidR="00077CF5" w:rsidRDefault="00077CF5" w:rsidP="006C1B48">
      <w:pPr>
        <w:spacing w:after="160" w:line="259" w:lineRule="auto"/>
        <w:contextualSpacing/>
      </w:pPr>
    </w:p>
    <w:p w14:paraId="07D9C1BD" w14:textId="77777777" w:rsidR="00077CF5" w:rsidRDefault="00077CF5" w:rsidP="00077CF5">
      <w:pPr>
        <w:pStyle w:val="Nadpis5"/>
      </w:pPr>
      <w:r>
        <w:t>V</w:t>
      </w:r>
      <w:r w:rsidRPr="00451D6D">
        <w:t>yužívání dešťové a odpadní vody jako užitkové</w:t>
      </w:r>
    </w:p>
    <w:p w14:paraId="47EA131A" w14:textId="77777777" w:rsidR="00077CF5" w:rsidRDefault="00077CF5" w:rsidP="00077CF5">
      <w:pPr>
        <w:pStyle w:val="Odstavecseseznamem"/>
        <w:keepNext/>
        <w:numPr>
          <w:ilvl w:val="0"/>
          <w:numId w:val="130"/>
        </w:numPr>
        <w:spacing w:after="160" w:line="259" w:lineRule="auto"/>
        <w:ind w:left="714" w:hanging="357"/>
        <w:contextualSpacing/>
      </w:pPr>
      <w:r>
        <w:t>Podporovaná technická řešení:</w:t>
      </w:r>
    </w:p>
    <w:p w14:paraId="79EBA30F" w14:textId="77777777" w:rsidR="00077CF5" w:rsidRDefault="00077CF5" w:rsidP="00077CF5">
      <w:pPr>
        <w:pStyle w:val="Odstavecseseznamem"/>
        <w:numPr>
          <w:ilvl w:val="1"/>
          <w:numId w:val="130"/>
        </w:numPr>
        <w:spacing w:after="160" w:line="259" w:lineRule="auto"/>
        <w:contextualSpacing/>
      </w:pPr>
      <w:r>
        <w:t>systémy pro akumulaci a čištění odpadních vod z umyvadel, van, sprch či dřezů neobsahujících fekálie a moč (tzv. šedé vody ve smyslu EN 12056),</w:t>
      </w:r>
    </w:p>
    <w:p w14:paraId="5FDB75C0" w14:textId="77777777" w:rsidR="00077CF5" w:rsidRDefault="00077CF5" w:rsidP="00077CF5">
      <w:pPr>
        <w:pStyle w:val="Odstavecseseznamem"/>
        <w:numPr>
          <w:ilvl w:val="1"/>
          <w:numId w:val="130"/>
        </w:numPr>
        <w:spacing w:after="160" w:line="259" w:lineRule="auto"/>
        <w:contextualSpacing/>
      </w:pPr>
      <w:r>
        <w:t>systémy pro akumulaci a dočištění již prvotně vyčištěné odpadní vody odtékající ze zařízení pro čištění odpadní vody (např. z domovní čistírny odpadních vod),</w:t>
      </w:r>
    </w:p>
    <w:p w14:paraId="014137F9" w14:textId="77777777" w:rsidR="00077CF5" w:rsidRDefault="00077CF5" w:rsidP="00077CF5">
      <w:pPr>
        <w:pStyle w:val="Odstavecseseznamem"/>
        <w:numPr>
          <w:ilvl w:val="1"/>
          <w:numId w:val="130"/>
        </w:numPr>
        <w:spacing w:after="160" w:line="259" w:lineRule="auto"/>
        <w:contextualSpacing/>
      </w:pPr>
      <w:r>
        <w:t xml:space="preserve">současně s výše uvedenými variantami lze navrhnout využití zachycené dešťové vody. Pro její využití a akumulaci platí podmínky uvedené </w:t>
      </w:r>
      <w:r w:rsidRPr="00451D6D">
        <w:t>pro systémy hospodaření s dešťovou vodou</w:t>
      </w:r>
      <w:r>
        <w:t>.</w:t>
      </w:r>
    </w:p>
    <w:p w14:paraId="3E0CEA2E" w14:textId="77777777" w:rsidR="00077CF5" w:rsidRDefault="00077CF5" w:rsidP="00077CF5">
      <w:pPr>
        <w:pStyle w:val="Odstavecseseznamem"/>
        <w:numPr>
          <w:ilvl w:val="1"/>
          <w:numId w:val="130"/>
        </w:numPr>
        <w:spacing w:after="160" w:line="259" w:lineRule="auto"/>
        <w:contextualSpacing/>
      </w:pPr>
      <w:r>
        <w:t xml:space="preserve">v případě kombinace opatření </w:t>
      </w:r>
      <w:r w:rsidRPr="00451D6D">
        <w:t>pro využívání dešťové a odpadní vody jako užitkové</w:t>
      </w:r>
      <w:r>
        <w:t xml:space="preserve"> v případě novostaveb je požadováno, aby na tento systém byly napojeny všechny toalety v obytné části domu.</w:t>
      </w:r>
    </w:p>
    <w:p w14:paraId="1080AC53" w14:textId="77777777" w:rsidR="00077CF5" w:rsidRDefault="00077CF5" w:rsidP="00077CF5">
      <w:pPr>
        <w:pStyle w:val="Odstavecseseznamem"/>
        <w:numPr>
          <w:ilvl w:val="0"/>
          <w:numId w:val="130"/>
        </w:numPr>
        <w:spacing w:after="160" w:line="259" w:lineRule="auto"/>
        <w:contextualSpacing/>
      </w:pPr>
      <w:r>
        <w:t>Musí být dodrženy požadavky dle ČSN EN 1717 a ČSN 75 5409. Vnitřní vodovod připojený na vodovod pro veřejnou potřebu se nesmí přímo spojovat s potrubím zásobovaným z jiného zdroje. Oddílné vnitřní vodovody různých druhů vod (např. vody pitné a vody srážkové/vyčištěné odpadní) se nesmí vzájemně přímo spojovat.</w:t>
      </w:r>
    </w:p>
    <w:p w14:paraId="335FA147" w14:textId="77777777" w:rsidR="00077CF5" w:rsidRDefault="00077CF5" w:rsidP="00077CF5">
      <w:pPr>
        <w:pStyle w:val="Odstavecseseznamem"/>
        <w:numPr>
          <w:ilvl w:val="0"/>
          <w:numId w:val="130"/>
        </w:numPr>
        <w:spacing w:after="160" w:line="259" w:lineRule="auto"/>
        <w:contextualSpacing/>
      </w:pPr>
      <w:r>
        <w:t>Dojde-li ke smíšení vyčištěné odpadní vody a srážkové vody, je na ni nutné pohlížet jako na vodu odpadní.</w:t>
      </w:r>
    </w:p>
    <w:p w14:paraId="76BAF250" w14:textId="77777777" w:rsidR="00077CF5" w:rsidRDefault="00077CF5" w:rsidP="00077CF5">
      <w:pPr>
        <w:pStyle w:val="Odstavecseseznamem"/>
        <w:numPr>
          <w:ilvl w:val="0"/>
          <w:numId w:val="130"/>
        </w:numPr>
        <w:spacing w:after="160" w:line="259" w:lineRule="auto"/>
        <w:contextualSpacing/>
      </w:pPr>
      <w:r>
        <w:t xml:space="preserve">Projekt musí být navržen tak, aby byla eliminována či významně redukována případná zdravotní rizika při nakládání s vyčištěnou odpadní vodou (filtrace, úprava a </w:t>
      </w:r>
      <w:proofErr w:type="spellStart"/>
      <w:r>
        <w:t>hygienizace</w:t>
      </w:r>
      <w:proofErr w:type="spellEnd"/>
      <w:r>
        <w:t xml:space="preserve"> akumulované odpadní vody).</w:t>
      </w:r>
    </w:p>
    <w:p w14:paraId="7CEED8E0" w14:textId="77777777" w:rsidR="00077CF5" w:rsidRDefault="00077CF5" w:rsidP="00077CF5">
      <w:pPr>
        <w:pStyle w:val="Odstavecseseznamem"/>
        <w:numPr>
          <w:ilvl w:val="0"/>
          <w:numId w:val="130"/>
        </w:numPr>
        <w:spacing w:after="160" w:line="259" w:lineRule="auto"/>
        <w:contextualSpacing/>
      </w:pPr>
      <w:r>
        <w:lastRenderedPageBreak/>
        <w:t>Minimální dostupný objem pro akumulaci vyčištěné odpadní vody je navržen dle předpokládaného množství produkovaných odpadních vod se zohledněním dalších aspektů, např. koeficientem filtrace.</w:t>
      </w:r>
    </w:p>
    <w:p w14:paraId="72030647" w14:textId="77777777" w:rsidR="00077CF5" w:rsidRDefault="00077CF5" w:rsidP="00077CF5">
      <w:pPr>
        <w:spacing w:after="160" w:line="259" w:lineRule="auto"/>
        <w:contextualSpacing/>
      </w:pPr>
    </w:p>
    <w:p w14:paraId="7914CA33" w14:textId="77777777" w:rsidR="00077CF5" w:rsidRPr="00BA41EE" w:rsidRDefault="00077CF5" w:rsidP="00077CF5">
      <w:pPr>
        <w:pStyle w:val="Nadpis4"/>
      </w:pPr>
      <w:r>
        <w:t xml:space="preserve">Vnitřní </w:t>
      </w:r>
      <w:r w:rsidRPr="00BA41EE">
        <w:t>renovace</w:t>
      </w:r>
    </w:p>
    <w:p w14:paraId="2D9E02D6" w14:textId="77777777" w:rsidR="00077CF5" w:rsidRDefault="00077CF5" w:rsidP="00077CF5">
      <w:pPr>
        <w:rPr>
          <w:b/>
          <w:bCs/>
        </w:rPr>
      </w:pPr>
      <w:r>
        <w:rPr>
          <w:b/>
          <w:bCs/>
        </w:rPr>
        <w:t xml:space="preserve">Podmínky uvedené v souhrnné tabulce podmínek pro renovace (kapitole 5.2.3.4) platí pro vnitřní renovace přiměřeně dle rozsahu, zejm. však vyloučení (i dílčích renovací) podpor budov sloužících k </w:t>
      </w:r>
      <w:r w:rsidRPr="000B2425">
        <w:rPr>
          <w:b/>
          <w:bCs/>
        </w:rPr>
        <w:t>těžbě, skladování, přepravě nebo výrobě fosilních paliv</w:t>
      </w:r>
      <w:r>
        <w:rPr>
          <w:b/>
          <w:bCs/>
        </w:rPr>
        <w:t xml:space="preserve">, dále podmínky týkající se nakládání s odpady, projekty podléhající EIA a JES a podmínky týkající se spotřebičů vody. </w:t>
      </w:r>
    </w:p>
    <w:p w14:paraId="21DF8C68" w14:textId="77777777" w:rsidR="00077CF5" w:rsidRDefault="00077CF5" w:rsidP="00077CF5">
      <w:pPr>
        <w:rPr>
          <w:b/>
          <w:bCs/>
        </w:rPr>
      </w:pPr>
      <w:r>
        <w:rPr>
          <w:b/>
          <w:bCs/>
        </w:rPr>
        <w:t>V případě podpory v</w:t>
      </w:r>
      <w:r w:rsidRPr="003C6331">
        <w:rPr>
          <w:b/>
          <w:bCs/>
        </w:rPr>
        <w:t>ýrobk</w:t>
      </w:r>
      <w:r>
        <w:rPr>
          <w:b/>
          <w:bCs/>
        </w:rPr>
        <w:t>ů</w:t>
      </w:r>
      <w:r w:rsidRPr="003C6331">
        <w:rPr>
          <w:b/>
          <w:bCs/>
        </w:rPr>
        <w:t xml:space="preserve"> označen</w:t>
      </w:r>
      <w:r>
        <w:rPr>
          <w:b/>
          <w:bCs/>
        </w:rPr>
        <w:t>ých</w:t>
      </w:r>
      <w:r w:rsidRPr="003C6331">
        <w:rPr>
          <w:b/>
          <w:bCs/>
        </w:rPr>
        <w:t xml:space="preserve"> energetickými štítky</w:t>
      </w:r>
      <w:r>
        <w:rPr>
          <w:b/>
          <w:bCs/>
        </w:rPr>
        <w:t xml:space="preserve"> je nutné </w:t>
      </w:r>
      <w:r w:rsidRPr="003C6331">
        <w:rPr>
          <w:b/>
          <w:bCs/>
        </w:rPr>
        <w:t>vyžadovat / bonifikovat nákup zdrojů energie a spotřebičů s nejvyšší energetickou třídou – pro tuto podmínku bude možné využít metodiku „Podporované energetické třídy u pořizovaných zařízení, na která se vztahují předpisy pro označování energetickými štítky“, kterou aktuálně zpracovává Ministerstvo průmyslu a obchodu.</w:t>
      </w:r>
      <w:r>
        <w:rPr>
          <w:b/>
          <w:bCs/>
        </w:rPr>
        <w:t xml:space="preserve"> </w:t>
      </w:r>
      <w:r w:rsidRPr="003C6331">
        <w:rPr>
          <w:b/>
          <w:bCs/>
        </w:rPr>
        <w:t>Metodiku bude možné následně dohledat na webu MPO, v kategorii Energetika/Úspory energie/Úspory v praxi/Ekodesign a štítkování výrobků. V případě produktů bez označování energetickými štítky lze zvýhodnit výrobky s jinou certifikací energetické účinnosti.</w:t>
      </w:r>
    </w:p>
    <w:p w14:paraId="67A6925B" w14:textId="77777777" w:rsidR="007E7F38" w:rsidRDefault="007E7F38" w:rsidP="007E7F38">
      <w:pPr>
        <w:rPr>
          <w:rFonts w:asciiTheme="minorHAnsi" w:hAnsiTheme="minorHAnsi" w:cstheme="minorHAnsi"/>
          <w:b/>
          <w:u w:val="single"/>
        </w:rPr>
        <w:sectPr w:rsidR="007E7F38" w:rsidSect="007E7F38">
          <w:pgSz w:w="11906" w:h="16838"/>
          <w:pgMar w:top="1417" w:right="1417" w:bottom="1417" w:left="1417" w:header="708" w:footer="708" w:gutter="0"/>
          <w:cols w:space="708"/>
          <w:docGrid w:linePitch="299"/>
        </w:sectPr>
      </w:pPr>
    </w:p>
    <w:p w14:paraId="54976344" w14:textId="77777777" w:rsidR="00E310E9" w:rsidRDefault="00E310E9" w:rsidP="00E310E9">
      <w:pPr>
        <w:pStyle w:val="Nadpis4"/>
      </w:pPr>
      <w:r>
        <w:lastRenderedPageBreak/>
        <w:t>Tabulka podmínek DNSH pro renovace budov a jejich implementace</w:t>
      </w:r>
    </w:p>
    <w:p w14:paraId="4EC81CBE" w14:textId="77777777" w:rsidR="00E310E9" w:rsidRPr="00EA4CB0" w:rsidRDefault="00E310E9" w:rsidP="00E310E9">
      <w:pPr>
        <w:rPr>
          <w:bCs/>
        </w:rPr>
      </w:pPr>
      <w:r w:rsidRPr="00EA4CB0">
        <w:rPr>
          <w:rFonts w:cs="Segoe UI"/>
          <w:bCs/>
        </w:rPr>
        <w:t>V posledním sloupci jsou uvedena analogická kritéria taxonomie, která jsou aplikována finančním sektorem a při jejich splnění by měly být projekty uznatelné ze strany finančního sektoru jako způsobilé pro zelené kofinancování. Finanční sektor však provádí ověření těchto kritérií dle své praxe.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4"/>
        <w:gridCol w:w="3539"/>
        <w:gridCol w:w="3428"/>
        <w:gridCol w:w="3275"/>
        <w:gridCol w:w="3392"/>
      </w:tblGrid>
      <w:tr w:rsidR="00E310E9" w14:paraId="008C65E6" w14:textId="77777777" w:rsidTr="00491D76">
        <w:tc>
          <w:tcPr>
            <w:tcW w:w="570" w:type="pct"/>
            <w:shd w:val="clear" w:color="auto" w:fill="D0CECE" w:themeFill="background2" w:themeFillShade="E6"/>
          </w:tcPr>
          <w:p w14:paraId="6E037438" w14:textId="77777777" w:rsidR="00E310E9" w:rsidRDefault="00E310E9" w:rsidP="00491D76">
            <w:pPr>
              <w:spacing w:after="0" w:line="240" w:lineRule="auto"/>
              <w:rPr>
                <w:rFonts w:asciiTheme="minorHAnsi" w:hAnsiTheme="minorHAnsi" w:cstheme="minorHAnsi"/>
                <w:b/>
                <w:sz w:val="20"/>
                <w:szCs w:val="20"/>
              </w:rPr>
            </w:pPr>
            <w:r>
              <w:rPr>
                <w:rFonts w:asciiTheme="minorHAnsi" w:hAnsiTheme="minorHAnsi" w:cstheme="minorHAnsi"/>
                <w:b/>
                <w:sz w:val="20"/>
                <w:szCs w:val="20"/>
              </w:rPr>
              <w:t>Environmentální cíl</w:t>
            </w:r>
          </w:p>
        </w:tc>
        <w:tc>
          <w:tcPr>
            <w:tcW w:w="1150" w:type="pct"/>
            <w:shd w:val="clear" w:color="auto" w:fill="D0CECE" w:themeFill="background2" w:themeFillShade="E6"/>
          </w:tcPr>
          <w:p w14:paraId="158E8853" w14:textId="77777777" w:rsidR="00E310E9" w:rsidRDefault="00E310E9" w:rsidP="00491D76">
            <w:pPr>
              <w:spacing w:after="0" w:line="240" w:lineRule="auto"/>
              <w:rPr>
                <w:rFonts w:asciiTheme="minorHAnsi" w:hAnsiTheme="minorHAnsi" w:cstheme="minorHAnsi"/>
                <w:b/>
                <w:sz w:val="20"/>
                <w:szCs w:val="20"/>
              </w:rPr>
            </w:pPr>
            <w:r>
              <w:rPr>
                <w:rFonts w:asciiTheme="minorHAnsi" w:hAnsiTheme="minorHAnsi" w:cstheme="minorHAnsi"/>
                <w:b/>
                <w:sz w:val="20"/>
                <w:szCs w:val="20"/>
              </w:rPr>
              <w:t>Podmínky DNSH</w:t>
            </w:r>
          </w:p>
          <w:p w14:paraId="181094EC" w14:textId="77777777" w:rsidR="00E310E9" w:rsidRDefault="00E310E9" w:rsidP="00491D76">
            <w:pPr>
              <w:spacing w:after="0" w:line="240" w:lineRule="auto"/>
              <w:rPr>
                <w:rFonts w:asciiTheme="minorHAnsi" w:hAnsiTheme="minorHAnsi" w:cstheme="minorHAnsi"/>
                <w:b/>
                <w:sz w:val="20"/>
                <w:szCs w:val="20"/>
              </w:rPr>
            </w:pPr>
          </w:p>
        </w:tc>
        <w:tc>
          <w:tcPr>
            <w:tcW w:w="1114" w:type="pct"/>
            <w:shd w:val="clear" w:color="auto" w:fill="D0CECE" w:themeFill="background2" w:themeFillShade="E6"/>
          </w:tcPr>
          <w:p w14:paraId="4F2DE120" w14:textId="77777777" w:rsidR="00E310E9" w:rsidRDefault="00E310E9" w:rsidP="00491D76">
            <w:pPr>
              <w:spacing w:after="0" w:line="240" w:lineRule="auto"/>
              <w:rPr>
                <w:rFonts w:asciiTheme="minorHAnsi" w:hAnsiTheme="minorHAnsi" w:cstheme="minorHAnsi"/>
                <w:b/>
                <w:sz w:val="20"/>
                <w:szCs w:val="20"/>
              </w:rPr>
            </w:pPr>
            <w:r>
              <w:rPr>
                <w:rFonts w:asciiTheme="minorHAnsi" w:hAnsiTheme="minorHAnsi" w:cstheme="minorHAnsi"/>
                <w:b/>
                <w:sz w:val="20"/>
                <w:szCs w:val="20"/>
              </w:rPr>
              <w:t>Implementace</w:t>
            </w:r>
          </w:p>
        </w:tc>
        <w:tc>
          <w:tcPr>
            <w:tcW w:w="1064" w:type="pct"/>
            <w:shd w:val="clear" w:color="auto" w:fill="D0CECE" w:themeFill="background2" w:themeFillShade="E6"/>
          </w:tcPr>
          <w:p w14:paraId="2E2255BA" w14:textId="77777777" w:rsidR="00E310E9" w:rsidRDefault="00E310E9" w:rsidP="00491D76">
            <w:pPr>
              <w:spacing w:after="0" w:line="240" w:lineRule="auto"/>
              <w:rPr>
                <w:rFonts w:asciiTheme="minorHAnsi" w:hAnsiTheme="minorHAnsi" w:cstheme="minorHAnsi"/>
                <w:b/>
                <w:sz w:val="20"/>
                <w:szCs w:val="20"/>
              </w:rPr>
            </w:pPr>
            <w:r>
              <w:rPr>
                <w:rFonts w:asciiTheme="minorHAnsi" w:hAnsiTheme="minorHAnsi" w:cstheme="minorHAnsi"/>
                <w:b/>
                <w:sz w:val="20"/>
                <w:szCs w:val="20"/>
              </w:rPr>
              <w:t>Monitoring a vykazování</w:t>
            </w:r>
          </w:p>
        </w:tc>
        <w:tc>
          <w:tcPr>
            <w:tcW w:w="1102" w:type="pct"/>
            <w:shd w:val="clear" w:color="auto" w:fill="D0CECE" w:themeFill="background2" w:themeFillShade="E6"/>
          </w:tcPr>
          <w:p w14:paraId="763F96E2" w14:textId="77777777" w:rsidR="00E310E9" w:rsidRDefault="00E310E9" w:rsidP="00491D76">
            <w:pPr>
              <w:spacing w:after="0" w:line="240" w:lineRule="auto"/>
              <w:rPr>
                <w:rFonts w:asciiTheme="minorHAnsi" w:hAnsiTheme="minorHAnsi" w:cstheme="minorHAnsi"/>
                <w:b/>
                <w:sz w:val="20"/>
                <w:szCs w:val="20"/>
              </w:rPr>
            </w:pPr>
            <w:r>
              <w:rPr>
                <w:rFonts w:asciiTheme="minorHAnsi" w:hAnsiTheme="minorHAnsi" w:cstheme="minorHAnsi"/>
                <w:b/>
                <w:sz w:val="20"/>
                <w:szCs w:val="20"/>
              </w:rPr>
              <w:t>Podmínky taxonomie EU pro udržitelné investice 7.1 Výstavba nových budov</w:t>
            </w:r>
          </w:p>
        </w:tc>
      </w:tr>
      <w:tr w:rsidR="00E310E9" w14:paraId="6826E65B" w14:textId="77777777" w:rsidTr="00491D76">
        <w:tc>
          <w:tcPr>
            <w:tcW w:w="570" w:type="pct"/>
            <w:vMerge w:val="restart"/>
            <w:shd w:val="clear" w:color="auto" w:fill="FFF0FF"/>
          </w:tcPr>
          <w:p w14:paraId="252DDD88" w14:textId="77777777" w:rsidR="00E310E9" w:rsidRDefault="00E310E9" w:rsidP="00491D76">
            <w:pPr>
              <w:spacing w:after="0" w:line="240" w:lineRule="auto"/>
              <w:rPr>
                <w:rFonts w:asciiTheme="minorHAnsi" w:hAnsiTheme="minorHAnsi" w:cstheme="minorHAnsi"/>
                <w:b/>
                <w:sz w:val="20"/>
                <w:szCs w:val="20"/>
              </w:rPr>
            </w:pPr>
            <w:r>
              <w:rPr>
                <w:rFonts w:asciiTheme="minorHAnsi" w:hAnsiTheme="minorHAnsi" w:cstheme="minorHAnsi"/>
                <w:b/>
                <w:sz w:val="20"/>
                <w:szCs w:val="20"/>
              </w:rPr>
              <w:t xml:space="preserve">Zmírňování změny klimatu </w:t>
            </w:r>
          </w:p>
        </w:tc>
        <w:tc>
          <w:tcPr>
            <w:tcW w:w="1150" w:type="pct"/>
            <w:shd w:val="clear" w:color="auto" w:fill="FFF0FF"/>
          </w:tcPr>
          <w:p w14:paraId="6B986DFE" w14:textId="77777777" w:rsidR="00E310E9" w:rsidRDefault="00E310E9" w:rsidP="00491D76">
            <w:pPr>
              <w:spacing w:after="0" w:line="240" w:lineRule="auto"/>
              <w:rPr>
                <w:rFonts w:asciiTheme="minorHAnsi" w:hAnsiTheme="minorHAnsi" w:cstheme="minorHAnsi"/>
                <w:bCs/>
                <w:sz w:val="20"/>
                <w:szCs w:val="20"/>
                <w:lang w:eastAsia="cs-CZ"/>
              </w:rPr>
            </w:pPr>
            <w:r w:rsidRPr="00867BDB">
              <w:rPr>
                <w:rFonts w:asciiTheme="minorHAnsi" w:hAnsiTheme="minorHAnsi" w:cstheme="minorHAnsi"/>
                <w:bCs/>
                <w:sz w:val="20"/>
                <w:szCs w:val="20"/>
                <w:lang w:eastAsia="cs-CZ"/>
              </w:rPr>
              <w:t>Jsou slněny podmínky pro opatření dle kapitol 5.2.3.</w:t>
            </w:r>
          </w:p>
          <w:p w14:paraId="51C08878" w14:textId="77777777" w:rsidR="00E310E9" w:rsidRDefault="00E310E9" w:rsidP="00491D76">
            <w:pPr>
              <w:spacing w:after="0" w:line="240" w:lineRule="auto"/>
              <w:rPr>
                <w:rFonts w:asciiTheme="minorHAnsi" w:hAnsiTheme="minorHAnsi" w:cstheme="minorHAnsi"/>
                <w:bCs/>
                <w:sz w:val="20"/>
                <w:szCs w:val="20"/>
                <w:lang w:eastAsia="cs-CZ"/>
              </w:rPr>
            </w:pPr>
          </w:p>
          <w:p w14:paraId="62404812" w14:textId="77777777" w:rsidR="00E310E9" w:rsidRDefault="00E310E9" w:rsidP="00491D76">
            <w:pPr>
              <w:spacing w:after="0" w:line="240" w:lineRule="auto"/>
              <w:rPr>
                <w:rFonts w:asciiTheme="minorHAnsi" w:hAnsiTheme="minorHAnsi" w:cstheme="minorHAnsi"/>
                <w:bCs/>
                <w:sz w:val="20"/>
                <w:szCs w:val="20"/>
              </w:rPr>
            </w:pPr>
            <w:r>
              <w:rPr>
                <w:rFonts w:asciiTheme="minorHAnsi" w:hAnsiTheme="minorHAnsi" w:cstheme="minorHAnsi"/>
                <w:bCs/>
                <w:sz w:val="20"/>
                <w:szCs w:val="20"/>
              </w:rPr>
              <w:t>Tři základní varianty:</w:t>
            </w:r>
          </w:p>
          <w:p w14:paraId="5719CAA1" w14:textId="32552F43" w:rsidR="00E310E9" w:rsidRPr="00EA4CB0" w:rsidRDefault="00E310E9" w:rsidP="00491D76">
            <w:pPr>
              <w:pStyle w:val="Odstavecseseznamem"/>
              <w:numPr>
                <w:ilvl w:val="0"/>
                <w:numId w:val="193"/>
              </w:numPr>
              <w:spacing w:after="0" w:line="240" w:lineRule="auto"/>
              <w:rPr>
                <w:rFonts w:asciiTheme="minorHAnsi" w:hAnsiTheme="minorHAnsi" w:cstheme="minorHAnsi"/>
                <w:bCs/>
                <w:sz w:val="20"/>
                <w:szCs w:val="20"/>
              </w:rPr>
            </w:pPr>
            <w:r>
              <w:rPr>
                <w:rFonts w:asciiTheme="minorHAnsi" w:hAnsiTheme="minorHAnsi" w:cstheme="minorHAnsi"/>
                <w:bCs/>
                <w:sz w:val="20"/>
                <w:szCs w:val="20"/>
              </w:rPr>
              <w:t xml:space="preserve">Celková důkladná renovace viz. </w:t>
            </w:r>
            <w:r w:rsidR="00A37B2E">
              <w:rPr>
                <w:rFonts w:asciiTheme="minorHAnsi" w:hAnsiTheme="minorHAnsi" w:cstheme="minorHAnsi"/>
                <w:bCs/>
                <w:sz w:val="20"/>
                <w:szCs w:val="20"/>
              </w:rPr>
              <w:t>k</w:t>
            </w:r>
            <w:r>
              <w:rPr>
                <w:rFonts w:asciiTheme="minorHAnsi" w:hAnsiTheme="minorHAnsi" w:cstheme="minorHAnsi"/>
                <w:bCs/>
                <w:sz w:val="20"/>
                <w:szCs w:val="20"/>
              </w:rPr>
              <w:t>apitola 5.2.3.1.</w:t>
            </w:r>
          </w:p>
          <w:p w14:paraId="137F7881" w14:textId="16A4CC5E" w:rsidR="00E310E9" w:rsidRPr="00DC5D8F" w:rsidRDefault="00E310E9" w:rsidP="00491D76">
            <w:pPr>
              <w:pStyle w:val="Odstavecseseznamem"/>
              <w:numPr>
                <w:ilvl w:val="0"/>
                <w:numId w:val="193"/>
              </w:numPr>
              <w:spacing w:after="0" w:line="240" w:lineRule="auto"/>
              <w:rPr>
                <w:rFonts w:asciiTheme="minorHAnsi" w:hAnsiTheme="minorHAnsi" w:cstheme="minorHAnsi"/>
                <w:bCs/>
                <w:sz w:val="20"/>
                <w:szCs w:val="20"/>
                <w:lang w:eastAsia="cs-CZ"/>
              </w:rPr>
            </w:pPr>
            <w:r>
              <w:rPr>
                <w:rFonts w:asciiTheme="minorHAnsi" w:hAnsiTheme="minorHAnsi" w:cstheme="minorHAnsi"/>
                <w:bCs/>
                <w:sz w:val="20"/>
                <w:szCs w:val="20"/>
              </w:rPr>
              <w:t xml:space="preserve">Potřeba primární energie, která je výsledkem výstavby, bude nejméně o 30 % nižší než prahová hodnota, kterou u požadavků na budovy s téměř nulovou potřebou energie stanoví vnitrostátní opatření provádějící směrnici Evropského parlamentu a Rady </w:t>
            </w:r>
            <w:r w:rsidRPr="00F0232E">
              <w:rPr>
                <w:rFonts w:asciiTheme="minorHAnsi" w:hAnsiTheme="minorHAnsi" w:cstheme="minorHAnsi"/>
                <w:bCs/>
                <w:sz w:val="20"/>
                <w:szCs w:val="20"/>
              </w:rPr>
              <w:t>2024/1275/EU</w:t>
            </w:r>
            <w:r>
              <w:rPr>
                <w:rFonts w:asciiTheme="minorHAnsi" w:hAnsiTheme="minorHAnsi" w:cstheme="minorHAnsi"/>
                <w:bCs/>
                <w:sz w:val="20"/>
                <w:szCs w:val="20"/>
              </w:rPr>
              <w:t xml:space="preserve">. </w:t>
            </w:r>
            <w:r w:rsidRPr="00F72866">
              <w:rPr>
                <w:rFonts w:asciiTheme="minorHAnsi" w:hAnsiTheme="minorHAnsi"/>
                <w:sz w:val="20"/>
              </w:rPr>
              <w:t>Tzn. ve smyslu zákona č. 406/2000 Sb. o hospodaření energií a vyhlášky č. 264/2020 Sb. o energetické náročnosti budov.</w:t>
            </w:r>
            <w:r>
              <w:rPr>
                <w:rFonts w:asciiTheme="minorHAnsi" w:hAnsiTheme="minorHAnsi"/>
                <w:sz w:val="20"/>
              </w:rPr>
              <w:t xml:space="preserve"> Renovace nesmí zabránit budoucímu dosažení </w:t>
            </w:r>
            <w:r w:rsidR="00A37B2E">
              <w:rPr>
                <w:rFonts w:asciiTheme="minorHAnsi" w:hAnsiTheme="minorHAnsi"/>
                <w:sz w:val="20"/>
              </w:rPr>
              <w:t>provedení celkové důkladné renovace</w:t>
            </w:r>
            <w:r>
              <w:rPr>
                <w:rFonts w:asciiTheme="minorHAnsi" w:hAnsiTheme="minorHAnsi"/>
                <w:sz w:val="20"/>
              </w:rPr>
              <w:t>.</w:t>
            </w:r>
          </w:p>
          <w:p w14:paraId="1C3EA390" w14:textId="77777777" w:rsidR="00E310E9" w:rsidRDefault="00E310E9" w:rsidP="00491D76">
            <w:pPr>
              <w:pStyle w:val="Odstavecseseznamem"/>
              <w:numPr>
                <w:ilvl w:val="0"/>
                <w:numId w:val="193"/>
              </w:numPr>
              <w:spacing w:after="0" w:line="240" w:lineRule="auto"/>
              <w:rPr>
                <w:rFonts w:asciiTheme="minorHAnsi" w:hAnsiTheme="minorHAnsi" w:cstheme="minorHAnsi"/>
                <w:bCs/>
                <w:sz w:val="20"/>
                <w:szCs w:val="20"/>
                <w:lang w:eastAsia="cs-CZ"/>
              </w:rPr>
            </w:pPr>
            <w:r>
              <w:rPr>
                <w:rFonts w:asciiTheme="minorHAnsi" w:hAnsiTheme="minorHAnsi" w:cstheme="minorHAnsi"/>
                <w:bCs/>
                <w:sz w:val="20"/>
                <w:szCs w:val="20"/>
                <w:lang w:eastAsia="cs-CZ"/>
              </w:rPr>
              <w:t xml:space="preserve">Pouze v odůvodněných </w:t>
            </w:r>
            <w:proofErr w:type="gramStart"/>
            <w:r>
              <w:rPr>
                <w:rFonts w:asciiTheme="minorHAnsi" w:hAnsiTheme="minorHAnsi" w:cstheme="minorHAnsi"/>
                <w:bCs/>
                <w:sz w:val="20"/>
                <w:szCs w:val="20"/>
                <w:lang w:eastAsia="cs-CZ"/>
              </w:rPr>
              <w:t>případech - renovace</w:t>
            </w:r>
            <w:proofErr w:type="gramEnd"/>
            <w:r>
              <w:rPr>
                <w:rFonts w:asciiTheme="minorHAnsi" w:hAnsiTheme="minorHAnsi" w:cstheme="minorHAnsi"/>
                <w:bCs/>
                <w:sz w:val="20"/>
                <w:szCs w:val="20"/>
                <w:lang w:eastAsia="cs-CZ"/>
              </w:rPr>
              <w:t xml:space="preserve"> </w:t>
            </w:r>
            <w:r>
              <w:rPr>
                <w:rFonts w:asciiTheme="minorHAnsi" w:hAnsiTheme="minorHAnsi" w:cstheme="minorHAnsi"/>
                <w:bCs/>
                <w:sz w:val="20"/>
                <w:szCs w:val="20"/>
                <w:lang w:eastAsia="cs-CZ"/>
              </w:rPr>
              <w:lastRenderedPageBreak/>
              <w:t>nedosahující parametrů výše (dílčí opatření) a vnitřní renovace.</w:t>
            </w:r>
          </w:p>
          <w:p w14:paraId="2A1595B8" w14:textId="77777777" w:rsidR="00E310E9" w:rsidRDefault="00E310E9" w:rsidP="00491D76">
            <w:pPr>
              <w:rPr>
                <w:lang w:eastAsia="cs-CZ"/>
              </w:rPr>
            </w:pPr>
          </w:p>
        </w:tc>
        <w:tc>
          <w:tcPr>
            <w:tcW w:w="1114" w:type="pct"/>
            <w:shd w:val="clear" w:color="auto" w:fill="FFF0FF"/>
          </w:tcPr>
          <w:p w14:paraId="191D757C" w14:textId="77777777" w:rsidR="00E310E9" w:rsidRDefault="00E310E9" w:rsidP="00491D76">
            <w:pPr>
              <w:spacing w:after="0" w:line="240" w:lineRule="auto"/>
              <w:rPr>
                <w:rFonts w:asciiTheme="minorHAnsi" w:hAnsiTheme="minorHAnsi" w:cstheme="minorHAnsi"/>
                <w:sz w:val="20"/>
                <w:szCs w:val="20"/>
              </w:rPr>
            </w:pPr>
            <w:r w:rsidRPr="00393BA0">
              <w:rPr>
                <w:rFonts w:asciiTheme="minorHAnsi" w:hAnsiTheme="minorHAnsi" w:cstheme="minorHAnsi"/>
                <w:sz w:val="20"/>
                <w:szCs w:val="20"/>
              </w:rPr>
              <w:lastRenderedPageBreak/>
              <w:t>Nastavení energetických parametrů podpory</w:t>
            </w:r>
            <w:r>
              <w:rPr>
                <w:rFonts w:asciiTheme="minorHAnsi" w:hAnsiTheme="minorHAnsi" w:cstheme="minorHAnsi"/>
                <w:sz w:val="20"/>
                <w:szCs w:val="20"/>
              </w:rPr>
              <w:t xml:space="preserve"> dle kapitol 5.2.3</w:t>
            </w:r>
            <w:r w:rsidRPr="00393BA0">
              <w:rPr>
                <w:rFonts w:asciiTheme="minorHAnsi" w:hAnsiTheme="minorHAnsi" w:cstheme="minorHAnsi"/>
                <w:sz w:val="20"/>
                <w:szCs w:val="20"/>
              </w:rPr>
              <w:t>.</w:t>
            </w:r>
          </w:p>
          <w:p w14:paraId="1A30CE05" w14:textId="77777777" w:rsidR="00E310E9" w:rsidRPr="00393BA0" w:rsidRDefault="00E310E9" w:rsidP="00491D76">
            <w:pPr>
              <w:spacing w:after="0" w:line="240" w:lineRule="auto"/>
              <w:rPr>
                <w:rFonts w:asciiTheme="minorHAnsi" w:hAnsiTheme="minorHAnsi" w:cstheme="minorHAnsi"/>
                <w:sz w:val="20"/>
                <w:szCs w:val="20"/>
              </w:rPr>
            </w:pPr>
          </w:p>
          <w:p w14:paraId="5D5C6397" w14:textId="77777777" w:rsidR="00E310E9" w:rsidRDefault="00E310E9" w:rsidP="00491D76">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K výpočtu prahové </w:t>
            </w:r>
            <w:proofErr w:type="gramStart"/>
            <w:r>
              <w:rPr>
                <w:rFonts w:asciiTheme="minorHAnsi" w:hAnsiTheme="minorHAnsi" w:cstheme="minorHAnsi"/>
                <w:sz w:val="20"/>
                <w:szCs w:val="20"/>
              </w:rPr>
              <w:t>hodnoty - l</w:t>
            </w:r>
            <w:r w:rsidRPr="00393BA0">
              <w:rPr>
                <w:rFonts w:asciiTheme="minorHAnsi" w:hAnsiTheme="minorHAnsi" w:cstheme="minorHAnsi"/>
                <w:sz w:val="20"/>
                <w:szCs w:val="20"/>
              </w:rPr>
              <w:t>egislativní</w:t>
            </w:r>
            <w:proofErr w:type="gramEnd"/>
            <w:r w:rsidRPr="00393BA0">
              <w:rPr>
                <w:rFonts w:asciiTheme="minorHAnsi" w:hAnsiTheme="minorHAnsi" w:cstheme="minorHAnsi"/>
                <w:sz w:val="20"/>
                <w:szCs w:val="20"/>
              </w:rPr>
              <w:t xml:space="preserve"> požadavky na potřebu primární energie (PED) na úrovni budovy s téměř nulovou spotřebou energie stanoví vyhláška č. 264/2020 Sb., o energetické náročnosti budov, ve znění pozdějších předpisů. </w:t>
            </w:r>
          </w:p>
          <w:p w14:paraId="3C658686" w14:textId="77777777" w:rsidR="00E310E9" w:rsidRPr="00393BA0" w:rsidRDefault="00E310E9" w:rsidP="00491D76">
            <w:pPr>
              <w:spacing w:after="0" w:line="240" w:lineRule="auto"/>
              <w:rPr>
                <w:rFonts w:asciiTheme="minorHAnsi" w:hAnsiTheme="minorHAnsi" w:cstheme="minorHAnsi"/>
                <w:sz w:val="20"/>
                <w:szCs w:val="20"/>
              </w:rPr>
            </w:pPr>
          </w:p>
          <w:p w14:paraId="1DE6A763" w14:textId="77777777" w:rsidR="00E310E9" w:rsidRDefault="00E310E9" w:rsidP="00491D76">
            <w:pPr>
              <w:spacing w:after="0" w:line="240" w:lineRule="auto"/>
              <w:rPr>
                <w:rFonts w:asciiTheme="minorHAnsi" w:hAnsiTheme="minorHAnsi" w:cstheme="minorHAnsi"/>
                <w:b/>
                <w:bCs/>
                <w:sz w:val="20"/>
                <w:szCs w:val="20"/>
              </w:rPr>
            </w:pPr>
            <w:r>
              <w:rPr>
                <w:rFonts w:asciiTheme="minorHAnsi" w:hAnsiTheme="minorHAnsi" w:cstheme="minorHAnsi"/>
                <w:b/>
                <w:bCs/>
                <w:sz w:val="20"/>
                <w:szCs w:val="20"/>
              </w:rPr>
              <w:t>D</w:t>
            </w:r>
            <w:r w:rsidRPr="00393BA0">
              <w:rPr>
                <w:rFonts w:asciiTheme="minorHAnsi" w:hAnsiTheme="minorHAnsi" w:cstheme="minorHAnsi"/>
                <w:b/>
                <w:bCs/>
                <w:sz w:val="20"/>
                <w:szCs w:val="20"/>
              </w:rPr>
              <w:t xml:space="preserve">oporučuje se v souladu se zásadou energetická účinnost </w:t>
            </w:r>
            <w:r>
              <w:rPr>
                <w:rFonts w:asciiTheme="minorHAnsi" w:hAnsiTheme="minorHAnsi" w:cstheme="minorHAnsi"/>
                <w:b/>
                <w:bCs/>
                <w:sz w:val="20"/>
                <w:szCs w:val="20"/>
              </w:rPr>
              <w:t xml:space="preserve">v první řadě </w:t>
            </w:r>
            <w:r w:rsidRPr="00393BA0">
              <w:rPr>
                <w:rFonts w:asciiTheme="minorHAnsi" w:hAnsiTheme="minorHAnsi" w:cstheme="minorHAnsi"/>
                <w:b/>
                <w:bCs/>
                <w:sz w:val="20"/>
                <w:szCs w:val="20"/>
              </w:rPr>
              <w:t>v rámci hodnocení projektů zvýhodnit energetickou účinnost a žadatele k těmto krokům motivovat.</w:t>
            </w:r>
          </w:p>
          <w:p w14:paraId="34B0393D" w14:textId="77777777" w:rsidR="00E310E9" w:rsidRPr="00393BA0" w:rsidRDefault="00E310E9" w:rsidP="00491D76">
            <w:pPr>
              <w:spacing w:after="0" w:line="240" w:lineRule="auto"/>
              <w:rPr>
                <w:rFonts w:asciiTheme="minorHAnsi" w:hAnsiTheme="minorHAnsi" w:cstheme="minorHAnsi"/>
                <w:b/>
                <w:bCs/>
                <w:sz w:val="20"/>
                <w:szCs w:val="20"/>
              </w:rPr>
            </w:pPr>
          </w:p>
          <w:p w14:paraId="67909C72" w14:textId="77777777" w:rsidR="00E310E9" w:rsidRPr="00393BA0" w:rsidRDefault="00E310E9" w:rsidP="00491D76">
            <w:pPr>
              <w:spacing w:after="0" w:line="240" w:lineRule="auto"/>
              <w:rPr>
                <w:rFonts w:asciiTheme="minorHAnsi" w:hAnsiTheme="minorHAnsi" w:cstheme="minorHAnsi"/>
                <w:sz w:val="20"/>
                <w:szCs w:val="20"/>
              </w:rPr>
            </w:pPr>
            <w:r w:rsidRPr="00393BA0">
              <w:rPr>
                <w:rFonts w:asciiTheme="minorHAnsi" w:hAnsiTheme="minorHAnsi" w:cstheme="minorHAnsi"/>
                <w:sz w:val="20"/>
                <w:szCs w:val="20"/>
              </w:rPr>
              <w:t>Mezi opatření zvyšující energetickou účinnost budov (</w:t>
            </w:r>
            <w:proofErr w:type="spellStart"/>
            <w:r w:rsidRPr="00393BA0">
              <w:rPr>
                <w:rFonts w:asciiTheme="minorHAnsi" w:hAnsiTheme="minorHAnsi" w:cstheme="minorHAnsi"/>
                <w:sz w:val="20"/>
                <w:szCs w:val="20"/>
              </w:rPr>
              <w:t>mitigační</w:t>
            </w:r>
            <w:proofErr w:type="spellEnd"/>
            <w:r w:rsidRPr="00393BA0">
              <w:rPr>
                <w:rFonts w:asciiTheme="minorHAnsi" w:hAnsiTheme="minorHAnsi" w:cstheme="minorHAnsi"/>
                <w:sz w:val="20"/>
                <w:szCs w:val="20"/>
              </w:rPr>
              <w:t xml:space="preserve"> opatření) patří například pasivní návrh budov pro snížení spotřeby energie, využití OZE, rekuperace, zelené střechy/fasády nebo použití ekologických chladiv.</w:t>
            </w:r>
            <w:r>
              <w:rPr>
                <w:rStyle w:val="Znakapoznpodarou"/>
                <w:rFonts w:asciiTheme="minorHAnsi" w:hAnsiTheme="minorHAnsi" w:cstheme="minorHAnsi"/>
                <w:sz w:val="20"/>
                <w:szCs w:val="20"/>
              </w:rPr>
              <w:footnoteReference w:id="184"/>
            </w:r>
          </w:p>
          <w:p w14:paraId="31CE9F9A" w14:textId="77777777" w:rsidR="00E310E9" w:rsidRDefault="00E310E9" w:rsidP="00491D76">
            <w:pPr>
              <w:spacing w:after="0" w:line="240" w:lineRule="auto"/>
              <w:rPr>
                <w:rFonts w:asciiTheme="minorHAnsi" w:hAnsiTheme="minorHAnsi" w:cstheme="minorHAnsi"/>
                <w:sz w:val="20"/>
                <w:szCs w:val="20"/>
              </w:rPr>
            </w:pPr>
          </w:p>
          <w:p w14:paraId="5ECD96C8" w14:textId="77777777" w:rsidR="00E310E9" w:rsidRDefault="00E310E9" w:rsidP="00491D76">
            <w:pPr>
              <w:spacing w:after="0" w:line="240" w:lineRule="auto"/>
              <w:rPr>
                <w:rFonts w:asciiTheme="minorHAnsi" w:hAnsiTheme="minorHAnsi" w:cstheme="minorHAnsi"/>
                <w:sz w:val="20"/>
                <w:szCs w:val="20"/>
              </w:rPr>
            </w:pPr>
          </w:p>
        </w:tc>
        <w:tc>
          <w:tcPr>
            <w:tcW w:w="1064" w:type="pct"/>
            <w:shd w:val="clear" w:color="auto" w:fill="FFF0FF"/>
          </w:tcPr>
          <w:p w14:paraId="101E6D92" w14:textId="77777777" w:rsidR="00E310E9" w:rsidRPr="00393BA0" w:rsidRDefault="00E310E9" w:rsidP="00491D76">
            <w:pPr>
              <w:spacing w:after="0" w:line="240" w:lineRule="auto"/>
              <w:rPr>
                <w:rFonts w:asciiTheme="minorHAnsi" w:hAnsiTheme="minorHAnsi" w:cstheme="minorHAnsi"/>
                <w:sz w:val="20"/>
                <w:szCs w:val="20"/>
              </w:rPr>
            </w:pPr>
            <w:r w:rsidRPr="00393BA0">
              <w:rPr>
                <w:rFonts w:asciiTheme="minorHAnsi" w:hAnsiTheme="minorHAnsi" w:cstheme="minorHAnsi"/>
                <w:sz w:val="20"/>
                <w:szCs w:val="20"/>
              </w:rPr>
              <w:t>Vykazování energetické náročnosti budovy, sledování těchto úspor u realizovaných projektů. Energetická náročnost je potvrzena průkazem energetické náročnosti skutečného stavu budovy</w:t>
            </w:r>
            <w:r>
              <w:rPr>
                <w:rFonts w:asciiTheme="minorHAnsi" w:hAnsiTheme="minorHAnsi" w:cstheme="minorHAnsi"/>
                <w:sz w:val="20"/>
                <w:szCs w:val="20"/>
              </w:rPr>
              <w:t xml:space="preserve"> (PENB)</w:t>
            </w:r>
            <w:r w:rsidRPr="00393BA0">
              <w:rPr>
                <w:rFonts w:asciiTheme="minorHAnsi" w:hAnsiTheme="minorHAnsi" w:cstheme="minorHAnsi"/>
                <w:sz w:val="20"/>
                <w:szCs w:val="20"/>
              </w:rPr>
              <w:t>.</w:t>
            </w:r>
          </w:p>
        </w:tc>
        <w:tc>
          <w:tcPr>
            <w:tcW w:w="1102" w:type="pct"/>
            <w:shd w:val="clear" w:color="auto" w:fill="FFF0FF"/>
          </w:tcPr>
          <w:p w14:paraId="7A5E37A0" w14:textId="77777777" w:rsidR="00E310E9" w:rsidRDefault="00E310E9" w:rsidP="00491D76">
            <w:pPr>
              <w:spacing w:after="0" w:line="240" w:lineRule="auto"/>
              <w:rPr>
                <w:rFonts w:asciiTheme="minorHAnsi" w:hAnsiTheme="minorHAnsi" w:cstheme="minorHAnsi"/>
                <w:sz w:val="20"/>
                <w:szCs w:val="20"/>
              </w:rPr>
            </w:pPr>
            <w:r>
              <w:rPr>
                <w:rFonts w:asciiTheme="minorHAnsi" w:hAnsiTheme="minorHAnsi" w:cstheme="minorHAnsi"/>
                <w:sz w:val="20"/>
                <w:szCs w:val="20"/>
              </w:rPr>
              <w:t>Renovace budov odpovídá příslušným požadavkům pro větší renovace</w:t>
            </w:r>
            <w:r>
              <w:rPr>
                <w:rFonts w:asciiTheme="minorHAnsi" w:hAnsiTheme="minorHAnsi" w:cstheme="minorHAnsi"/>
                <w:sz w:val="20"/>
                <w:szCs w:val="20"/>
                <w:vertAlign w:val="superscript"/>
              </w:rPr>
              <w:footnoteReference w:id="185"/>
            </w:r>
            <w:r>
              <w:rPr>
                <w:rFonts w:asciiTheme="minorHAnsi" w:hAnsiTheme="minorHAnsi" w:cstheme="minorHAnsi"/>
                <w:sz w:val="20"/>
                <w:szCs w:val="20"/>
              </w:rPr>
              <w:t>.</w:t>
            </w:r>
          </w:p>
          <w:p w14:paraId="0B89012B" w14:textId="77777777" w:rsidR="00E310E9" w:rsidRDefault="00E310E9" w:rsidP="00491D76">
            <w:pPr>
              <w:spacing w:after="0" w:line="240" w:lineRule="auto"/>
              <w:rPr>
                <w:rFonts w:asciiTheme="minorHAnsi" w:hAnsiTheme="minorHAnsi" w:cstheme="minorHAnsi"/>
                <w:sz w:val="20"/>
                <w:szCs w:val="20"/>
              </w:rPr>
            </w:pPr>
          </w:p>
          <w:p w14:paraId="21FE94D5" w14:textId="77777777" w:rsidR="00E310E9" w:rsidRDefault="00E310E9" w:rsidP="00491D76">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Alternativně vede ke snížení potřeby primární energie nejméně o 30 % </w:t>
            </w:r>
            <w:r>
              <w:rPr>
                <w:rFonts w:asciiTheme="minorHAnsi" w:hAnsiTheme="minorHAnsi" w:cstheme="minorHAnsi"/>
                <w:sz w:val="20"/>
                <w:szCs w:val="20"/>
                <w:vertAlign w:val="superscript"/>
              </w:rPr>
              <w:footnoteReference w:id="186"/>
            </w:r>
            <w:r>
              <w:rPr>
                <w:rFonts w:asciiTheme="minorHAnsi" w:hAnsiTheme="minorHAnsi" w:cstheme="minorHAnsi"/>
                <w:sz w:val="20"/>
                <w:szCs w:val="20"/>
              </w:rPr>
              <w:t>.</w:t>
            </w:r>
          </w:p>
          <w:p w14:paraId="3EA06A6C" w14:textId="77777777" w:rsidR="00E310E9" w:rsidRDefault="00E310E9" w:rsidP="00491D76">
            <w:pPr>
              <w:spacing w:after="0" w:line="240" w:lineRule="auto"/>
              <w:rPr>
                <w:rFonts w:asciiTheme="minorHAnsi" w:hAnsiTheme="minorHAnsi" w:cstheme="minorHAnsi"/>
                <w:sz w:val="20"/>
                <w:szCs w:val="20"/>
              </w:rPr>
            </w:pPr>
          </w:p>
          <w:p w14:paraId="2B1F902C" w14:textId="1398895C" w:rsidR="00E310E9" w:rsidRDefault="00E310E9" w:rsidP="00491D76">
            <w:pPr>
              <w:spacing w:after="0" w:line="240" w:lineRule="auto"/>
              <w:rPr>
                <w:rFonts w:asciiTheme="minorHAnsi" w:hAnsiTheme="minorHAnsi" w:cstheme="minorHAnsi"/>
                <w:b/>
                <w:i/>
                <w:sz w:val="20"/>
                <w:szCs w:val="20"/>
              </w:rPr>
            </w:pPr>
            <w:r>
              <w:rPr>
                <w:rFonts w:asciiTheme="minorHAnsi" w:hAnsiTheme="minorHAnsi" w:cstheme="minorHAnsi"/>
                <w:b/>
                <w:i/>
                <w:sz w:val="20"/>
                <w:szCs w:val="20"/>
              </w:rPr>
              <w:t>Významný přínos ke zmírňování změny klimatu dle přílohy I nařízení EU 2021/2139 je splněno při stanovení podmínek alespoň v úrovni snížení potřeby primární energie o alespoň 30</w:t>
            </w:r>
            <w:r w:rsidR="00A37B2E">
              <w:rPr>
                <w:rFonts w:asciiTheme="minorHAnsi" w:hAnsiTheme="minorHAnsi" w:cstheme="minorHAnsi"/>
                <w:b/>
                <w:i/>
                <w:sz w:val="20"/>
                <w:szCs w:val="20"/>
              </w:rPr>
              <w:t> </w:t>
            </w:r>
            <w:r>
              <w:rPr>
                <w:rFonts w:asciiTheme="minorHAnsi" w:hAnsiTheme="minorHAnsi" w:cstheme="minorHAnsi"/>
                <w:b/>
                <w:i/>
                <w:sz w:val="20"/>
                <w:szCs w:val="20"/>
              </w:rPr>
              <w:t xml:space="preserve">% nebo </w:t>
            </w:r>
            <w:r w:rsidR="00A37B2E">
              <w:rPr>
                <w:rFonts w:asciiTheme="minorHAnsi" w:hAnsiTheme="minorHAnsi" w:cstheme="minorHAnsi"/>
                <w:b/>
                <w:i/>
                <w:sz w:val="20"/>
                <w:szCs w:val="20"/>
              </w:rPr>
              <w:t>celkovou důkladnou renovací</w:t>
            </w:r>
            <w:r>
              <w:rPr>
                <w:rFonts w:asciiTheme="minorHAnsi" w:hAnsiTheme="minorHAnsi" w:cstheme="minorHAnsi"/>
                <w:b/>
                <w:i/>
                <w:sz w:val="20"/>
                <w:szCs w:val="20"/>
              </w:rPr>
              <w:t>.</w:t>
            </w:r>
          </w:p>
          <w:p w14:paraId="74EAA0C7" w14:textId="77777777" w:rsidR="00E310E9" w:rsidRDefault="00E310E9" w:rsidP="00491D76">
            <w:pPr>
              <w:spacing w:after="0" w:line="240" w:lineRule="auto"/>
              <w:rPr>
                <w:rFonts w:asciiTheme="minorHAnsi" w:hAnsiTheme="minorHAnsi" w:cstheme="minorHAnsi"/>
                <w:sz w:val="20"/>
                <w:szCs w:val="20"/>
              </w:rPr>
            </w:pPr>
          </w:p>
        </w:tc>
      </w:tr>
      <w:tr w:rsidR="00E310E9" w14:paraId="711FCE21" w14:textId="77777777" w:rsidTr="00491D76">
        <w:tc>
          <w:tcPr>
            <w:tcW w:w="570" w:type="pct"/>
            <w:vMerge/>
            <w:shd w:val="clear" w:color="auto" w:fill="FFF0FF"/>
          </w:tcPr>
          <w:p w14:paraId="376018D6" w14:textId="77777777" w:rsidR="00E310E9" w:rsidRDefault="00E310E9" w:rsidP="00491D76">
            <w:pPr>
              <w:spacing w:after="0" w:line="240" w:lineRule="auto"/>
              <w:rPr>
                <w:rFonts w:asciiTheme="minorHAnsi" w:hAnsiTheme="minorHAnsi" w:cstheme="minorHAnsi"/>
                <w:b/>
                <w:sz w:val="20"/>
                <w:szCs w:val="20"/>
              </w:rPr>
            </w:pPr>
          </w:p>
        </w:tc>
        <w:tc>
          <w:tcPr>
            <w:tcW w:w="1150" w:type="pct"/>
            <w:shd w:val="clear" w:color="auto" w:fill="FFF0FF"/>
          </w:tcPr>
          <w:p w14:paraId="7CA5932B" w14:textId="77777777" w:rsidR="00E310E9" w:rsidRDefault="00E310E9" w:rsidP="00491D76">
            <w:pPr>
              <w:spacing w:after="0" w:line="240" w:lineRule="auto"/>
              <w:rPr>
                <w:rFonts w:asciiTheme="minorHAnsi" w:hAnsiTheme="minorHAnsi" w:cstheme="minorHAnsi"/>
                <w:bCs/>
                <w:sz w:val="20"/>
                <w:szCs w:val="20"/>
                <w:lang w:eastAsia="cs-CZ"/>
              </w:rPr>
            </w:pPr>
            <w:r>
              <w:rPr>
                <w:rFonts w:asciiTheme="minorHAnsi" w:hAnsiTheme="minorHAnsi" w:cstheme="minorHAnsi"/>
                <w:bCs/>
                <w:sz w:val="20"/>
                <w:szCs w:val="20"/>
              </w:rPr>
              <w:t>Budova není určena k těžbě, skladování, přepravě nebo výrobě fosilních paliv.</w:t>
            </w:r>
          </w:p>
        </w:tc>
        <w:tc>
          <w:tcPr>
            <w:tcW w:w="1114" w:type="pct"/>
            <w:shd w:val="clear" w:color="auto" w:fill="FFF0FF"/>
          </w:tcPr>
          <w:p w14:paraId="770BD91F" w14:textId="77777777" w:rsidR="00E310E9" w:rsidRDefault="00E310E9" w:rsidP="00491D76">
            <w:pPr>
              <w:spacing w:after="0" w:line="240" w:lineRule="auto"/>
              <w:rPr>
                <w:rFonts w:asciiTheme="minorHAnsi" w:hAnsiTheme="minorHAnsi" w:cstheme="minorHAnsi"/>
                <w:sz w:val="20"/>
                <w:szCs w:val="20"/>
              </w:rPr>
            </w:pPr>
            <w:r>
              <w:rPr>
                <w:rFonts w:asciiTheme="minorHAnsi" w:hAnsiTheme="minorHAnsi" w:cstheme="minorHAnsi"/>
                <w:sz w:val="20"/>
                <w:szCs w:val="20"/>
              </w:rPr>
              <w:t>Nastavení předmětu podpory.</w:t>
            </w:r>
          </w:p>
        </w:tc>
        <w:tc>
          <w:tcPr>
            <w:tcW w:w="1064" w:type="pct"/>
            <w:shd w:val="clear" w:color="auto" w:fill="FFF0FF"/>
          </w:tcPr>
          <w:p w14:paraId="1C9567E2" w14:textId="77777777" w:rsidR="00E310E9" w:rsidRDefault="00E310E9" w:rsidP="00491D76">
            <w:pPr>
              <w:spacing w:after="0" w:line="240" w:lineRule="auto"/>
              <w:rPr>
                <w:rFonts w:asciiTheme="minorHAnsi" w:hAnsiTheme="minorHAnsi" w:cstheme="minorHAnsi"/>
                <w:sz w:val="20"/>
                <w:szCs w:val="20"/>
              </w:rPr>
            </w:pPr>
            <w:r>
              <w:rPr>
                <w:rFonts w:asciiTheme="minorHAnsi" w:hAnsiTheme="minorHAnsi" w:cstheme="minorHAnsi"/>
                <w:sz w:val="20"/>
                <w:szCs w:val="20"/>
              </w:rPr>
              <w:t>Kontrola v rámci projektové žádosti.</w:t>
            </w:r>
          </w:p>
        </w:tc>
        <w:tc>
          <w:tcPr>
            <w:tcW w:w="1102" w:type="pct"/>
            <w:shd w:val="clear" w:color="auto" w:fill="FFF0FF"/>
          </w:tcPr>
          <w:p w14:paraId="2ABF190D" w14:textId="77777777" w:rsidR="00E310E9" w:rsidRDefault="00E310E9" w:rsidP="00491D76">
            <w:pPr>
              <w:spacing w:after="0" w:line="240" w:lineRule="auto"/>
              <w:rPr>
                <w:rFonts w:asciiTheme="minorHAnsi" w:hAnsiTheme="minorHAnsi" w:cstheme="minorHAnsi"/>
                <w:sz w:val="20"/>
                <w:szCs w:val="20"/>
              </w:rPr>
            </w:pPr>
            <w:r>
              <w:rPr>
                <w:rFonts w:asciiTheme="minorHAnsi" w:hAnsiTheme="minorHAnsi" w:cstheme="minorHAnsi"/>
                <w:sz w:val="20"/>
                <w:szCs w:val="20"/>
              </w:rPr>
              <w:t>Budova není určena k těžbě, skladování, přepravě nebo výrobě fosilních paliv.</w:t>
            </w:r>
          </w:p>
          <w:p w14:paraId="0030DA4C" w14:textId="77777777" w:rsidR="00E310E9" w:rsidRDefault="00E310E9" w:rsidP="00491D76">
            <w:pPr>
              <w:spacing w:after="0" w:line="240" w:lineRule="auto"/>
              <w:rPr>
                <w:rFonts w:asciiTheme="minorHAnsi" w:hAnsiTheme="minorHAnsi" w:cstheme="minorHAnsi"/>
                <w:i/>
                <w:sz w:val="20"/>
                <w:szCs w:val="20"/>
              </w:rPr>
            </w:pPr>
          </w:p>
          <w:p w14:paraId="6D334F87" w14:textId="77777777" w:rsidR="00E310E9" w:rsidRDefault="00E310E9" w:rsidP="00491D76">
            <w:pPr>
              <w:spacing w:after="0" w:line="240" w:lineRule="auto"/>
              <w:rPr>
                <w:rFonts w:asciiTheme="minorHAnsi" w:hAnsiTheme="minorHAnsi" w:cstheme="minorHAnsi"/>
                <w:b/>
                <w:i/>
                <w:sz w:val="20"/>
                <w:szCs w:val="20"/>
              </w:rPr>
            </w:pPr>
            <w:r>
              <w:rPr>
                <w:rFonts w:asciiTheme="minorHAnsi" w:hAnsiTheme="minorHAnsi" w:cstheme="minorHAnsi"/>
                <w:b/>
                <w:i/>
                <w:sz w:val="20"/>
                <w:szCs w:val="20"/>
              </w:rPr>
              <w:t>DNSH zmírňování změny klimatu (</w:t>
            </w:r>
            <w:proofErr w:type="spellStart"/>
            <w:r>
              <w:rPr>
                <w:rFonts w:asciiTheme="minorHAnsi" w:hAnsiTheme="minorHAnsi" w:cstheme="minorHAnsi"/>
                <w:b/>
                <w:i/>
                <w:sz w:val="20"/>
                <w:szCs w:val="20"/>
              </w:rPr>
              <w:t>mitigace</w:t>
            </w:r>
            <w:proofErr w:type="spellEnd"/>
            <w:r>
              <w:rPr>
                <w:rFonts w:asciiTheme="minorHAnsi" w:hAnsiTheme="minorHAnsi" w:cstheme="minorHAnsi"/>
                <w:b/>
                <w:i/>
                <w:sz w:val="20"/>
                <w:szCs w:val="20"/>
              </w:rPr>
              <w:t>) dle přílohy II nařízení EU 2021/2139 a dle přílohy II nařízení EU 2023/2486 je splněno</w:t>
            </w:r>
          </w:p>
          <w:p w14:paraId="647ED78B" w14:textId="77777777" w:rsidR="00E310E9" w:rsidRDefault="00E310E9" w:rsidP="00491D76">
            <w:pPr>
              <w:spacing w:after="0" w:line="240" w:lineRule="auto"/>
              <w:rPr>
                <w:rFonts w:asciiTheme="minorHAnsi" w:hAnsiTheme="minorHAnsi" w:cstheme="minorHAnsi"/>
                <w:sz w:val="20"/>
                <w:szCs w:val="20"/>
              </w:rPr>
            </w:pPr>
          </w:p>
        </w:tc>
      </w:tr>
      <w:tr w:rsidR="00E310E9" w14:paraId="239829CB" w14:textId="77777777" w:rsidTr="00491D76">
        <w:tc>
          <w:tcPr>
            <w:tcW w:w="570" w:type="pct"/>
            <w:vMerge/>
            <w:shd w:val="clear" w:color="auto" w:fill="FFF0FF"/>
          </w:tcPr>
          <w:p w14:paraId="6C33B1A3" w14:textId="77777777" w:rsidR="00E310E9" w:rsidRDefault="00E310E9" w:rsidP="00491D76">
            <w:pPr>
              <w:spacing w:after="0" w:line="240" w:lineRule="auto"/>
              <w:rPr>
                <w:rFonts w:asciiTheme="minorHAnsi" w:hAnsiTheme="minorHAnsi" w:cstheme="minorHAnsi"/>
                <w:b/>
                <w:sz w:val="20"/>
                <w:szCs w:val="20"/>
              </w:rPr>
            </w:pPr>
          </w:p>
        </w:tc>
        <w:tc>
          <w:tcPr>
            <w:tcW w:w="1150" w:type="pct"/>
            <w:shd w:val="clear" w:color="auto" w:fill="FFF0FF"/>
          </w:tcPr>
          <w:p w14:paraId="1632988D" w14:textId="77777777" w:rsidR="00E310E9" w:rsidRDefault="00E310E9" w:rsidP="00491D76">
            <w:pPr>
              <w:spacing w:after="0" w:line="240" w:lineRule="auto"/>
              <w:rPr>
                <w:rFonts w:asciiTheme="minorHAnsi" w:hAnsiTheme="minorHAnsi" w:cstheme="minorHAnsi"/>
                <w:bCs/>
                <w:sz w:val="20"/>
                <w:szCs w:val="20"/>
                <w:lang w:eastAsia="cs-CZ"/>
              </w:rPr>
            </w:pPr>
            <w:r>
              <w:rPr>
                <w:rFonts w:asciiTheme="minorHAnsi" w:hAnsiTheme="minorHAnsi" w:cstheme="minorHAnsi"/>
                <w:bCs/>
                <w:sz w:val="20"/>
                <w:szCs w:val="20"/>
              </w:rPr>
              <w:t xml:space="preserve">Výrobky označené energetickými štítky budou splňovat požadavky na ekodesign (tj. požadavky směrnice Evropského parlamentu a Rady </w:t>
            </w:r>
            <w:r w:rsidRPr="00F0232E">
              <w:rPr>
                <w:rFonts w:asciiTheme="minorHAnsi" w:hAnsiTheme="minorHAnsi" w:cstheme="minorHAnsi"/>
                <w:bCs/>
                <w:sz w:val="20"/>
                <w:szCs w:val="20"/>
              </w:rPr>
              <w:t>2024/1781</w:t>
            </w:r>
            <w:r>
              <w:rPr>
                <w:rFonts w:asciiTheme="minorHAnsi" w:hAnsiTheme="minorHAnsi" w:cstheme="minorHAnsi"/>
                <w:bCs/>
                <w:sz w:val="20"/>
                <w:szCs w:val="20"/>
              </w:rPr>
              <w:t>) a budou zařazeny do jedné ze dvou nejvyšších významně zastoupených tříd energetické účinnosti ve smyslu čl. 7 odst. 2 nařízení Evropského parlamentu a Rady (EU) 2017/1369 (zastoupení na trhu)</w:t>
            </w:r>
            <w:r>
              <w:rPr>
                <w:rStyle w:val="Znakapoznpodarou"/>
                <w:rFonts w:asciiTheme="minorHAnsi" w:hAnsiTheme="minorHAnsi" w:cstheme="minorHAnsi"/>
                <w:bCs/>
                <w:sz w:val="20"/>
                <w:szCs w:val="20"/>
              </w:rPr>
              <w:footnoteReference w:id="187"/>
            </w:r>
            <w:r>
              <w:rPr>
                <w:rFonts w:asciiTheme="minorHAnsi" w:hAnsiTheme="minorHAnsi" w:cstheme="minorHAnsi"/>
                <w:bCs/>
                <w:sz w:val="20"/>
                <w:szCs w:val="20"/>
              </w:rPr>
              <w:t xml:space="preserve">. </w:t>
            </w:r>
            <w:r w:rsidRPr="00D77C59">
              <w:rPr>
                <w:rFonts w:asciiTheme="minorHAnsi" w:hAnsiTheme="minorHAnsi" w:cstheme="minorHAnsi"/>
                <w:bCs/>
                <w:sz w:val="20"/>
                <w:szCs w:val="20"/>
              </w:rPr>
              <w:t>V případě produktů bez označování energetickými štítky lze zvýhodnit výrobky s jinou certifikací energetické účinnosti.</w:t>
            </w:r>
          </w:p>
        </w:tc>
        <w:tc>
          <w:tcPr>
            <w:tcW w:w="1114" w:type="pct"/>
            <w:shd w:val="clear" w:color="auto" w:fill="FFF0FF"/>
          </w:tcPr>
          <w:p w14:paraId="2E132713" w14:textId="77777777" w:rsidR="00E310E9" w:rsidRDefault="00E310E9" w:rsidP="00491D76">
            <w:pPr>
              <w:spacing w:after="0" w:line="240" w:lineRule="auto"/>
              <w:rPr>
                <w:rFonts w:asciiTheme="minorHAnsi" w:hAnsiTheme="minorHAnsi" w:cstheme="minorHAnsi"/>
                <w:sz w:val="20"/>
                <w:szCs w:val="20"/>
              </w:rPr>
            </w:pPr>
            <w:r>
              <w:rPr>
                <w:rFonts w:asciiTheme="minorHAnsi" w:hAnsiTheme="minorHAnsi" w:cstheme="minorHAnsi"/>
                <w:sz w:val="20"/>
                <w:szCs w:val="20"/>
              </w:rPr>
              <w:t>Nastavení podmínek podpory – jedná se o legislativní požadavek pro poskytování veřejné podpory.</w:t>
            </w:r>
          </w:p>
          <w:p w14:paraId="2FCED32E" w14:textId="77777777" w:rsidR="00E310E9" w:rsidRDefault="00E310E9" w:rsidP="00491D76">
            <w:pPr>
              <w:spacing w:after="0" w:line="240" w:lineRule="auto"/>
              <w:rPr>
                <w:rFonts w:asciiTheme="minorHAnsi" w:hAnsiTheme="minorHAnsi" w:cstheme="minorHAnsi"/>
                <w:sz w:val="20"/>
                <w:szCs w:val="20"/>
              </w:rPr>
            </w:pPr>
          </w:p>
          <w:p w14:paraId="2C8845EF" w14:textId="77777777" w:rsidR="00E310E9" w:rsidRDefault="00E310E9" w:rsidP="00491D76">
            <w:pPr>
              <w:spacing w:after="0" w:line="240" w:lineRule="auto"/>
              <w:rPr>
                <w:rFonts w:asciiTheme="minorHAnsi" w:hAnsiTheme="minorHAnsi" w:cstheme="minorHAnsi"/>
                <w:sz w:val="20"/>
                <w:szCs w:val="20"/>
              </w:rPr>
            </w:pPr>
            <w:r>
              <w:rPr>
                <w:rFonts w:asciiTheme="minorHAnsi" w:hAnsiTheme="minorHAnsi" w:cstheme="minorHAnsi"/>
                <w:sz w:val="20"/>
                <w:szCs w:val="20"/>
              </w:rPr>
              <w:t>Konkretizované min. požadavky na energetickou účinnost zdrojů energie a případné další podmínky jsou rozvedeny v podkapitolách kapitoly 5.2.</w:t>
            </w:r>
          </w:p>
        </w:tc>
        <w:tc>
          <w:tcPr>
            <w:tcW w:w="1064" w:type="pct"/>
            <w:shd w:val="clear" w:color="auto" w:fill="FFF0FF"/>
          </w:tcPr>
          <w:p w14:paraId="02EF9A79" w14:textId="77777777" w:rsidR="00E310E9" w:rsidRDefault="00E310E9" w:rsidP="00491D76">
            <w:pPr>
              <w:spacing w:after="0" w:line="240" w:lineRule="auto"/>
              <w:rPr>
                <w:rFonts w:asciiTheme="minorHAnsi" w:hAnsiTheme="minorHAnsi" w:cstheme="minorHAnsi"/>
                <w:sz w:val="20"/>
                <w:szCs w:val="20"/>
              </w:rPr>
            </w:pPr>
            <w:r>
              <w:rPr>
                <w:rFonts w:asciiTheme="minorHAnsi" w:hAnsiTheme="minorHAnsi" w:cstheme="minorHAnsi"/>
                <w:sz w:val="20"/>
                <w:szCs w:val="20"/>
              </w:rPr>
              <w:t>Kontrola v rámci projektové žádosti.</w:t>
            </w:r>
          </w:p>
        </w:tc>
        <w:tc>
          <w:tcPr>
            <w:tcW w:w="1102" w:type="pct"/>
            <w:shd w:val="clear" w:color="auto" w:fill="FFF0FF"/>
          </w:tcPr>
          <w:p w14:paraId="3D05D3B9" w14:textId="77777777" w:rsidR="00E310E9" w:rsidRDefault="00E310E9" w:rsidP="00491D76">
            <w:pPr>
              <w:spacing w:after="0" w:line="240" w:lineRule="auto"/>
              <w:rPr>
                <w:rFonts w:asciiTheme="minorHAnsi" w:hAnsiTheme="minorHAnsi" w:cstheme="minorHAnsi"/>
                <w:sz w:val="20"/>
                <w:szCs w:val="20"/>
              </w:rPr>
            </w:pPr>
          </w:p>
        </w:tc>
      </w:tr>
      <w:tr w:rsidR="00E310E9" w14:paraId="0B21CE2E" w14:textId="77777777" w:rsidTr="00491D76">
        <w:tc>
          <w:tcPr>
            <w:tcW w:w="570" w:type="pct"/>
            <w:vMerge/>
            <w:shd w:val="clear" w:color="auto" w:fill="FFF0FF"/>
          </w:tcPr>
          <w:p w14:paraId="1F88031A" w14:textId="77777777" w:rsidR="00E310E9" w:rsidRDefault="00E310E9" w:rsidP="00491D76">
            <w:pPr>
              <w:spacing w:after="0" w:line="240" w:lineRule="auto"/>
              <w:rPr>
                <w:rFonts w:asciiTheme="minorHAnsi" w:hAnsiTheme="minorHAnsi" w:cstheme="minorHAnsi"/>
                <w:b/>
                <w:sz w:val="20"/>
                <w:szCs w:val="20"/>
              </w:rPr>
            </w:pPr>
          </w:p>
        </w:tc>
        <w:tc>
          <w:tcPr>
            <w:tcW w:w="1150" w:type="pct"/>
            <w:shd w:val="clear" w:color="auto" w:fill="FFF0FF"/>
          </w:tcPr>
          <w:p w14:paraId="3FEBB252" w14:textId="33EA67CB" w:rsidR="00E310E9" w:rsidRDefault="00E310E9" w:rsidP="00491D76">
            <w:pPr>
              <w:spacing w:after="0" w:line="240" w:lineRule="auto"/>
              <w:rPr>
                <w:rFonts w:asciiTheme="minorHAnsi" w:hAnsiTheme="minorHAnsi" w:cstheme="minorHAnsi"/>
                <w:bCs/>
                <w:color w:val="A6A6A6" w:themeColor="background1" w:themeShade="A6"/>
                <w:sz w:val="20"/>
                <w:szCs w:val="20"/>
              </w:rPr>
            </w:pPr>
            <w:r>
              <w:rPr>
                <w:rFonts w:asciiTheme="minorHAnsi" w:hAnsiTheme="minorHAnsi" w:cstheme="minorHAnsi"/>
                <w:bCs/>
                <w:sz w:val="20"/>
                <w:szCs w:val="20"/>
              </w:rPr>
              <w:t>V případě nevyhovujícího zdroje energie dojde k náhradě zdroje dle</w:t>
            </w:r>
            <w:r w:rsidR="00A37B2E">
              <w:rPr>
                <w:rFonts w:asciiTheme="minorHAnsi" w:hAnsiTheme="minorHAnsi" w:cstheme="minorHAnsi"/>
                <w:bCs/>
                <w:sz w:val="20"/>
                <w:szCs w:val="20"/>
              </w:rPr>
              <w:t xml:space="preserve"> kapitoly 5.2.1.2 a technickými parametry pro vybrané zdroje dle kapitol 5.2.3.2.1 až 5.2.3.2.8</w:t>
            </w:r>
            <w:r>
              <w:rPr>
                <w:rFonts w:asciiTheme="minorHAnsi" w:hAnsiTheme="minorHAnsi" w:cstheme="minorHAnsi"/>
                <w:bCs/>
                <w:sz w:val="20"/>
                <w:szCs w:val="20"/>
              </w:rPr>
              <w:t>.</w:t>
            </w:r>
          </w:p>
        </w:tc>
        <w:tc>
          <w:tcPr>
            <w:tcW w:w="1114" w:type="pct"/>
            <w:shd w:val="clear" w:color="auto" w:fill="FFF0FF"/>
          </w:tcPr>
          <w:p w14:paraId="5024BE44" w14:textId="77777777" w:rsidR="00E310E9" w:rsidRDefault="00E310E9" w:rsidP="00491D76">
            <w:pPr>
              <w:spacing w:after="0" w:line="240" w:lineRule="auto"/>
              <w:rPr>
                <w:rFonts w:asciiTheme="minorHAnsi" w:hAnsiTheme="minorHAnsi" w:cstheme="minorHAnsi"/>
                <w:color w:val="A6A6A6" w:themeColor="background1" w:themeShade="A6"/>
                <w:sz w:val="20"/>
                <w:szCs w:val="20"/>
              </w:rPr>
            </w:pPr>
            <w:r>
              <w:rPr>
                <w:rFonts w:asciiTheme="minorHAnsi" w:hAnsiTheme="minorHAnsi" w:cstheme="minorHAnsi"/>
                <w:sz w:val="20"/>
                <w:szCs w:val="20"/>
              </w:rPr>
              <w:t>Nastavení podmínek podpory.</w:t>
            </w:r>
          </w:p>
        </w:tc>
        <w:tc>
          <w:tcPr>
            <w:tcW w:w="1064" w:type="pct"/>
            <w:shd w:val="clear" w:color="auto" w:fill="FFF0FF"/>
          </w:tcPr>
          <w:p w14:paraId="2CA425AC" w14:textId="77777777" w:rsidR="00E310E9" w:rsidRDefault="00E310E9" w:rsidP="00491D76">
            <w:pPr>
              <w:spacing w:after="0" w:line="240" w:lineRule="auto"/>
              <w:rPr>
                <w:rFonts w:asciiTheme="minorHAnsi" w:hAnsiTheme="minorHAnsi" w:cstheme="minorHAnsi"/>
                <w:sz w:val="20"/>
                <w:szCs w:val="20"/>
              </w:rPr>
            </w:pPr>
            <w:r>
              <w:rPr>
                <w:rFonts w:asciiTheme="minorHAnsi" w:hAnsiTheme="minorHAnsi" w:cstheme="minorHAnsi"/>
                <w:sz w:val="20"/>
                <w:szCs w:val="20"/>
              </w:rPr>
              <w:t>Kontrola v rámci projektové žádosti.</w:t>
            </w:r>
          </w:p>
        </w:tc>
        <w:tc>
          <w:tcPr>
            <w:tcW w:w="1102" w:type="pct"/>
            <w:shd w:val="clear" w:color="auto" w:fill="FFF0FF"/>
          </w:tcPr>
          <w:p w14:paraId="304611B3" w14:textId="77777777" w:rsidR="00E310E9" w:rsidRDefault="00E310E9" w:rsidP="00491D76">
            <w:pPr>
              <w:spacing w:after="0" w:line="240" w:lineRule="auto"/>
              <w:rPr>
                <w:rFonts w:asciiTheme="minorHAnsi" w:hAnsiTheme="minorHAnsi" w:cstheme="minorHAnsi"/>
                <w:sz w:val="20"/>
                <w:szCs w:val="20"/>
              </w:rPr>
            </w:pPr>
          </w:p>
        </w:tc>
      </w:tr>
      <w:tr w:rsidR="00E310E9" w14:paraId="20D58DC0" w14:textId="77777777" w:rsidTr="00491D76">
        <w:tc>
          <w:tcPr>
            <w:tcW w:w="570" w:type="pct"/>
            <w:shd w:val="clear" w:color="auto" w:fill="E7FFE8"/>
          </w:tcPr>
          <w:p w14:paraId="2AEF7F7F" w14:textId="77777777" w:rsidR="00E310E9" w:rsidRDefault="00E310E9" w:rsidP="00491D76">
            <w:pPr>
              <w:spacing w:after="0" w:line="240" w:lineRule="auto"/>
              <w:jc w:val="left"/>
              <w:rPr>
                <w:rFonts w:asciiTheme="minorHAnsi" w:hAnsiTheme="minorHAnsi" w:cstheme="minorHAnsi"/>
                <w:b/>
                <w:sz w:val="20"/>
                <w:szCs w:val="20"/>
              </w:rPr>
            </w:pPr>
            <w:r>
              <w:rPr>
                <w:rFonts w:asciiTheme="minorHAnsi" w:hAnsiTheme="minorHAnsi" w:cstheme="minorHAnsi"/>
                <w:b/>
                <w:sz w:val="20"/>
                <w:szCs w:val="20"/>
              </w:rPr>
              <w:t xml:space="preserve">Přizpůsobování se změně klimatu </w:t>
            </w:r>
          </w:p>
        </w:tc>
        <w:tc>
          <w:tcPr>
            <w:tcW w:w="1150" w:type="pct"/>
            <w:shd w:val="clear" w:color="auto" w:fill="E7FFE8"/>
          </w:tcPr>
          <w:p w14:paraId="40FAFB3C" w14:textId="77777777" w:rsidR="00E310E9" w:rsidRDefault="00E310E9" w:rsidP="00491D76">
            <w:pPr>
              <w:spacing w:after="0" w:line="240" w:lineRule="auto"/>
              <w:rPr>
                <w:rFonts w:asciiTheme="minorHAnsi" w:hAnsiTheme="minorHAnsi" w:cstheme="minorHAnsi"/>
                <w:bCs/>
                <w:sz w:val="20"/>
                <w:szCs w:val="20"/>
              </w:rPr>
            </w:pPr>
            <w:r>
              <w:rPr>
                <w:rFonts w:asciiTheme="minorHAnsi" w:hAnsiTheme="minorHAnsi" w:cstheme="minorHAnsi"/>
                <w:bCs/>
                <w:sz w:val="20"/>
                <w:szCs w:val="20"/>
              </w:rPr>
              <w:t>Identifikace a popis řešení fyzických klimatických rizik:</w:t>
            </w:r>
          </w:p>
          <w:p w14:paraId="77850D4D" w14:textId="77777777" w:rsidR="00E310E9" w:rsidRDefault="00E310E9" w:rsidP="00491D76">
            <w:pPr>
              <w:spacing w:after="0" w:line="240" w:lineRule="auto"/>
              <w:rPr>
                <w:rFonts w:asciiTheme="minorHAnsi" w:hAnsiTheme="minorHAnsi" w:cstheme="minorHAnsi"/>
                <w:bCs/>
                <w:sz w:val="20"/>
                <w:szCs w:val="20"/>
              </w:rPr>
            </w:pPr>
            <w:r>
              <w:rPr>
                <w:rFonts w:asciiTheme="minorHAnsi" w:hAnsiTheme="minorHAnsi" w:cstheme="minorHAnsi"/>
                <w:bCs/>
                <w:sz w:val="20"/>
                <w:szCs w:val="20"/>
              </w:rPr>
              <w:t xml:space="preserve">- Dlouhodobé sucho </w:t>
            </w:r>
          </w:p>
          <w:p w14:paraId="465C4160" w14:textId="77777777" w:rsidR="00E310E9" w:rsidRDefault="00E310E9" w:rsidP="00491D76">
            <w:pPr>
              <w:spacing w:after="0" w:line="240" w:lineRule="auto"/>
              <w:rPr>
                <w:rFonts w:asciiTheme="minorHAnsi" w:hAnsiTheme="minorHAnsi" w:cstheme="minorHAnsi"/>
                <w:bCs/>
                <w:sz w:val="20"/>
                <w:szCs w:val="20"/>
              </w:rPr>
            </w:pPr>
            <w:r>
              <w:rPr>
                <w:rFonts w:asciiTheme="minorHAnsi" w:hAnsiTheme="minorHAnsi" w:cstheme="minorHAnsi"/>
                <w:bCs/>
                <w:sz w:val="20"/>
                <w:szCs w:val="20"/>
              </w:rPr>
              <w:t xml:space="preserve">- Povodně a přívalové povodně </w:t>
            </w:r>
          </w:p>
          <w:p w14:paraId="5C44EA32" w14:textId="77777777" w:rsidR="00E310E9" w:rsidRDefault="00E310E9" w:rsidP="00491D76">
            <w:pPr>
              <w:spacing w:after="0" w:line="240" w:lineRule="auto"/>
              <w:rPr>
                <w:rFonts w:asciiTheme="minorHAnsi" w:hAnsiTheme="minorHAnsi" w:cstheme="minorHAnsi"/>
                <w:bCs/>
                <w:sz w:val="20"/>
                <w:szCs w:val="20"/>
              </w:rPr>
            </w:pPr>
            <w:r>
              <w:rPr>
                <w:rFonts w:asciiTheme="minorHAnsi" w:hAnsiTheme="minorHAnsi" w:cstheme="minorHAnsi"/>
                <w:bCs/>
                <w:sz w:val="20"/>
                <w:szCs w:val="20"/>
              </w:rPr>
              <w:t xml:space="preserve">- Vydatné srážky </w:t>
            </w:r>
          </w:p>
          <w:p w14:paraId="5AD976B3" w14:textId="77777777" w:rsidR="00E310E9" w:rsidRDefault="00E310E9" w:rsidP="00491D76">
            <w:pPr>
              <w:spacing w:after="0" w:line="240" w:lineRule="auto"/>
              <w:rPr>
                <w:rFonts w:asciiTheme="minorHAnsi" w:hAnsiTheme="minorHAnsi" w:cstheme="minorHAnsi"/>
                <w:bCs/>
                <w:sz w:val="20"/>
                <w:szCs w:val="20"/>
              </w:rPr>
            </w:pPr>
            <w:r>
              <w:rPr>
                <w:rFonts w:asciiTheme="minorHAnsi" w:hAnsiTheme="minorHAnsi" w:cstheme="minorHAnsi"/>
                <w:bCs/>
                <w:sz w:val="20"/>
                <w:szCs w:val="20"/>
              </w:rPr>
              <w:t xml:space="preserve">- Zvyšování teplot </w:t>
            </w:r>
          </w:p>
          <w:p w14:paraId="63AB9880" w14:textId="77777777" w:rsidR="00E310E9" w:rsidRDefault="00E310E9" w:rsidP="00491D76">
            <w:pPr>
              <w:spacing w:after="0" w:line="240" w:lineRule="auto"/>
              <w:rPr>
                <w:rFonts w:asciiTheme="minorHAnsi" w:hAnsiTheme="minorHAnsi" w:cstheme="minorHAnsi"/>
                <w:bCs/>
                <w:sz w:val="20"/>
                <w:szCs w:val="20"/>
              </w:rPr>
            </w:pPr>
            <w:r>
              <w:rPr>
                <w:rFonts w:asciiTheme="minorHAnsi" w:hAnsiTheme="minorHAnsi" w:cstheme="minorHAnsi"/>
                <w:bCs/>
                <w:sz w:val="20"/>
                <w:szCs w:val="20"/>
              </w:rPr>
              <w:lastRenderedPageBreak/>
              <w:t xml:space="preserve">- Extrémně vysoké teploty </w:t>
            </w:r>
          </w:p>
          <w:p w14:paraId="490660C8" w14:textId="77777777" w:rsidR="00E310E9" w:rsidRDefault="00E310E9" w:rsidP="00491D76">
            <w:pPr>
              <w:spacing w:after="0" w:line="240" w:lineRule="auto"/>
              <w:rPr>
                <w:rFonts w:asciiTheme="minorHAnsi" w:hAnsiTheme="minorHAnsi" w:cstheme="minorHAnsi"/>
                <w:bCs/>
                <w:sz w:val="20"/>
                <w:szCs w:val="20"/>
              </w:rPr>
            </w:pPr>
            <w:r>
              <w:rPr>
                <w:rFonts w:asciiTheme="minorHAnsi" w:hAnsiTheme="minorHAnsi" w:cstheme="minorHAnsi"/>
                <w:bCs/>
                <w:sz w:val="20"/>
                <w:szCs w:val="20"/>
              </w:rPr>
              <w:t xml:space="preserve">- Extrémní vítr </w:t>
            </w:r>
          </w:p>
          <w:p w14:paraId="14BBC348" w14:textId="77777777" w:rsidR="00E310E9" w:rsidRDefault="00E310E9" w:rsidP="00491D76">
            <w:pPr>
              <w:spacing w:after="0" w:line="240" w:lineRule="auto"/>
              <w:rPr>
                <w:rFonts w:asciiTheme="minorHAnsi" w:hAnsiTheme="minorHAnsi" w:cstheme="minorHAnsi"/>
                <w:bCs/>
                <w:sz w:val="20"/>
                <w:szCs w:val="20"/>
              </w:rPr>
            </w:pPr>
            <w:r>
              <w:rPr>
                <w:rFonts w:asciiTheme="minorHAnsi" w:hAnsiTheme="minorHAnsi" w:cstheme="minorHAnsi"/>
                <w:bCs/>
                <w:sz w:val="20"/>
                <w:szCs w:val="20"/>
              </w:rPr>
              <w:t xml:space="preserve">- Požáry vegetace </w:t>
            </w:r>
          </w:p>
          <w:p w14:paraId="023F66D8" w14:textId="77777777" w:rsidR="00E310E9" w:rsidRDefault="00E310E9" w:rsidP="00491D76">
            <w:pPr>
              <w:spacing w:after="0" w:line="240" w:lineRule="auto"/>
              <w:rPr>
                <w:rFonts w:asciiTheme="minorHAnsi" w:hAnsiTheme="minorHAnsi" w:cstheme="minorHAnsi"/>
                <w:bCs/>
                <w:sz w:val="20"/>
                <w:szCs w:val="20"/>
              </w:rPr>
            </w:pPr>
            <w:r>
              <w:rPr>
                <w:rFonts w:asciiTheme="minorHAnsi" w:hAnsiTheme="minorHAnsi" w:cstheme="minorHAnsi"/>
                <w:bCs/>
                <w:sz w:val="20"/>
                <w:szCs w:val="20"/>
              </w:rPr>
              <w:t>- Místně specifické dopady</w:t>
            </w:r>
          </w:p>
        </w:tc>
        <w:tc>
          <w:tcPr>
            <w:tcW w:w="1114" w:type="pct"/>
            <w:shd w:val="clear" w:color="auto" w:fill="E7FFE8"/>
          </w:tcPr>
          <w:p w14:paraId="55591D19" w14:textId="77777777" w:rsidR="00E310E9" w:rsidRDefault="00E310E9" w:rsidP="00491D76">
            <w:pPr>
              <w:spacing w:after="0" w:line="240" w:lineRule="auto"/>
              <w:rPr>
                <w:rFonts w:asciiTheme="minorHAnsi" w:hAnsiTheme="minorHAnsi" w:cstheme="minorHAnsi"/>
                <w:bCs/>
                <w:sz w:val="20"/>
                <w:szCs w:val="20"/>
              </w:rPr>
            </w:pPr>
            <w:r w:rsidRPr="00C81CB9">
              <w:rPr>
                <w:rFonts w:asciiTheme="minorHAnsi" w:hAnsiTheme="minorHAnsi" w:cstheme="minorHAnsi"/>
                <w:bCs/>
                <w:sz w:val="20"/>
                <w:szCs w:val="20"/>
              </w:rPr>
              <w:lastRenderedPageBreak/>
              <w:t xml:space="preserve">Po provedení analýzy zranitelnosti a identifikaci rizik, které jsou pro danou výzvu relevantní, stanoví ŘO/VK povinná a / nebo doporučující adaptační opatření pro malé projekty či tam, kde lze ve vazbě na podporované </w:t>
            </w:r>
            <w:r w:rsidRPr="00C81CB9">
              <w:rPr>
                <w:rFonts w:asciiTheme="minorHAnsi" w:hAnsiTheme="minorHAnsi" w:cstheme="minorHAnsi"/>
                <w:bCs/>
                <w:sz w:val="20"/>
                <w:szCs w:val="20"/>
              </w:rPr>
              <w:lastRenderedPageBreak/>
              <w:t>typy projektů technologicky vymezit adaptační opatření.</w:t>
            </w:r>
            <w:r>
              <w:rPr>
                <w:rFonts w:asciiTheme="minorHAnsi" w:hAnsiTheme="minorHAnsi" w:cstheme="minorHAnsi"/>
                <w:bCs/>
                <w:sz w:val="20"/>
                <w:szCs w:val="20"/>
              </w:rPr>
              <w:t xml:space="preserve"> </w:t>
            </w:r>
          </w:p>
          <w:p w14:paraId="56BE1D80" w14:textId="77777777" w:rsidR="00E310E9" w:rsidRDefault="00E310E9" w:rsidP="00491D76">
            <w:pPr>
              <w:spacing w:after="0" w:line="240" w:lineRule="auto"/>
              <w:rPr>
                <w:rFonts w:asciiTheme="minorHAnsi" w:hAnsiTheme="minorHAnsi" w:cstheme="minorHAnsi"/>
                <w:bCs/>
                <w:sz w:val="20"/>
                <w:szCs w:val="20"/>
              </w:rPr>
            </w:pPr>
            <w:r>
              <w:rPr>
                <w:rFonts w:asciiTheme="minorHAnsi" w:hAnsiTheme="minorHAnsi" w:cstheme="minorHAnsi"/>
                <w:bCs/>
                <w:sz w:val="20"/>
                <w:szCs w:val="20"/>
              </w:rPr>
              <w:t>Bližší postup je dostupný v kapitole 4.2.5.</w:t>
            </w:r>
          </w:p>
          <w:p w14:paraId="567EAB0A" w14:textId="77777777" w:rsidR="00E310E9" w:rsidRDefault="00E310E9" w:rsidP="00491D76">
            <w:pPr>
              <w:spacing w:after="0" w:line="240" w:lineRule="auto"/>
              <w:rPr>
                <w:rFonts w:asciiTheme="minorHAnsi" w:hAnsiTheme="minorHAnsi" w:cstheme="minorHAnsi"/>
                <w:sz w:val="20"/>
                <w:szCs w:val="20"/>
              </w:rPr>
            </w:pPr>
          </w:p>
          <w:p w14:paraId="54747BEB" w14:textId="77777777" w:rsidR="00E310E9" w:rsidRDefault="00E310E9" w:rsidP="00491D76">
            <w:pPr>
              <w:spacing w:after="0" w:line="240" w:lineRule="auto"/>
              <w:rPr>
                <w:rFonts w:asciiTheme="minorHAnsi" w:hAnsiTheme="minorHAnsi" w:cstheme="minorHAnsi"/>
                <w:sz w:val="20"/>
                <w:szCs w:val="20"/>
              </w:rPr>
            </w:pPr>
            <w:r>
              <w:rPr>
                <w:rFonts w:asciiTheme="minorHAnsi" w:hAnsiTheme="minorHAnsi" w:cstheme="minorHAnsi"/>
                <w:sz w:val="20"/>
                <w:szCs w:val="20"/>
              </w:rPr>
              <w:t>Popis opatření, která minimalizují klimatická rizika, bude povinnou součástí projektové dokumentace předkládané v rámci žádosti o podporu.</w:t>
            </w:r>
          </w:p>
          <w:p w14:paraId="13C2C5AF" w14:textId="77777777" w:rsidR="00E310E9" w:rsidRDefault="00E310E9" w:rsidP="00491D76">
            <w:pPr>
              <w:spacing w:after="0" w:line="240" w:lineRule="auto"/>
              <w:rPr>
                <w:rFonts w:asciiTheme="minorHAnsi" w:hAnsiTheme="minorHAnsi" w:cstheme="minorHAnsi"/>
                <w:sz w:val="20"/>
                <w:szCs w:val="20"/>
              </w:rPr>
            </w:pPr>
            <w:r>
              <w:rPr>
                <w:rFonts w:asciiTheme="minorHAnsi" w:hAnsiTheme="minorHAnsi" w:cstheme="minorHAnsi"/>
                <w:sz w:val="20"/>
                <w:szCs w:val="20"/>
              </w:rPr>
              <w:t>Kritéria pro opatření viz kap. 5.2.3.3.</w:t>
            </w:r>
          </w:p>
          <w:p w14:paraId="32267FD9" w14:textId="77777777" w:rsidR="00E310E9" w:rsidRDefault="00E310E9" w:rsidP="00491D76">
            <w:pPr>
              <w:spacing w:after="0" w:line="240" w:lineRule="auto"/>
              <w:rPr>
                <w:rFonts w:asciiTheme="minorHAnsi" w:hAnsiTheme="minorHAnsi" w:cstheme="minorHAnsi"/>
                <w:sz w:val="20"/>
                <w:szCs w:val="20"/>
              </w:rPr>
            </w:pPr>
          </w:p>
          <w:p w14:paraId="0A03874B" w14:textId="77777777" w:rsidR="00E310E9" w:rsidRDefault="00E310E9" w:rsidP="00491D76">
            <w:pPr>
              <w:spacing w:after="0" w:line="240" w:lineRule="auto"/>
              <w:rPr>
                <w:rFonts w:asciiTheme="minorHAnsi" w:hAnsiTheme="minorHAnsi" w:cstheme="minorHAnsi"/>
                <w:sz w:val="20"/>
                <w:szCs w:val="20"/>
              </w:rPr>
            </w:pPr>
          </w:p>
        </w:tc>
        <w:tc>
          <w:tcPr>
            <w:tcW w:w="1064" w:type="pct"/>
            <w:shd w:val="clear" w:color="auto" w:fill="E7FFE8"/>
          </w:tcPr>
          <w:p w14:paraId="446A0B75" w14:textId="77777777" w:rsidR="00E310E9" w:rsidRPr="00ED5B33" w:rsidRDefault="00E310E9" w:rsidP="00491D76">
            <w:pPr>
              <w:spacing w:after="0" w:line="240" w:lineRule="auto"/>
              <w:rPr>
                <w:rFonts w:asciiTheme="minorHAnsi" w:hAnsiTheme="minorHAnsi" w:cstheme="minorHAnsi"/>
                <w:sz w:val="20"/>
                <w:szCs w:val="20"/>
              </w:rPr>
            </w:pPr>
            <w:r>
              <w:rPr>
                <w:rFonts w:asciiTheme="minorHAnsi" w:hAnsiTheme="minorHAnsi" w:cstheme="minorHAnsi"/>
                <w:sz w:val="20"/>
                <w:szCs w:val="20"/>
              </w:rPr>
              <w:lastRenderedPageBreak/>
              <w:t xml:space="preserve">Sledování plnění této povinnosti při </w:t>
            </w:r>
            <w:r w:rsidRPr="00ED5B33">
              <w:rPr>
                <w:rFonts w:asciiTheme="minorHAnsi" w:hAnsiTheme="minorHAnsi" w:cstheme="minorHAnsi"/>
                <w:sz w:val="20"/>
                <w:szCs w:val="20"/>
              </w:rPr>
              <w:t>kontrole projektové dokumentace předkládané v rámci žádosti o podporu.</w:t>
            </w:r>
          </w:p>
          <w:p w14:paraId="33465EB9" w14:textId="77777777" w:rsidR="00E310E9" w:rsidRDefault="00E310E9" w:rsidP="00491D76">
            <w:pPr>
              <w:spacing w:after="0" w:line="240" w:lineRule="auto"/>
              <w:rPr>
                <w:rFonts w:asciiTheme="minorHAnsi" w:hAnsiTheme="minorHAnsi" w:cstheme="minorHAnsi"/>
                <w:sz w:val="20"/>
                <w:szCs w:val="20"/>
              </w:rPr>
            </w:pPr>
          </w:p>
        </w:tc>
        <w:tc>
          <w:tcPr>
            <w:tcW w:w="1102" w:type="pct"/>
            <w:shd w:val="clear" w:color="auto" w:fill="E7FFE8"/>
          </w:tcPr>
          <w:p w14:paraId="2DACA32B" w14:textId="77777777" w:rsidR="00E310E9" w:rsidRDefault="00E310E9" w:rsidP="00491D76">
            <w:pPr>
              <w:spacing w:after="0" w:line="240" w:lineRule="auto"/>
              <w:rPr>
                <w:rFonts w:asciiTheme="minorHAnsi" w:hAnsiTheme="minorHAnsi" w:cstheme="minorHAnsi"/>
                <w:b/>
                <w:i/>
                <w:sz w:val="20"/>
                <w:szCs w:val="20"/>
              </w:rPr>
            </w:pPr>
            <w:r>
              <w:rPr>
                <w:rFonts w:asciiTheme="minorHAnsi" w:hAnsiTheme="minorHAnsi" w:cstheme="minorHAnsi"/>
                <w:b/>
                <w:i/>
                <w:sz w:val="20"/>
                <w:szCs w:val="20"/>
              </w:rPr>
              <w:t>Soulad s taxonomií v zásadě odpovídá provedení CP pro přizpůsobování se změně klimatu (adaptace) (tzn. pouze v případě, kdy je CP proveden na úrovni individuálního projektu) s tím, že:</w:t>
            </w:r>
          </w:p>
          <w:p w14:paraId="52FC78CB" w14:textId="77777777" w:rsidR="00E310E9" w:rsidRDefault="00E310E9" w:rsidP="00491D76">
            <w:pPr>
              <w:pStyle w:val="Odstavecseseznamem"/>
              <w:numPr>
                <w:ilvl w:val="0"/>
                <w:numId w:val="51"/>
              </w:numPr>
              <w:spacing w:after="0" w:line="240" w:lineRule="auto"/>
              <w:rPr>
                <w:rFonts w:asciiTheme="minorHAnsi" w:hAnsiTheme="minorHAnsi" w:cstheme="minorHAnsi"/>
                <w:b/>
                <w:i/>
                <w:sz w:val="20"/>
                <w:szCs w:val="20"/>
              </w:rPr>
            </w:pPr>
            <w:r>
              <w:rPr>
                <w:rFonts w:asciiTheme="minorHAnsi" w:hAnsiTheme="minorHAnsi" w:cstheme="minorHAnsi"/>
                <w:b/>
                <w:i/>
                <w:sz w:val="20"/>
                <w:szCs w:val="20"/>
              </w:rPr>
              <w:lastRenderedPageBreak/>
              <w:t>CP do fáze 1 odpovídá DNSH dle přílohy I nařízení EU 2021/2139</w:t>
            </w:r>
          </w:p>
          <w:p w14:paraId="3AB2EB39" w14:textId="77777777" w:rsidR="00E310E9" w:rsidRDefault="00E310E9" w:rsidP="00491D76">
            <w:pPr>
              <w:pStyle w:val="Odstavecseseznamem"/>
              <w:numPr>
                <w:ilvl w:val="0"/>
                <w:numId w:val="51"/>
              </w:numPr>
              <w:spacing w:after="0" w:line="240" w:lineRule="auto"/>
              <w:rPr>
                <w:rFonts w:asciiTheme="minorHAnsi" w:hAnsiTheme="minorHAnsi" w:cstheme="minorHAnsi"/>
                <w:b/>
                <w:i/>
                <w:sz w:val="20"/>
                <w:szCs w:val="20"/>
              </w:rPr>
            </w:pPr>
            <w:r>
              <w:rPr>
                <w:rFonts w:asciiTheme="minorHAnsi" w:hAnsiTheme="minorHAnsi" w:cstheme="minorHAnsi"/>
                <w:b/>
                <w:i/>
                <w:sz w:val="20"/>
                <w:szCs w:val="20"/>
              </w:rPr>
              <w:t>CP do fáze 2 odpovídá významnému přínosu přizpůsobování se změně klimatu (adaptace) dle přílohy II nařízení EU 2021/2139. Pro soulad s významným přínosem je nutné provést CP vždy do fáze 2, tzn. včetně stanovení podmínek např. pro monitoring.</w:t>
            </w:r>
          </w:p>
          <w:p w14:paraId="7CF6BDA0" w14:textId="77777777" w:rsidR="00E310E9" w:rsidRDefault="00E310E9" w:rsidP="00491D76">
            <w:pPr>
              <w:spacing w:after="0" w:line="240" w:lineRule="auto"/>
              <w:rPr>
                <w:rFonts w:asciiTheme="minorHAnsi" w:hAnsiTheme="minorHAnsi" w:cstheme="minorHAnsi"/>
                <w:b/>
                <w:i/>
                <w:sz w:val="20"/>
                <w:szCs w:val="20"/>
              </w:rPr>
            </w:pPr>
          </w:p>
        </w:tc>
      </w:tr>
      <w:tr w:rsidR="00E310E9" w14:paraId="2337B096" w14:textId="77777777" w:rsidTr="00491D76">
        <w:tc>
          <w:tcPr>
            <w:tcW w:w="570" w:type="pct"/>
            <w:vMerge w:val="restart"/>
            <w:shd w:val="clear" w:color="auto" w:fill="DEEAF6" w:themeFill="accent5" w:themeFillTint="33"/>
          </w:tcPr>
          <w:p w14:paraId="3BABC482" w14:textId="77777777" w:rsidR="00E310E9" w:rsidRDefault="00E310E9" w:rsidP="00491D76">
            <w:pPr>
              <w:spacing w:after="0" w:line="240" w:lineRule="auto"/>
              <w:jc w:val="left"/>
              <w:rPr>
                <w:rFonts w:asciiTheme="minorHAnsi" w:hAnsiTheme="minorHAnsi" w:cstheme="minorHAnsi"/>
                <w:b/>
                <w:sz w:val="20"/>
                <w:szCs w:val="20"/>
              </w:rPr>
            </w:pPr>
            <w:r>
              <w:rPr>
                <w:rFonts w:asciiTheme="minorHAnsi" w:hAnsiTheme="minorHAnsi" w:cstheme="minorHAnsi"/>
                <w:b/>
                <w:sz w:val="20"/>
                <w:szCs w:val="20"/>
              </w:rPr>
              <w:lastRenderedPageBreak/>
              <w:t>Udržitelné využívání a ochrana vodních a mořských zdrojů</w:t>
            </w:r>
          </w:p>
        </w:tc>
        <w:tc>
          <w:tcPr>
            <w:tcW w:w="1150" w:type="pct"/>
            <w:shd w:val="clear" w:color="auto" w:fill="DEEAF6" w:themeFill="accent5" w:themeFillTint="33"/>
          </w:tcPr>
          <w:p w14:paraId="479E8D30" w14:textId="77777777" w:rsidR="00E310E9" w:rsidRDefault="00E310E9" w:rsidP="00491D76">
            <w:pPr>
              <w:spacing w:after="0" w:line="240" w:lineRule="auto"/>
              <w:rPr>
                <w:rFonts w:asciiTheme="minorHAnsi" w:hAnsiTheme="minorHAnsi" w:cstheme="minorHAnsi"/>
                <w:bCs/>
                <w:sz w:val="20"/>
                <w:szCs w:val="20"/>
              </w:rPr>
            </w:pPr>
            <w:r>
              <w:rPr>
                <w:rFonts w:asciiTheme="minorHAnsi" w:hAnsiTheme="minorHAnsi" w:cstheme="minorHAnsi"/>
                <w:bCs/>
                <w:sz w:val="20"/>
                <w:szCs w:val="20"/>
              </w:rPr>
              <w:t xml:space="preserve">Jsou-li instalována </w:t>
            </w:r>
            <w:r w:rsidRPr="00A758AE">
              <w:rPr>
                <w:rFonts w:asciiTheme="minorHAnsi" w:hAnsiTheme="minorHAnsi" w:cstheme="minorHAnsi"/>
                <w:bCs/>
                <w:sz w:val="20"/>
                <w:szCs w:val="20"/>
              </w:rPr>
              <w:t xml:space="preserve">zařízení k využívání </w:t>
            </w:r>
            <w:r w:rsidRPr="000557A3">
              <w:rPr>
                <w:rFonts w:asciiTheme="minorHAnsi" w:hAnsiTheme="minorHAnsi" w:cstheme="minorHAnsi"/>
                <w:bCs/>
                <w:sz w:val="20"/>
                <w:szCs w:val="20"/>
              </w:rPr>
              <w:t>vody</w:t>
            </w:r>
            <w:r>
              <w:rPr>
                <w:rFonts w:asciiTheme="minorHAnsi" w:hAnsiTheme="minorHAnsi" w:cstheme="minorHAnsi"/>
                <w:bCs/>
                <w:sz w:val="20"/>
                <w:szCs w:val="20"/>
              </w:rPr>
              <w:t>, kromě instalace v bytových jednotkách, je pro ně uvedená spotřeba vody doložena technickými listy výrobku, stavební certifikací nebo stávajícím štítkem výrobku v Unii v souladu s technickými specifikacemi níže:</w:t>
            </w:r>
          </w:p>
          <w:p w14:paraId="289B3BBD" w14:textId="77777777" w:rsidR="00E310E9" w:rsidRDefault="00E310E9" w:rsidP="00491D76">
            <w:pPr>
              <w:spacing w:after="0" w:line="240" w:lineRule="auto"/>
              <w:rPr>
                <w:rFonts w:asciiTheme="minorHAnsi" w:hAnsiTheme="minorHAnsi" w:cstheme="minorHAnsi"/>
                <w:bCs/>
                <w:sz w:val="20"/>
                <w:szCs w:val="20"/>
              </w:rPr>
            </w:pPr>
            <w:r>
              <w:rPr>
                <w:rFonts w:asciiTheme="minorHAnsi" w:hAnsiTheme="minorHAnsi" w:cstheme="minorHAnsi"/>
                <w:bCs/>
                <w:sz w:val="20"/>
                <w:szCs w:val="20"/>
              </w:rPr>
              <w:t>- umyvadlové baterie a kuchyňské baterie mají maximální průtok vody 6 litrů/min;</w:t>
            </w:r>
          </w:p>
          <w:p w14:paraId="664F7835" w14:textId="77777777" w:rsidR="00E310E9" w:rsidRDefault="00E310E9" w:rsidP="00491D76">
            <w:pPr>
              <w:spacing w:after="0" w:line="240" w:lineRule="auto"/>
              <w:rPr>
                <w:rFonts w:asciiTheme="minorHAnsi" w:hAnsiTheme="minorHAnsi" w:cstheme="minorHAnsi"/>
                <w:bCs/>
                <w:sz w:val="20"/>
                <w:szCs w:val="20"/>
              </w:rPr>
            </w:pPr>
            <w:r>
              <w:rPr>
                <w:rFonts w:asciiTheme="minorHAnsi" w:hAnsiTheme="minorHAnsi" w:cstheme="minorHAnsi"/>
                <w:bCs/>
                <w:sz w:val="20"/>
                <w:szCs w:val="20"/>
              </w:rPr>
              <w:t>- sprchy mají maximální průtok vody 8 litrů/min;</w:t>
            </w:r>
          </w:p>
          <w:p w14:paraId="11C36C16" w14:textId="77777777" w:rsidR="00E310E9" w:rsidRDefault="00E310E9" w:rsidP="00491D76">
            <w:pPr>
              <w:spacing w:after="0" w:line="240" w:lineRule="auto"/>
              <w:rPr>
                <w:rFonts w:asciiTheme="minorHAnsi" w:hAnsiTheme="minorHAnsi" w:cstheme="minorHAnsi"/>
                <w:bCs/>
                <w:sz w:val="20"/>
                <w:szCs w:val="20"/>
              </w:rPr>
            </w:pPr>
            <w:r>
              <w:rPr>
                <w:rFonts w:asciiTheme="minorHAnsi" w:hAnsiTheme="minorHAnsi" w:cstheme="minorHAnsi"/>
                <w:bCs/>
                <w:sz w:val="20"/>
                <w:szCs w:val="20"/>
              </w:rPr>
              <w:t>- WC, zahrnující soupravy, mísy a splachovací nádrže, mají úplný objem splachovací vody maximálně 6 litrů a maximální průměrný objem splachovací vody 3,5 litru;</w:t>
            </w:r>
          </w:p>
          <w:p w14:paraId="111651E0" w14:textId="77777777" w:rsidR="00E310E9" w:rsidRDefault="00E310E9" w:rsidP="00491D76">
            <w:pPr>
              <w:spacing w:after="0" w:line="240" w:lineRule="auto"/>
              <w:rPr>
                <w:rFonts w:asciiTheme="minorHAnsi" w:hAnsiTheme="minorHAnsi" w:cstheme="minorHAnsi"/>
                <w:bCs/>
                <w:sz w:val="20"/>
                <w:szCs w:val="20"/>
              </w:rPr>
            </w:pPr>
            <w:r>
              <w:rPr>
                <w:rFonts w:asciiTheme="minorHAnsi" w:hAnsiTheme="minorHAnsi" w:cstheme="minorHAnsi"/>
                <w:bCs/>
                <w:sz w:val="20"/>
                <w:szCs w:val="20"/>
              </w:rPr>
              <w:t>- pisoáry spotřebují maximálně 2 litry/mísu/hodinu. Splachovací pisoáry mají maximální úplný objem splachovací vody 1 litr.</w:t>
            </w:r>
          </w:p>
          <w:p w14:paraId="204FB599" w14:textId="77777777" w:rsidR="00E310E9" w:rsidRDefault="00E310E9" w:rsidP="00491D76">
            <w:pPr>
              <w:spacing w:after="0" w:line="240" w:lineRule="auto"/>
              <w:rPr>
                <w:rFonts w:asciiTheme="minorHAnsi" w:hAnsiTheme="minorHAnsi" w:cstheme="minorHAnsi"/>
                <w:bCs/>
                <w:sz w:val="20"/>
                <w:szCs w:val="20"/>
              </w:rPr>
            </w:pPr>
          </w:p>
          <w:p w14:paraId="2CF68367" w14:textId="77777777" w:rsidR="00E310E9" w:rsidRDefault="00E310E9" w:rsidP="00491D76">
            <w:pPr>
              <w:keepNext/>
              <w:spacing w:after="0" w:line="240" w:lineRule="auto"/>
              <w:rPr>
                <w:rFonts w:asciiTheme="minorHAnsi" w:hAnsiTheme="minorHAnsi" w:cstheme="minorHAnsi"/>
                <w:b/>
                <w:bCs/>
                <w:sz w:val="20"/>
                <w:szCs w:val="20"/>
              </w:rPr>
            </w:pPr>
            <w:r>
              <w:rPr>
                <w:rFonts w:asciiTheme="minorHAnsi" w:hAnsiTheme="minorHAnsi" w:cstheme="minorHAnsi"/>
                <w:b/>
                <w:bCs/>
                <w:sz w:val="20"/>
                <w:szCs w:val="20"/>
              </w:rPr>
              <w:lastRenderedPageBreak/>
              <w:t>Technické specifikace</w:t>
            </w:r>
            <w:r>
              <w:rPr>
                <w:rFonts w:asciiTheme="minorHAnsi" w:hAnsiTheme="minorHAnsi" w:cstheme="minorHAnsi"/>
                <w:b/>
                <w:bCs/>
                <w:sz w:val="20"/>
                <w:szCs w:val="20"/>
                <w:vertAlign w:val="superscript"/>
              </w:rPr>
              <w:footnoteReference w:id="188"/>
            </w:r>
            <w:r>
              <w:rPr>
                <w:rFonts w:asciiTheme="minorHAnsi" w:hAnsiTheme="minorHAnsi" w:cstheme="minorHAnsi"/>
                <w:b/>
                <w:bCs/>
                <w:sz w:val="20"/>
                <w:szCs w:val="20"/>
              </w:rPr>
              <w:t xml:space="preserve"> pro </w:t>
            </w:r>
            <w:r w:rsidRPr="00A758AE">
              <w:rPr>
                <w:rFonts w:asciiTheme="minorHAnsi" w:hAnsiTheme="minorHAnsi" w:cstheme="minorHAnsi"/>
                <w:b/>
                <w:bCs/>
                <w:sz w:val="20"/>
                <w:szCs w:val="20"/>
              </w:rPr>
              <w:t xml:space="preserve">zařízení k využívání </w:t>
            </w:r>
            <w:r w:rsidRPr="000557A3">
              <w:rPr>
                <w:rFonts w:asciiTheme="minorHAnsi" w:hAnsiTheme="minorHAnsi" w:cstheme="minorHAnsi"/>
                <w:b/>
                <w:bCs/>
                <w:sz w:val="20"/>
                <w:szCs w:val="20"/>
              </w:rPr>
              <w:t>vody</w:t>
            </w:r>
            <w:r>
              <w:rPr>
                <w:rFonts w:asciiTheme="minorHAnsi" w:hAnsiTheme="minorHAnsi" w:cstheme="minorHAnsi"/>
                <w:b/>
                <w:bCs/>
                <w:sz w:val="20"/>
                <w:szCs w:val="20"/>
              </w:rPr>
              <w:t xml:space="preserve"> </w:t>
            </w:r>
          </w:p>
          <w:p w14:paraId="081BD193" w14:textId="77777777" w:rsidR="00E310E9" w:rsidRDefault="00E310E9" w:rsidP="00491D76">
            <w:pPr>
              <w:spacing w:after="0" w:line="240" w:lineRule="auto"/>
              <w:rPr>
                <w:rFonts w:asciiTheme="minorHAnsi" w:hAnsiTheme="minorHAnsi" w:cstheme="minorHAnsi"/>
                <w:bCs/>
                <w:sz w:val="20"/>
                <w:szCs w:val="20"/>
              </w:rPr>
            </w:pPr>
            <w:r>
              <w:rPr>
                <w:rFonts w:asciiTheme="minorHAnsi" w:hAnsiTheme="minorHAnsi" w:cstheme="minorHAnsi"/>
                <w:bCs/>
                <w:sz w:val="20"/>
                <w:szCs w:val="20"/>
              </w:rPr>
              <w:t xml:space="preserve">1. Průtok se zaznamenává při standardním referenčním tlaku </w:t>
            </w:r>
            <w:proofErr w:type="gramStart"/>
            <w:r>
              <w:rPr>
                <w:rFonts w:asciiTheme="minorHAnsi" w:hAnsiTheme="minorHAnsi" w:cstheme="minorHAnsi"/>
                <w:bCs/>
                <w:sz w:val="20"/>
                <w:szCs w:val="20"/>
              </w:rPr>
              <w:t>3 –0</w:t>
            </w:r>
            <w:proofErr w:type="gramEnd"/>
            <w:r>
              <w:rPr>
                <w:rFonts w:asciiTheme="minorHAnsi" w:hAnsiTheme="minorHAnsi" w:cstheme="minorHAnsi"/>
                <w:bCs/>
                <w:sz w:val="20"/>
                <w:szCs w:val="20"/>
              </w:rPr>
              <w:t>/+0,2 bar nebo 0,1 –0/+0,02 u výrobků omezených na nízký tlak.</w:t>
            </w:r>
          </w:p>
          <w:p w14:paraId="2E43AEFF" w14:textId="77777777" w:rsidR="00E310E9" w:rsidRDefault="00E310E9" w:rsidP="00491D76">
            <w:pPr>
              <w:spacing w:after="0" w:line="240" w:lineRule="auto"/>
              <w:rPr>
                <w:rFonts w:asciiTheme="minorHAnsi" w:hAnsiTheme="minorHAnsi" w:cstheme="minorHAnsi"/>
                <w:bCs/>
                <w:sz w:val="20"/>
                <w:szCs w:val="20"/>
              </w:rPr>
            </w:pPr>
            <w:r>
              <w:rPr>
                <w:rFonts w:asciiTheme="minorHAnsi" w:hAnsiTheme="minorHAnsi" w:cstheme="minorHAnsi"/>
                <w:bCs/>
                <w:sz w:val="20"/>
                <w:szCs w:val="20"/>
              </w:rPr>
              <w:t>2. Průtok při nižším tlaku 1,5 –0/+0,2 bar je ≥ 60 % maximálního dostupného průtoku.</w:t>
            </w:r>
          </w:p>
          <w:p w14:paraId="759D481F" w14:textId="77777777" w:rsidR="00E310E9" w:rsidRDefault="00E310E9" w:rsidP="00491D76">
            <w:pPr>
              <w:spacing w:after="0" w:line="240" w:lineRule="auto"/>
              <w:rPr>
                <w:rFonts w:asciiTheme="minorHAnsi" w:hAnsiTheme="minorHAnsi" w:cstheme="minorHAnsi"/>
                <w:bCs/>
                <w:sz w:val="20"/>
                <w:szCs w:val="20"/>
              </w:rPr>
            </w:pPr>
            <w:r>
              <w:rPr>
                <w:rFonts w:asciiTheme="minorHAnsi" w:hAnsiTheme="minorHAnsi" w:cstheme="minorHAnsi"/>
                <w:bCs/>
                <w:sz w:val="20"/>
                <w:szCs w:val="20"/>
              </w:rPr>
              <w:t>3. U směšovacích sprch je referenční teplota 38 ±1 °C.</w:t>
            </w:r>
          </w:p>
          <w:p w14:paraId="2DE4C526" w14:textId="77777777" w:rsidR="00E310E9" w:rsidRDefault="00E310E9" w:rsidP="00491D76">
            <w:pPr>
              <w:spacing w:after="0" w:line="240" w:lineRule="auto"/>
              <w:rPr>
                <w:rFonts w:asciiTheme="minorHAnsi" w:hAnsiTheme="minorHAnsi" w:cstheme="minorHAnsi"/>
                <w:bCs/>
                <w:sz w:val="20"/>
                <w:szCs w:val="20"/>
              </w:rPr>
            </w:pPr>
            <w:r>
              <w:rPr>
                <w:rFonts w:asciiTheme="minorHAnsi" w:hAnsiTheme="minorHAnsi" w:cstheme="minorHAnsi"/>
                <w:bCs/>
                <w:sz w:val="20"/>
                <w:szCs w:val="20"/>
              </w:rPr>
              <w:t>4. Pokud musí být průtok nižší než 6 l/min, je v souladu s pravidlem stanoveným v bodě 2.</w:t>
            </w:r>
          </w:p>
          <w:p w14:paraId="3C6C0E42" w14:textId="77777777" w:rsidR="00E310E9" w:rsidRDefault="00E310E9" w:rsidP="00491D76">
            <w:pPr>
              <w:spacing w:after="0" w:line="240" w:lineRule="auto"/>
              <w:rPr>
                <w:rFonts w:asciiTheme="minorHAnsi" w:hAnsiTheme="minorHAnsi" w:cstheme="minorHAnsi"/>
                <w:bCs/>
                <w:sz w:val="20"/>
                <w:szCs w:val="20"/>
              </w:rPr>
            </w:pPr>
            <w:r>
              <w:rPr>
                <w:rFonts w:asciiTheme="minorHAnsi" w:hAnsiTheme="minorHAnsi" w:cstheme="minorHAnsi"/>
                <w:bCs/>
                <w:sz w:val="20"/>
                <w:szCs w:val="20"/>
              </w:rPr>
              <w:t xml:space="preserve">5. U výtokových ventilů se postupuje podle bodu 10.2.3 normy EN 200 s těmito výjimkami: </w:t>
            </w:r>
          </w:p>
          <w:p w14:paraId="186BD072" w14:textId="77777777" w:rsidR="00E310E9" w:rsidRDefault="00E310E9" w:rsidP="00491D76">
            <w:pPr>
              <w:spacing w:after="0" w:line="240" w:lineRule="auto"/>
              <w:rPr>
                <w:rFonts w:asciiTheme="minorHAnsi" w:hAnsiTheme="minorHAnsi" w:cstheme="minorHAnsi"/>
                <w:bCs/>
                <w:sz w:val="20"/>
                <w:szCs w:val="20"/>
              </w:rPr>
            </w:pPr>
            <w:r>
              <w:rPr>
                <w:rFonts w:asciiTheme="minorHAnsi" w:hAnsiTheme="minorHAnsi" w:cstheme="minorHAnsi"/>
                <w:bCs/>
                <w:sz w:val="20"/>
                <w:szCs w:val="20"/>
              </w:rPr>
              <w:t xml:space="preserve">a) u výtokových ventilů, které nejsou určeny pouze pro nízkotlaké použití: použijte tlak </w:t>
            </w:r>
            <w:proofErr w:type="gramStart"/>
            <w:r>
              <w:rPr>
                <w:rFonts w:asciiTheme="minorHAnsi" w:hAnsiTheme="minorHAnsi" w:cstheme="minorHAnsi"/>
                <w:bCs/>
                <w:sz w:val="20"/>
                <w:szCs w:val="20"/>
              </w:rPr>
              <w:t>3 –0</w:t>
            </w:r>
            <w:proofErr w:type="gramEnd"/>
            <w:r>
              <w:rPr>
                <w:rFonts w:asciiTheme="minorHAnsi" w:hAnsiTheme="minorHAnsi" w:cstheme="minorHAnsi"/>
                <w:bCs/>
                <w:sz w:val="20"/>
                <w:szCs w:val="20"/>
              </w:rPr>
              <w:t>/+0,2 bar střídavě do ventilu na teplou a studenou vodu;</w:t>
            </w:r>
          </w:p>
          <w:p w14:paraId="7B28706A" w14:textId="77777777" w:rsidR="00E310E9" w:rsidRDefault="00E310E9" w:rsidP="00491D76">
            <w:pPr>
              <w:spacing w:after="0" w:line="240" w:lineRule="auto"/>
              <w:rPr>
                <w:rFonts w:asciiTheme="minorHAnsi" w:hAnsiTheme="minorHAnsi" w:cstheme="minorHAnsi"/>
                <w:bCs/>
                <w:sz w:val="20"/>
                <w:szCs w:val="20"/>
              </w:rPr>
            </w:pPr>
            <w:r>
              <w:rPr>
                <w:rFonts w:asciiTheme="minorHAnsi" w:hAnsiTheme="minorHAnsi" w:cstheme="minorHAnsi"/>
                <w:bCs/>
                <w:sz w:val="20"/>
                <w:szCs w:val="20"/>
              </w:rPr>
              <w:t>b) u výtokových ventilů, které jsou určeny pouze pro nízkotlaké použití: použijte tlak 0,4 –0/+0,02 bar do ventilu na teplou i studenou vodu a zcela otevřete regulátor průtoku.</w:t>
            </w:r>
          </w:p>
        </w:tc>
        <w:tc>
          <w:tcPr>
            <w:tcW w:w="1114" w:type="pct"/>
            <w:shd w:val="clear" w:color="auto" w:fill="DEEAF6" w:themeFill="accent5" w:themeFillTint="33"/>
          </w:tcPr>
          <w:p w14:paraId="596D8BE4" w14:textId="77777777" w:rsidR="00E310E9" w:rsidRDefault="00E310E9" w:rsidP="00491D76">
            <w:pPr>
              <w:spacing w:after="0" w:line="240" w:lineRule="auto"/>
              <w:rPr>
                <w:rFonts w:asciiTheme="minorHAnsi" w:hAnsiTheme="minorHAnsi" w:cstheme="minorHAnsi"/>
                <w:sz w:val="20"/>
                <w:szCs w:val="20"/>
              </w:rPr>
            </w:pPr>
            <w:r>
              <w:rPr>
                <w:rFonts w:asciiTheme="minorHAnsi" w:hAnsiTheme="minorHAnsi" w:cstheme="minorHAnsi"/>
                <w:sz w:val="20"/>
                <w:szCs w:val="20"/>
              </w:rPr>
              <w:lastRenderedPageBreak/>
              <w:t xml:space="preserve">Nastavení podmínek podpory. Přípustné výjimky z plnění podmínek: </w:t>
            </w:r>
          </w:p>
          <w:p w14:paraId="5A9C8D8E" w14:textId="77777777" w:rsidR="00E310E9" w:rsidRDefault="00E310E9" w:rsidP="00491D76">
            <w:pPr>
              <w:pStyle w:val="Odstavecseseznamem"/>
              <w:numPr>
                <w:ilvl w:val="0"/>
                <w:numId w:val="167"/>
              </w:numPr>
              <w:spacing w:after="0" w:line="240" w:lineRule="auto"/>
              <w:rPr>
                <w:rFonts w:asciiTheme="minorHAnsi" w:hAnsiTheme="minorHAnsi" w:cstheme="minorHAnsi"/>
                <w:sz w:val="20"/>
                <w:szCs w:val="20"/>
              </w:rPr>
            </w:pPr>
            <w:r w:rsidRPr="005F5BBE">
              <w:rPr>
                <w:rFonts w:asciiTheme="minorHAnsi" w:hAnsiTheme="minorHAnsi" w:cstheme="minorHAnsi"/>
                <w:sz w:val="20"/>
                <w:szCs w:val="20"/>
              </w:rPr>
              <w:t>Architektonicky a historicky významn</w:t>
            </w:r>
            <w:r>
              <w:rPr>
                <w:rFonts w:asciiTheme="minorHAnsi" w:hAnsiTheme="minorHAnsi" w:cstheme="minorHAnsi"/>
                <w:sz w:val="20"/>
                <w:szCs w:val="20"/>
              </w:rPr>
              <w:t>é</w:t>
            </w:r>
            <w:r w:rsidRPr="005F5BBE">
              <w:rPr>
                <w:rFonts w:asciiTheme="minorHAnsi" w:hAnsiTheme="minorHAnsi" w:cstheme="minorHAnsi"/>
                <w:sz w:val="20"/>
                <w:szCs w:val="20"/>
              </w:rPr>
              <w:t xml:space="preserve"> budov</w:t>
            </w:r>
            <w:r>
              <w:rPr>
                <w:rFonts w:asciiTheme="minorHAnsi" w:hAnsiTheme="minorHAnsi" w:cstheme="minorHAnsi"/>
                <w:sz w:val="20"/>
                <w:szCs w:val="20"/>
              </w:rPr>
              <w:t>y</w:t>
            </w:r>
            <w:r w:rsidRPr="005F5BBE">
              <w:rPr>
                <w:rFonts w:asciiTheme="minorHAnsi" w:hAnsiTheme="minorHAnsi" w:cstheme="minorHAnsi"/>
                <w:sz w:val="20"/>
                <w:szCs w:val="20"/>
              </w:rPr>
              <w:t xml:space="preserve">, kde by se tyto postupy dostaly do rozporu s právním režimem ochrany těchto budov. </w:t>
            </w:r>
          </w:p>
          <w:p w14:paraId="42EF77B9" w14:textId="77777777" w:rsidR="00E310E9" w:rsidRPr="005F5BBE" w:rsidRDefault="00E310E9" w:rsidP="00491D76">
            <w:pPr>
              <w:pStyle w:val="Odstavecseseznamem"/>
              <w:numPr>
                <w:ilvl w:val="0"/>
                <w:numId w:val="167"/>
              </w:numPr>
              <w:spacing w:after="0" w:line="240" w:lineRule="auto"/>
              <w:rPr>
                <w:rFonts w:asciiTheme="minorHAnsi" w:hAnsiTheme="minorHAnsi" w:cstheme="minorHAnsi"/>
                <w:sz w:val="20"/>
                <w:szCs w:val="20"/>
              </w:rPr>
            </w:pPr>
            <w:r>
              <w:rPr>
                <w:rFonts w:asciiTheme="minorHAnsi" w:hAnsiTheme="minorHAnsi" w:cstheme="minorHAnsi"/>
                <w:sz w:val="20"/>
                <w:szCs w:val="20"/>
              </w:rPr>
              <w:t>Z</w:t>
            </w:r>
            <w:r w:rsidRPr="005F5BBE">
              <w:rPr>
                <w:rFonts w:asciiTheme="minorHAnsi" w:hAnsiTheme="minorHAnsi" w:cstheme="minorHAnsi"/>
                <w:sz w:val="20"/>
                <w:szCs w:val="20"/>
              </w:rPr>
              <w:t>dravotnic</w:t>
            </w:r>
            <w:r>
              <w:rPr>
                <w:rFonts w:asciiTheme="minorHAnsi" w:hAnsiTheme="minorHAnsi" w:cstheme="minorHAnsi"/>
                <w:sz w:val="20"/>
                <w:szCs w:val="20"/>
              </w:rPr>
              <w:t>ká zařízení</w:t>
            </w:r>
            <w:r w:rsidRPr="005F5BBE">
              <w:rPr>
                <w:rFonts w:asciiTheme="minorHAnsi" w:hAnsiTheme="minorHAnsi" w:cstheme="minorHAnsi"/>
                <w:sz w:val="20"/>
                <w:szCs w:val="20"/>
              </w:rPr>
              <w:t xml:space="preserve"> v případě specializované péče, ne však při nákupu běžných spotřebičů.</w:t>
            </w:r>
          </w:p>
          <w:p w14:paraId="77D0C6B3" w14:textId="77777777" w:rsidR="00E310E9" w:rsidRDefault="00E310E9" w:rsidP="00491D76">
            <w:pPr>
              <w:spacing w:after="0" w:line="240" w:lineRule="auto"/>
              <w:rPr>
                <w:rFonts w:asciiTheme="minorHAnsi" w:hAnsiTheme="minorHAnsi" w:cstheme="minorHAnsi"/>
                <w:sz w:val="20"/>
                <w:szCs w:val="20"/>
              </w:rPr>
            </w:pPr>
          </w:p>
          <w:p w14:paraId="1F63C0B5" w14:textId="77777777" w:rsidR="00E310E9" w:rsidRDefault="00E310E9" w:rsidP="00491D76">
            <w:pPr>
              <w:spacing w:after="0" w:line="240" w:lineRule="auto"/>
              <w:rPr>
                <w:rFonts w:asciiTheme="minorHAnsi" w:hAnsiTheme="minorHAnsi" w:cstheme="minorHAnsi"/>
                <w:sz w:val="20"/>
                <w:szCs w:val="20"/>
              </w:rPr>
            </w:pPr>
            <w:r>
              <w:rPr>
                <w:rFonts w:asciiTheme="minorHAnsi" w:hAnsiTheme="minorHAnsi" w:cstheme="minorHAnsi"/>
                <w:sz w:val="20"/>
                <w:szCs w:val="20"/>
              </w:rPr>
              <w:t>Technické upřesnění WC a pisoárů:</w:t>
            </w:r>
          </w:p>
          <w:p w14:paraId="50E4A703" w14:textId="77777777" w:rsidR="00E310E9" w:rsidRPr="00FC16A3" w:rsidRDefault="00E310E9" w:rsidP="00491D76">
            <w:pPr>
              <w:pStyle w:val="Odstavecseseznamem"/>
              <w:numPr>
                <w:ilvl w:val="0"/>
                <w:numId w:val="145"/>
              </w:numPr>
              <w:spacing w:after="0" w:line="240" w:lineRule="auto"/>
              <w:rPr>
                <w:rFonts w:asciiTheme="minorHAnsi" w:hAnsiTheme="minorHAnsi" w:cstheme="minorHAnsi"/>
                <w:sz w:val="20"/>
                <w:szCs w:val="20"/>
              </w:rPr>
            </w:pPr>
            <w:r w:rsidRPr="00FC16A3">
              <w:rPr>
                <w:rFonts w:asciiTheme="minorHAnsi" w:hAnsiTheme="minorHAnsi" w:cstheme="minorHAnsi"/>
                <w:sz w:val="20"/>
                <w:szCs w:val="20"/>
              </w:rPr>
              <w:t xml:space="preserve">Doporučuje se aplikovat </w:t>
            </w:r>
            <w:proofErr w:type="spellStart"/>
            <w:r w:rsidRPr="00FC16A3">
              <w:rPr>
                <w:rFonts w:asciiTheme="minorHAnsi" w:hAnsiTheme="minorHAnsi" w:cstheme="minorHAnsi"/>
                <w:sz w:val="20"/>
                <w:szCs w:val="20"/>
              </w:rPr>
              <w:t>European</w:t>
            </w:r>
            <w:proofErr w:type="spellEnd"/>
            <w:r w:rsidRPr="00FC16A3">
              <w:rPr>
                <w:rFonts w:asciiTheme="minorHAnsi" w:hAnsiTheme="minorHAnsi" w:cstheme="minorHAnsi"/>
                <w:sz w:val="20"/>
                <w:szCs w:val="20"/>
              </w:rPr>
              <w:t xml:space="preserve"> </w:t>
            </w:r>
            <w:proofErr w:type="spellStart"/>
            <w:r w:rsidRPr="00FC16A3">
              <w:rPr>
                <w:rFonts w:asciiTheme="minorHAnsi" w:hAnsiTheme="minorHAnsi" w:cstheme="minorHAnsi"/>
                <w:sz w:val="20"/>
                <w:szCs w:val="20"/>
              </w:rPr>
              <w:t>unified</w:t>
            </w:r>
            <w:proofErr w:type="spellEnd"/>
            <w:r w:rsidRPr="00FC16A3">
              <w:rPr>
                <w:rFonts w:asciiTheme="minorHAnsi" w:hAnsiTheme="minorHAnsi" w:cstheme="minorHAnsi"/>
                <w:sz w:val="20"/>
                <w:szCs w:val="20"/>
              </w:rPr>
              <w:t xml:space="preserve"> </w:t>
            </w:r>
            <w:proofErr w:type="spellStart"/>
            <w:r w:rsidRPr="00FC16A3">
              <w:rPr>
                <w:rFonts w:asciiTheme="minorHAnsi" w:hAnsiTheme="minorHAnsi" w:cstheme="minorHAnsi"/>
                <w:sz w:val="20"/>
                <w:szCs w:val="20"/>
              </w:rPr>
              <w:t>Water</w:t>
            </w:r>
            <w:proofErr w:type="spellEnd"/>
            <w:r w:rsidRPr="00FC16A3">
              <w:rPr>
                <w:rFonts w:asciiTheme="minorHAnsi" w:hAnsiTheme="minorHAnsi" w:cstheme="minorHAnsi"/>
                <w:sz w:val="20"/>
                <w:szCs w:val="20"/>
              </w:rPr>
              <w:t xml:space="preserve"> </w:t>
            </w:r>
            <w:proofErr w:type="gramStart"/>
            <w:r w:rsidRPr="00FC16A3">
              <w:rPr>
                <w:rFonts w:asciiTheme="minorHAnsi" w:hAnsiTheme="minorHAnsi" w:cstheme="minorHAnsi"/>
                <w:sz w:val="20"/>
                <w:szCs w:val="20"/>
              </w:rPr>
              <w:t xml:space="preserve">label - </w:t>
            </w:r>
            <w:proofErr w:type="spellStart"/>
            <w:r w:rsidRPr="00FC16A3">
              <w:rPr>
                <w:rFonts w:asciiTheme="minorHAnsi" w:hAnsiTheme="minorHAnsi" w:cstheme="minorHAnsi"/>
                <w:sz w:val="20"/>
                <w:szCs w:val="20"/>
              </w:rPr>
              <w:t>class</w:t>
            </w:r>
            <w:proofErr w:type="spellEnd"/>
            <w:proofErr w:type="gramEnd"/>
            <w:r w:rsidRPr="00FC16A3">
              <w:rPr>
                <w:rFonts w:asciiTheme="minorHAnsi" w:hAnsiTheme="minorHAnsi" w:cstheme="minorHAnsi"/>
                <w:sz w:val="20"/>
                <w:szCs w:val="20"/>
              </w:rPr>
              <w:t xml:space="preserve"> A odpovídá požadavku </w:t>
            </w:r>
            <w:proofErr w:type="gramStart"/>
            <w:r w:rsidRPr="00FC16A3">
              <w:rPr>
                <w:rFonts w:asciiTheme="minorHAnsi" w:hAnsiTheme="minorHAnsi" w:cstheme="minorHAnsi"/>
                <w:sz w:val="20"/>
                <w:szCs w:val="20"/>
              </w:rPr>
              <w:t>5-6l</w:t>
            </w:r>
            <w:proofErr w:type="gramEnd"/>
            <w:r w:rsidRPr="00FC16A3">
              <w:rPr>
                <w:rFonts w:asciiTheme="minorHAnsi" w:hAnsiTheme="minorHAnsi" w:cstheme="minorHAnsi"/>
                <w:sz w:val="20"/>
                <w:szCs w:val="20"/>
              </w:rPr>
              <w:t>/min. Label má velké množství evropských výrobců a výrobků a umožňuje aplikaci výběrových kritérií na výrobky.</w:t>
            </w:r>
          </w:p>
          <w:p w14:paraId="6EE7EDF6" w14:textId="77777777" w:rsidR="00E310E9" w:rsidRPr="00FC16A3" w:rsidRDefault="00E310E9" w:rsidP="00491D76">
            <w:pPr>
              <w:pStyle w:val="Odstavecseseznamem"/>
              <w:numPr>
                <w:ilvl w:val="0"/>
                <w:numId w:val="145"/>
              </w:numPr>
              <w:spacing w:after="0" w:line="240" w:lineRule="auto"/>
              <w:rPr>
                <w:rFonts w:asciiTheme="minorHAnsi" w:hAnsiTheme="minorHAnsi" w:cstheme="minorHAnsi"/>
                <w:sz w:val="20"/>
                <w:szCs w:val="20"/>
              </w:rPr>
            </w:pPr>
            <w:r w:rsidRPr="00FC16A3">
              <w:rPr>
                <w:rFonts w:asciiTheme="minorHAnsi" w:hAnsiTheme="minorHAnsi" w:cstheme="minorHAnsi"/>
                <w:sz w:val="20"/>
                <w:szCs w:val="20"/>
              </w:rPr>
              <w:t xml:space="preserve">Výpočet průměrného průtoku WC dle </w:t>
            </w:r>
            <w:r w:rsidRPr="00FC16A3">
              <w:rPr>
                <w:rFonts w:asciiTheme="minorHAnsi" w:hAnsiTheme="minorHAnsi" w:cstheme="minorHAnsi"/>
                <w:sz w:val="20"/>
                <w:szCs w:val="20"/>
                <w:u w:val="single"/>
              </w:rPr>
              <w:t>metodiky BREEAM</w:t>
            </w:r>
            <w:r w:rsidRPr="00FC16A3">
              <w:rPr>
                <w:rFonts w:asciiTheme="minorHAnsi" w:hAnsiTheme="minorHAnsi" w:cstheme="minorHAnsi"/>
                <w:sz w:val="20"/>
                <w:szCs w:val="20"/>
              </w:rPr>
              <w:t>: WC, zahrnující soupra</w:t>
            </w:r>
            <w:r w:rsidRPr="00FC16A3">
              <w:rPr>
                <w:rFonts w:asciiTheme="minorHAnsi" w:hAnsiTheme="minorHAnsi" w:cstheme="minorHAnsi"/>
                <w:sz w:val="20"/>
                <w:szCs w:val="20"/>
              </w:rPr>
              <w:softHyphen/>
              <w:t>vy, mísy a splachovací nádrže, mají úplný objem splachovací vody maximálně 6 lit</w:t>
            </w:r>
            <w:r w:rsidRPr="00FC16A3">
              <w:rPr>
                <w:rFonts w:asciiTheme="minorHAnsi" w:hAnsiTheme="minorHAnsi" w:cstheme="minorHAnsi"/>
                <w:sz w:val="20"/>
                <w:szCs w:val="20"/>
              </w:rPr>
              <w:softHyphen/>
              <w:t xml:space="preserve">rů a maximální </w:t>
            </w:r>
            <w:r w:rsidRPr="00FC16A3">
              <w:rPr>
                <w:rFonts w:asciiTheme="minorHAnsi" w:hAnsiTheme="minorHAnsi" w:cstheme="minorHAnsi"/>
                <w:sz w:val="20"/>
                <w:szCs w:val="20"/>
              </w:rPr>
              <w:lastRenderedPageBreak/>
              <w:t>průměrný objem splachovací vody 3,5 litru. Průměrná spotřeba se vykládá jako kombinované užití velkého spláchnutí a malého spláchnutí.</w:t>
            </w:r>
            <w:r>
              <w:rPr>
                <w:rStyle w:val="Znakapoznpodarou"/>
                <w:rFonts w:asciiTheme="minorHAnsi" w:hAnsiTheme="minorHAnsi" w:cstheme="minorHAnsi"/>
                <w:sz w:val="20"/>
                <w:szCs w:val="20"/>
              </w:rPr>
              <w:footnoteReference w:id="189"/>
            </w:r>
            <w:r>
              <w:rPr>
                <w:rFonts w:asciiTheme="minorHAnsi" w:hAnsiTheme="minorHAnsi" w:cstheme="minorHAnsi"/>
                <w:sz w:val="20"/>
                <w:szCs w:val="20"/>
              </w:rPr>
              <w:t xml:space="preserve"> Podmínku lze splnit nastavením ventilu spláchnutí.</w:t>
            </w:r>
          </w:p>
          <w:p w14:paraId="52A0E855" w14:textId="77777777" w:rsidR="00E310E9" w:rsidRPr="00FC16A3" w:rsidRDefault="00E310E9" w:rsidP="00491D76">
            <w:pPr>
              <w:pStyle w:val="Odstavecseseznamem"/>
              <w:numPr>
                <w:ilvl w:val="0"/>
                <w:numId w:val="133"/>
              </w:numPr>
              <w:spacing w:after="0" w:line="240" w:lineRule="auto"/>
              <w:rPr>
                <w:rFonts w:asciiTheme="minorHAnsi" w:hAnsiTheme="minorHAnsi" w:cstheme="minorHAnsi"/>
                <w:sz w:val="20"/>
                <w:szCs w:val="20"/>
              </w:rPr>
            </w:pPr>
            <w:r w:rsidRPr="00FC16A3">
              <w:rPr>
                <w:rFonts w:asciiTheme="minorHAnsi" w:hAnsiTheme="minorHAnsi" w:cstheme="minorHAnsi"/>
                <w:sz w:val="20"/>
                <w:szCs w:val="20"/>
              </w:rPr>
              <w:t>Ustanovení ke spotřebě vody za hodinu se týká pisoárů, které nemají čidlo / individuální splachování, včetně pisoárů v provedení žlabu</w:t>
            </w:r>
          </w:p>
          <w:p w14:paraId="01FDE95D" w14:textId="77777777" w:rsidR="00E310E9" w:rsidRPr="00FC16A3" w:rsidRDefault="00E310E9" w:rsidP="00491D76">
            <w:pPr>
              <w:pStyle w:val="Odstavecseseznamem"/>
              <w:numPr>
                <w:ilvl w:val="0"/>
                <w:numId w:val="133"/>
              </w:numPr>
              <w:spacing w:after="0" w:line="240" w:lineRule="auto"/>
              <w:rPr>
                <w:rFonts w:asciiTheme="minorHAnsi" w:hAnsiTheme="minorHAnsi" w:cstheme="minorHAnsi"/>
                <w:sz w:val="20"/>
                <w:szCs w:val="20"/>
              </w:rPr>
            </w:pPr>
            <w:r w:rsidRPr="00FC16A3">
              <w:rPr>
                <w:rFonts w:asciiTheme="minorHAnsi" w:hAnsiTheme="minorHAnsi" w:cstheme="minorHAnsi"/>
                <w:sz w:val="20"/>
                <w:szCs w:val="20"/>
              </w:rPr>
              <w:t xml:space="preserve">Ustanovení k </w:t>
            </w:r>
            <w:proofErr w:type="gramStart"/>
            <w:r w:rsidRPr="00FC16A3">
              <w:rPr>
                <w:rFonts w:asciiTheme="minorHAnsi" w:hAnsiTheme="minorHAnsi" w:cstheme="minorHAnsi"/>
                <w:sz w:val="20"/>
                <w:szCs w:val="20"/>
              </w:rPr>
              <w:t>1l</w:t>
            </w:r>
            <w:proofErr w:type="gramEnd"/>
            <w:r w:rsidRPr="00FC16A3">
              <w:rPr>
                <w:rFonts w:asciiTheme="minorHAnsi" w:hAnsiTheme="minorHAnsi" w:cstheme="minorHAnsi"/>
                <w:sz w:val="20"/>
                <w:szCs w:val="20"/>
              </w:rPr>
              <w:t xml:space="preserve"> ke splachovacím pisoárům s čidlem / </w:t>
            </w:r>
            <w:r>
              <w:rPr>
                <w:rFonts w:asciiTheme="minorHAnsi" w:hAnsiTheme="minorHAnsi" w:cstheme="minorHAnsi"/>
                <w:sz w:val="20"/>
                <w:szCs w:val="20"/>
              </w:rPr>
              <w:t>pisoárům s </w:t>
            </w:r>
            <w:r w:rsidRPr="00FC16A3">
              <w:rPr>
                <w:rFonts w:asciiTheme="minorHAnsi" w:hAnsiTheme="minorHAnsi" w:cstheme="minorHAnsi"/>
                <w:sz w:val="20"/>
                <w:szCs w:val="20"/>
              </w:rPr>
              <w:t xml:space="preserve">individuálním splachováním je praktičtější a vztahuje se na jedno spláchnutí, což </w:t>
            </w:r>
            <w:r>
              <w:rPr>
                <w:rFonts w:asciiTheme="minorHAnsi" w:hAnsiTheme="minorHAnsi" w:cstheme="minorHAnsi"/>
                <w:sz w:val="20"/>
                <w:szCs w:val="20"/>
              </w:rPr>
              <w:t xml:space="preserve">splňují </w:t>
            </w:r>
            <w:r w:rsidRPr="00FC16A3">
              <w:rPr>
                <w:rFonts w:asciiTheme="minorHAnsi" w:hAnsiTheme="minorHAnsi" w:cstheme="minorHAnsi"/>
                <w:sz w:val="20"/>
                <w:szCs w:val="20"/>
              </w:rPr>
              <w:t>běžně dostupn</w:t>
            </w:r>
            <w:r>
              <w:rPr>
                <w:rFonts w:asciiTheme="minorHAnsi" w:hAnsiTheme="minorHAnsi" w:cstheme="minorHAnsi"/>
                <w:sz w:val="20"/>
                <w:szCs w:val="20"/>
              </w:rPr>
              <w:t>é</w:t>
            </w:r>
            <w:r w:rsidRPr="00FC16A3">
              <w:rPr>
                <w:rFonts w:asciiTheme="minorHAnsi" w:hAnsiTheme="minorHAnsi" w:cstheme="minorHAnsi"/>
                <w:sz w:val="20"/>
                <w:szCs w:val="20"/>
              </w:rPr>
              <w:t xml:space="preserve"> produkty, většinou se jedná o odsávací modely</w:t>
            </w:r>
            <w:r>
              <w:rPr>
                <w:rFonts w:asciiTheme="minorHAnsi" w:hAnsiTheme="minorHAnsi" w:cstheme="minorHAnsi"/>
                <w:sz w:val="20"/>
                <w:szCs w:val="20"/>
              </w:rPr>
              <w:t xml:space="preserve"> – podmínku lze splnit nastavením ventilu spláchnutí.</w:t>
            </w:r>
          </w:p>
          <w:p w14:paraId="04EE3828" w14:textId="77777777" w:rsidR="00E310E9" w:rsidRDefault="00E310E9" w:rsidP="00491D76">
            <w:pPr>
              <w:spacing w:after="0" w:line="240" w:lineRule="auto"/>
              <w:rPr>
                <w:rFonts w:asciiTheme="minorHAnsi" w:hAnsiTheme="minorHAnsi" w:cstheme="minorHAnsi"/>
                <w:sz w:val="20"/>
                <w:szCs w:val="20"/>
              </w:rPr>
            </w:pPr>
          </w:p>
          <w:p w14:paraId="41ECFFD2" w14:textId="77777777" w:rsidR="00E310E9" w:rsidRDefault="00E310E9" w:rsidP="00491D76">
            <w:pPr>
              <w:spacing w:after="0" w:line="240" w:lineRule="auto"/>
              <w:rPr>
                <w:rFonts w:asciiTheme="minorHAnsi" w:hAnsiTheme="minorHAnsi" w:cstheme="minorHAnsi"/>
                <w:sz w:val="20"/>
                <w:szCs w:val="20"/>
              </w:rPr>
            </w:pPr>
          </w:p>
        </w:tc>
        <w:tc>
          <w:tcPr>
            <w:tcW w:w="1064" w:type="pct"/>
            <w:shd w:val="clear" w:color="auto" w:fill="DEEAF6" w:themeFill="accent5" w:themeFillTint="33"/>
          </w:tcPr>
          <w:p w14:paraId="3C1EE8FB" w14:textId="77777777" w:rsidR="00E310E9" w:rsidRDefault="00E310E9" w:rsidP="00491D76">
            <w:pPr>
              <w:spacing w:after="0" w:line="240" w:lineRule="auto"/>
              <w:rPr>
                <w:rFonts w:asciiTheme="minorHAnsi" w:hAnsiTheme="minorHAnsi" w:cstheme="minorHAnsi"/>
                <w:sz w:val="20"/>
                <w:szCs w:val="20"/>
              </w:rPr>
            </w:pPr>
            <w:r>
              <w:rPr>
                <w:rFonts w:asciiTheme="minorHAnsi" w:hAnsiTheme="minorHAnsi" w:cstheme="minorHAnsi"/>
                <w:sz w:val="20"/>
                <w:szCs w:val="20"/>
              </w:rPr>
              <w:lastRenderedPageBreak/>
              <w:t>Vykazování typu a parametrů nové vodovodní výtokové armatury v rámci žádosti o podporu, sledování tohoto parametru u realizovaných projektů v rámci kontrolní činnosti, případně doložení čestného prohlášení žadatele.</w:t>
            </w:r>
          </w:p>
          <w:p w14:paraId="08DCBD9A" w14:textId="77777777" w:rsidR="00E310E9" w:rsidRDefault="00E310E9" w:rsidP="00491D76">
            <w:pPr>
              <w:spacing w:after="0" w:line="240" w:lineRule="auto"/>
              <w:rPr>
                <w:rFonts w:asciiTheme="minorHAnsi" w:hAnsiTheme="minorHAnsi" w:cstheme="minorHAnsi"/>
                <w:sz w:val="20"/>
                <w:szCs w:val="20"/>
              </w:rPr>
            </w:pPr>
          </w:p>
          <w:p w14:paraId="17627D50" w14:textId="77777777" w:rsidR="00E310E9" w:rsidRDefault="00E310E9" w:rsidP="00491D76">
            <w:pPr>
              <w:spacing w:after="0" w:line="240" w:lineRule="auto"/>
              <w:rPr>
                <w:rFonts w:asciiTheme="minorHAnsi" w:hAnsiTheme="minorHAnsi" w:cstheme="minorHAnsi"/>
                <w:sz w:val="20"/>
                <w:szCs w:val="20"/>
              </w:rPr>
            </w:pPr>
          </w:p>
          <w:p w14:paraId="386E1AAA" w14:textId="77777777" w:rsidR="00E310E9" w:rsidRDefault="00E310E9" w:rsidP="00491D76">
            <w:pPr>
              <w:spacing w:after="0" w:line="240" w:lineRule="auto"/>
              <w:rPr>
                <w:rFonts w:asciiTheme="minorHAnsi" w:hAnsiTheme="minorHAnsi" w:cstheme="minorHAnsi"/>
                <w:sz w:val="20"/>
                <w:szCs w:val="20"/>
              </w:rPr>
            </w:pPr>
          </w:p>
        </w:tc>
        <w:tc>
          <w:tcPr>
            <w:tcW w:w="1102" w:type="pct"/>
            <w:shd w:val="clear" w:color="auto" w:fill="DEEAF6" w:themeFill="accent5" w:themeFillTint="33"/>
          </w:tcPr>
          <w:p w14:paraId="7301B2DD" w14:textId="77777777" w:rsidR="00E310E9" w:rsidRDefault="00E310E9" w:rsidP="00491D76">
            <w:pPr>
              <w:spacing w:after="0" w:line="240" w:lineRule="auto"/>
              <w:rPr>
                <w:rFonts w:asciiTheme="minorHAnsi" w:hAnsiTheme="minorHAnsi" w:cstheme="minorHAnsi"/>
                <w:b/>
                <w:i/>
                <w:sz w:val="20"/>
                <w:szCs w:val="20"/>
              </w:rPr>
            </w:pPr>
            <w:r>
              <w:rPr>
                <w:rFonts w:asciiTheme="minorHAnsi" w:hAnsiTheme="minorHAnsi" w:cstheme="minorHAnsi"/>
                <w:b/>
                <w:i/>
                <w:sz w:val="20"/>
                <w:szCs w:val="20"/>
              </w:rPr>
              <w:t>Podmínky jsou přímo podmínkami DNSH dle přílohy I a přílohy II nařízení EU 2021/2139 a jsou tímto ve fondech splněny</w:t>
            </w:r>
          </w:p>
        </w:tc>
      </w:tr>
      <w:tr w:rsidR="00E310E9" w14:paraId="2F59B831" w14:textId="77777777" w:rsidTr="00491D76">
        <w:tc>
          <w:tcPr>
            <w:tcW w:w="570" w:type="pct"/>
            <w:vMerge/>
            <w:shd w:val="clear" w:color="auto" w:fill="DEEAF6" w:themeFill="accent5" w:themeFillTint="33"/>
          </w:tcPr>
          <w:p w14:paraId="2A7E3E57" w14:textId="77777777" w:rsidR="00E310E9" w:rsidRDefault="00E310E9" w:rsidP="00491D76">
            <w:pPr>
              <w:spacing w:after="0" w:line="240" w:lineRule="auto"/>
              <w:rPr>
                <w:rFonts w:asciiTheme="minorHAnsi" w:hAnsiTheme="minorHAnsi" w:cstheme="minorHAnsi"/>
                <w:b/>
                <w:sz w:val="20"/>
                <w:szCs w:val="20"/>
              </w:rPr>
            </w:pPr>
          </w:p>
        </w:tc>
        <w:tc>
          <w:tcPr>
            <w:tcW w:w="1150" w:type="pct"/>
            <w:shd w:val="clear" w:color="auto" w:fill="DEEAF6" w:themeFill="accent5" w:themeFillTint="33"/>
          </w:tcPr>
          <w:p w14:paraId="482A4CE6" w14:textId="77777777" w:rsidR="00E310E9" w:rsidRDefault="00E310E9" w:rsidP="00491D76">
            <w:pPr>
              <w:rPr>
                <w:rFonts w:asciiTheme="minorHAnsi" w:hAnsiTheme="minorHAnsi" w:cstheme="minorHAnsi"/>
                <w:bCs/>
                <w:sz w:val="20"/>
                <w:szCs w:val="20"/>
              </w:rPr>
            </w:pPr>
            <w:r>
              <w:rPr>
                <w:rFonts w:asciiTheme="minorHAnsi" w:hAnsiTheme="minorHAnsi" w:cstheme="minorHAnsi"/>
                <w:bCs/>
                <w:sz w:val="20"/>
                <w:szCs w:val="20"/>
              </w:rPr>
              <w:t>Projekt zohlední efektivní hospodaření s vodou, jako je využívání dešťové vody, využívání šedé a recyklované vody atd.</w:t>
            </w:r>
          </w:p>
          <w:p w14:paraId="19D4DD5D" w14:textId="77777777" w:rsidR="00E310E9" w:rsidRDefault="00E310E9" w:rsidP="00491D76">
            <w:pPr>
              <w:rPr>
                <w:rFonts w:asciiTheme="minorHAnsi" w:hAnsiTheme="minorHAnsi" w:cstheme="minorHAnsi"/>
                <w:bCs/>
                <w:sz w:val="20"/>
                <w:szCs w:val="20"/>
              </w:rPr>
            </w:pPr>
          </w:p>
        </w:tc>
        <w:tc>
          <w:tcPr>
            <w:tcW w:w="1114" w:type="pct"/>
            <w:shd w:val="clear" w:color="auto" w:fill="DEEAF6" w:themeFill="accent5" w:themeFillTint="33"/>
          </w:tcPr>
          <w:p w14:paraId="163CE90B" w14:textId="77777777" w:rsidR="00E310E9" w:rsidRDefault="00E310E9" w:rsidP="00491D76">
            <w:pPr>
              <w:rPr>
                <w:rFonts w:asciiTheme="minorHAnsi" w:hAnsiTheme="minorHAnsi" w:cstheme="minorHAnsi"/>
                <w:bCs/>
                <w:sz w:val="20"/>
                <w:szCs w:val="20"/>
              </w:rPr>
            </w:pPr>
            <w:r>
              <w:rPr>
                <w:rFonts w:asciiTheme="minorHAnsi" w:hAnsiTheme="minorHAnsi" w:cstheme="minorHAnsi"/>
                <w:bCs/>
                <w:sz w:val="20"/>
                <w:szCs w:val="20"/>
              </w:rPr>
              <w:lastRenderedPageBreak/>
              <w:t>Nastavení předmětu podpory – zahrnutí těchto opatření do uznatelných nákladů.</w:t>
            </w:r>
          </w:p>
        </w:tc>
        <w:tc>
          <w:tcPr>
            <w:tcW w:w="1064" w:type="pct"/>
            <w:shd w:val="clear" w:color="auto" w:fill="DEEAF6" w:themeFill="accent5" w:themeFillTint="33"/>
          </w:tcPr>
          <w:p w14:paraId="39C4FD93" w14:textId="77777777" w:rsidR="00E310E9" w:rsidRDefault="00E310E9" w:rsidP="00491D76">
            <w:pPr>
              <w:rPr>
                <w:rFonts w:asciiTheme="minorHAnsi" w:hAnsiTheme="minorHAnsi" w:cstheme="minorHAnsi"/>
                <w:bCs/>
                <w:sz w:val="20"/>
                <w:szCs w:val="20"/>
              </w:rPr>
            </w:pPr>
            <w:r>
              <w:rPr>
                <w:rFonts w:asciiTheme="minorHAnsi" w:hAnsiTheme="minorHAnsi" w:cstheme="minorHAnsi"/>
                <w:sz w:val="20"/>
                <w:szCs w:val="20"/>
              </w:rPr>
              <w:t>Kontrola v rámci projektové žádosti.</w:t>
            </w:r>
          </w:p>
        </w:tc>
        <w:tc>
          <w:tcPr>
            <w:tcW w:w="1102" w:type="pct"/>
            <w:shd w:val="clear" w:color="auto" w:fill="DEEAF6" w:themeFill="accent5" w:themeFillTint="33"/>
          </w:tcPr>
          <w:p w14:paraId="5540BB2E" w14:textId="77777777" w:rsidR="00E310E9" w:rsidRDefault="00E310E9" w:rsidP="00491D76">
            <w:pPr>
              <w:rPr>
                <w:rFonts w:asciiTheme="minorHAnsi" w:hAnsiTheme="minorHAnsi" w:cstheme="minorHAnsi"/>
                <w:bCs/>
                <w:color w:val="A6A6A6" w:themeColor="background1" w:themeShade="A6"/>
                <w:sz w:val="20"/>
                <w:szCs w:val="20"/>
              </w:rPr>
            </w:pPr>
          </w:p>
        </w:tc>
      </w:tr>
      <w:tr w:rsidR="00E310E9" w14:paraId="6797D279" w14:textId="77777777" w:rsidTr="00491D76">
        <w:tc>
          <w:tcPr>
            <w:tcW w:w="570" w:type="pct"/>
            <w:vMerge/>
            <w:shd w:val="clear" w:color="auto" w:fill="DEEAF6" w:themeFill="accent5" w:themeFillTint="33"/>
          </w:tcPr>
          <w:p w14:paraId="1FFBF988" w14:textId="77777777" w:rsidR="00E310E9" w:rsidRDefault="00E310E9" w:rsidP="00491D76">
            <w:pPr>
              <w:rPr>
                <w:rFonts w:asciiTheme="minorHAnsi" w:hAnsiTheme="minorHAnsi" w:cstheme="minorHAnsi"/>
                <w:b/>
                <w:sz w:val="20"/>
                <w:szCs w:val="20"/>
              </w:rPr>
            </w:pPr>
          </w:p>
        </w:tc>
        <w:tc>
          <w:tcPr>
            <w:tcW w:w="1150" w:type="pct"/>
            <w:shd w:val="clear" w:color="auto" w:fill="DEEAF6" w:themeFill="accent5" w:themeFillTint="33"/>
          </w:tcPr>
          <w:p w14:paraId="20A0A60F" w14:textId="77777777" w:rsidR="00E310E9" w:rsidRDefault="00E310E9" w:rsidP="00491D76">
            <w:pPr>
              <w:rPr>
                <w:rFonts w:asciiTheme="minorHAnsi" w:hAnsiTheme="minorHAnsi" w:cstheme="minorHAnsi"/>
                <w:bCs/>
                <w:color w:val="A6A6A6" w:themeColor="background1" w:themeShade="A6"/>
                <w:sz w:val="20"/>
                <w:szCs w:val="20"/>
              </w:rPr>
            </w:pPr>
            <w:r>
              <w:rPr>
                <w:rFonts w:asciiTheme="minorHAnsi" w:hAnsiTheme="minorHAnsi" w:cstheme="minorHAnsi"/>
                <w:bCs/>
                <w:color w:val="A6A6A6" w:themeColor="background1" w:themeShade="A6"/>
                <w:sz w:val="20"/>
                <w:szCs w:val="20"/>
              </w:rPr>
              <w:t>Identifikace a popis řešení rizika zhoršování stavu životního prostředí související se zachováním kvality vody a předcházením vodnímu stresu s cílem dosáhnout dobrého stavu vod a dobrého ekologického potenciálu ve smyslu:</w:t>
            </w:r>
          </w:p>
          <w:p w14:paraId="4E0F4425" w14:textId="77777777" w:rsidR="00E310E9" w:rsidRDefault="00E310E9" w:rsidP="00491D76">
            <w:pPr>
              <w:spacing w:after="0" w:line="240" w:lineRule="auto"/>
              <w:rPr>
                <w:rFonts w:asciiTheme="minorHAnsi" w:hAnsiTheme="minorHAnsi" w:cstheme="minorHAnsi"/>
                <w:bCs/>
                <w:color w:val="A6A6A6" w:themeColor="background1" w:themeShade="A6"/>
                <w:sz w:val="20"/>
                <w:szCs w:val="20"/>
              </w:rPr>
            </w:pPr>
            <w:r>
              <w:rPr>
                <w:rFonts w:asciiTheme="minorHAnsi" w:hAnsiTheme="minorHAnsi" w:cstheme="minorHAnsi"/>
                <w:bCs/>
                <w:color w:val="A6A6A6" w:themeColor="background1" w:themeShade="A6"/>
                <w:sz w:val="20"/>
                <w:szCs w:val="20"/>
              </w:rPr>
              <w:t>a) pro povrchové vody dobrý ekologický stav ve smyslu čl. 2 bodu 22 směrnice 2000/60/ES a dobrý chemický stav povrchových vod ve smyslu čl. 2 bodu 24 uvedené směrnice;</w:t>
            </w:r>
          </w:p>
          <w:p w14:paraId="3AB63036" w14:textId="77777777" w:rsidR="00E310E9" w:rsidRDefault="00E310E9" w:rsidP="00491D76">
            <w:pPr>
              <w:spacing w:after="0" w:line="240" w:lineRule="auto"/>
              <w:rPr>
                <w:rFonts w:asciiTheme="minorHAnsi" w:hAnsiTheme="minorHAnsi" w:cstheme="minorHAnsi"/>
                <w:bCs/>
                <w:color w:val="A6A6A6" w:themeColor="background1" w:themeShade="A6"/>
                <w:sz w:val="20"/>
                <w:szCs w:val="20"/>
              </w:rPr>
            </w:pPr>
            <w:r>
              <w:rPr>
                <w:rFonts w:asciiTheme="minorHAnsi" w:hAnsiTheme="minorHAnsi" w:cstheme="minorHAnsi"/>
                <w:bCs/>
                <w:color w:val="A6A6A6" w:themeColor="background1" w:themeShade="A6"/>
                <w:sz w:val="20"/>
                <w:szCs w:val="20"/>
              </w:rPr>
              <w:t>b) pro podzemní vody dobrý chemický stav podzemních vod ve smyslu čl. 2 bodu 25 směrnice 2000/60/ES a dobrý kvantitativní stav ve smyslu čl. 2 bodu 28 uvedené směrnice; a s plánem hospodaření s vodou a ochrany vod vypracovaným na základě uvedené směrnice pro potenciálně zasažený vodní útvar nebo útvary, a to po konzultaci s příslušnými zúčastněnými stranami.</w:t>
            </w:r>
          </w:p>
        </w:tc>
        <w:tc>
          <w:tcPr>
            <w:tcW w:w="1114" w:type="pct"/>
            <w:shd w:val="clear" w:color="auto" w:fill="DEEAF6" w:themeFill="accent5" w:themeFillTint="33"/>
          </w:tcPr>
          <w:p w14:paraId="7A644940" w14:textId="77777777" w:rsidR="00E310E9" w:rsidRDefault="00E310E9" w:rsidP="00491D76">
            <w:pPr>
              <w:spacing w:after="0" w:line="240" w:lineRule="auto"/>
              <w:rPr>
                <w:rFonts w:asciiTheme="minorHAnsi" w:hAnsiTheme="minorHAnsi" w:cstheme="minorHAnsi"/>
                <w:color w:val="A6A6A6" w:themeColor="background1" w:themeShade="A6"/>
                <w:sz w:val="20"/>
                <w:szCs w:val="20"/>
              </w:rPr>
            </w:pPr>
            <w:r>
              <w:rPr>
                <w:rFonts w:asciiTheme="minorHAnsi" w:hAnsiTheme="minorHAnsi" w:cstheme="minorHAnsi"/>
                <w:color w:val="A6A6A6" w:themeColor="background1" w:themeShade="A6"/>
                <w:sz w:val="20"/>
                <w:szCs w:val="20"/>
              </w:rPr>
              <w:t>Legislativní požadavek. V případě, že projekt má vydáno vodoprávní rozhodnutí, či je vyžadováno v rámci povolení k provozu po dokončení realizace projektu, je tento požadavek naplněn, neboť správce povodí a vodoprávní úřad aplikují toto hodnocení a uplatní kritéria pro zajištění tohoto požadavku, jehož jsou garanti.</w:t>
            </w:r>
          </w:p>
          <w:p w14:paraId="745B20F2" w14:textId="77777777" w:rsidR="00E310E9" w:rsidRDefault="00E310E9" w:rsidP="00491D76">
            <w:pPr>
              <w:spacing w:after="0" w:line="240" w:lineRule="auto"/>
              <w:rPr>
                <w:rFonts w:asciiTheme="minorHAnsi" w:hAnsiTheme="minorHAnsi" w:cstheme="minorHAnsi"/>
                <w:sz w:val="20"/>
                <w:szCs w:val="20"/>
              </w:rPr>
            </w:pPr>
          </w:p>
          <w:p w14:paraId="670BD820" w14:textId="77777777" w:rsidR="00E310E9" w:rsidRPr="00443663" w:rsidRDefault="00E310E9" w:rsidP="00491D76">
            <w:pPr>
              <w:spacing w:after="0" w:line="240" w:lineRule="auto"/>
              <w:rPr>
                <w:rFonts w:asciiTheme="minorHAnsi" w:hAnsiTheme="minorHAnsi" w:cstheme="minorHAnsi"/>
                <w:sz w:val="20"/>
                <w:szCs w:val="20"/>
              </w:rPr>
            </w:pPr>
            <w:r w:rsidRPr="00443663">
              <w:rPr>
                <w:rFonts w:asciiTheme="minorHAnsi" w:hAnsiTheme="minorHAnsi" w:cstheme="minorHAnsi"/>
                <w:sz w:val="20"/>
                <w:szCs w:val="20"/>
              </w:rPr>
              <w:t>V případě, že bylo provedeno posuzování vlivů na životní prostředí (EIA), screening v souladu se směrnicí 2011/92/EU, nebo spadá záměr opatření pod složkovou environmentální legislativu integrovanou do jednotného environmentálního stanoviska, je nutné zajistit, že byla provedena požadovaná zmírňující a kompenzační opatření na ochranu životního prostředí.</w:t>
            </w:r>
          </w:p>
          <w:p w14:paraId="4C6F3956" w14:textId="77777777" w:rsidR="00E310E9" w:rsidRPr="00443663" w:rsidRDefault="00E310E9" w:rsidP="00491D76">
            <w:pPr>
              <w:spacing w:after="0" w:line="240" w:lineRule="auto"/>
              <w:rPr>
                <w:rFonts w:asciiTheme="minorHAnsi" w:hAnsiTheme="minorHAnsi" w:cstheme="minorHAnsi"/>
                <w:sz w:val="20"/>
                <w:szCs w:val="20"/>
              </w:rPr>
            </w:pPr>
          </w:p>
          <w:p w14:paraId="61F77FCB" w14:textId="77777777" w:rsidR="00E310E9" w:rsidRDefault="00E310E9" w:rsidP="00491D76">
            <w:pPr>
              <w:spacing w:after="0" w:line="240" w:lineRule="auto"/>
              <w:rPr>
                <w:rFonts w:asciiTheme="minorHAnsi" w:hAnsiTheme="minorHAnsi" w:cstheme="minorHAnsi"/>
                <w:sz w:val="20"/>
                <w:szCs w:val="20"/>
              </w:rPr>
            </w:pPr>
            <w:r w:rsidRPr="00443663">
              <w:rPr>
                <w:rFonts w:asciiTheme="minorHAnsi" w:hAnsiTheme="minorHAnsi" w:cstheme="minorHAnsi"/>
                <w:sz w:val="20"/>
                <w:szCs w:val="20"/>
              </w:rPr>
              <w:t>Zmírňující a kompenzační opatření na ochranu životního prostředí (na základě závazného stanoviska provedeného posouzení vlivů na životní prostředí) by měla být součástí projektové dokumentace. Tyto jsou poté kontrolovány v rámci stavebního řízení, finálně však ve smyslu, že byla provedena zmírňující a kompenzační opatření až při kolaudaci.</w:t>
            </w:r>
          </w:p>
          <w:p w14:paraId="6EEE69A2" w14:textId="77777777" w:rsidR="00E310E9" w:rsidRDefault="00E310E9" w:rsidP="00491D76">
            <w:pPr>
              <w:spacing w:after="0" w:line="240" w:lineRule="auto"/>
              <w:rPr>
                <w:rFonts w:asciiTheme="minorHAnsi" w:hAnsiTheme="minorHAnsi" w:cstheme="minorHAnsi"/>
                <w:sz w:val="20"/>
                <w:szCs w:val="20"/>
              </w:rPr>
            </w:pPr>
          </w:p>
          <w:p w14:paraId="4B57525A" w14:textId="77777777" w:rsidR="00E310E9" w:rsidRDefault="00E310E9" w:rsidP="00491D76">
            <w:pPr>
              <w:spacing w:after="0" w:line="240" w:lineRule="auto"/>
              <w:rPr>
                <w:rFonts w:asciiTheme="minorHAnsi" w:hAnsiTheme="minorHAnsi" w:cstheme="minorHAnsi"/>
                <w:color w:val="A6A6A6" w:themeColor="background1" w:themeShade="A6"/>
                <w:sz w:val="20"/>
                <w:szCs w:val="20"/>
              </w:rPr>
            </w:pPr>
            <w:r w:rsidRPr="00443663">
              <w:rPr>
                <w:rFonts w:asciiTheme="minorHAnsi" w:hAnsiTheme="minorHAnsi" w:cstheme="minorHAnsi"/>
                <w:sz w:val="20"/>
                <w:szCs w:val="20"/>
              </w:rPr>
              <w:t xml:space="preserve">Z pohledu procesu se však legislativní postup nemusí setkat v čase s rozhodnutím o poskytnutí dotace, proto je potřeba požadovat čestné prohlášení ohledně provedení </w:t>
            </w:r>
            <w:r w:rsidRPr="00443663">
              <w:rPr>
                <w:rFonts w:asciiTheme="minorHAnsi" w:hAnsiTheme="minorHAnsi" w:cstheme="minorHAnsi"/>
                <w:sz w:val="20"/>
                <w:szCs w:val="20"/>
              </w:rPr>
              <w:lastRenderedPageBreak/>
              <w:t>zmírňujících a kompenzačních opatření na ochranu životního prostředí.</w:t>
            </w:r>
          </w:p>
        </w:tc>
        <w:tc>
          <w:tcPr>
            <w:tcW w:w="1064" w:type="pct"/>
            <w:shd w:val="clear" w:color="auto" w:fill="DEEAF6" w:themeFill="accent5" w:themeFillTint="33"/>
          </w:tcPr>
          <w:p w14:paraId="6FFF331D" w14:textId="77777777" w:rsidR="00E310E9" w:rsidRDefault="00E310E9" w:rsidP="00491D76">
            <w:pPr>
              <w:spacing w:after="0" w:line="240" w:lineRule="auto"/>
              <w:rPr>
                <w:rFonts w:asciiTheme="minorHAnsi" w:hAnsiTheme="minorHAnsi" w:cstheme="minorHAnsi"/>
                <w:color w:val="A6A6A6" w:themeColor="background1" w:themeShade="A6"/>
                <w:sz w:val="20"/>
                <w:szCs w:val="20"/>
              </w:rPr>
            </w:pPr>
            <w:r>
              <w:rPr>
                <w:rFonts w:asciiTheme="minorHAnsi" w:hAnsiTheme="minorHAnsi" w:cstheme="minorHAnsi"/>
                <w:sz w:val="20"/>
                <w:szCs w:val="20"/>
              </w:rPr>
              <w:lastRenderedPageBreak/>
              <w:t>Požadavek na čestné prohlášení ohledně plného zohlednění doporučení stanoviska EIA v projektu (v rámci projektů podléhajících EIA) nebo jednotného environmentálního stanoviska, pokud již nebyla provedena kolaudace v průběhu řízení o přidělení dotace.</w:t>
            </w:r>
          </w:p>
        </w:tc>
        <w:tc>
          <w:tcPr>
            <w:tcW w:w="1102" w:type="pct"/>
            <w:shd w:val="clear" w:color="auto" w:fill="DEEAF6" w:themeFill="accent5" w:themeFillTint="33"/>
          </w:tcPr>
          <w:p w14:paraId="2C58D95F" w14:textId="77777777" w:rsidR="00E310E9" w:rsidRDefault="00E310E9" w:rsidP="00491D76">
            <w:pPr>
              <w:spacing w:after="0" w:line="240" w:lineRule="auto"/>
              <w:rPr>
                <w:rFonts w:asciiTheme="minorHAnsi" w:hAnsiTheme="minorHAnsi" w:cstheme="minorHAnsi"/>
                <w:color w:val="A6A6A6" w:themeColor="background1" w:themeShade="A6"/>
                <w:sz w:val="20"/>
                <w:szCs w:val="20"/>
              </w:rPr>
            </w:pPr>
          </w:p>
        </w:tc>
      </w:tr>
      <w:tr w:rsidR="00E310E9" w14:paraId="768BBA9C" w14:textId="77777777" w:rsidTr="00491D76">
        <w:tc>
          <w:tcPr>
            <w:tcW w:w="570" w:type="pct"/>
            <w:vMerge w:val="restart"/>
            <w:shd w:val="clear" w:color="auto" w:fill="FFF2CC" w:themeFill="accent4" w:themeFillTint="33"/>
          </w:tcPr>
          <w:p w14:paraId="4672584E" w14:textId="77777777" w:rsidR="00E310E9" w:rsidRDefault="00E310E9" w:rsidP="00491D76">
            <w:pPr>
              <w:spacing w:after="0" w:line="240" w:lineRule="auto"/>
              <w:jc w:val="left"/>
              <w:rPr>
                <w:rFonts w:asciiTheme="minorHAnsi" w:hAnsiTheme="minorHAnsi" w:cstheme="minorHAnsi"/>
                <w:b/>
                <w:sz w:val="20"/>
                <w:szCs w:val="20"/>
              </w:rPr>
            </w:pPr>
            <w:r>
              <w:rPr>
                <w:rFonts w:asciiTheme="minorHAnsi" w:hAnsiTheme="minorHAnsi" w:cstheme="minorHAnsi"/>
                <w:b/>
                <w:sz w:val="20"/>
                <w:szCs w:val="20"/>
              </w:rPr>
              <w:t>Oběhové hospodářství včetně předcházení vzniku odpadů a recyklace</w:t>
            </w:r>
          </w:p>
        </w:tc>
        <w:tc>
          <w:tcPr>
            <w:tcW w:w="1150" w:type="pct"/>
            <w:shd w:val="clear" w:color="auto" w:fill="FFF2CC" w:themeFill="accent4" w:themeFillTint="33"/>
          </w:tcPr>
          <w:p w14:paraId="2BB274D7" w14:textId="77777777" w:rsidR="00E310E9" w:rsidRDefault="00E310E9" w:rsidP="00491D76">
            <w:pPr>
              <w:spacing w:after="0" w:line="240" w:lineRule="auto"/>
              <w:rPr>
                <w:rFonts w:asciiTheme="minorHAnsi" w:hAnsiTheme="minorHAnsi" w:cstheme="minorHAnsi"/>
                <w:bCs/>
                <w:sz w:val="20"/>
                <w:szCs w:val="20"/>
              </w:rPr>
            </w:pPr>
            <w:r w:rsidRPr="004C24A5">
              <w:rPr>
                <w:rFonts w:asciiTheme="minorHAnsi" w:hAnsiTheme="minorHAnsi" w:cstheme="minorHAnsi"/>
                <w:bCs/>
                <w:sz w:val="20"/>
                <w:szCs w:val="20"/>
              </w:rPr>
              <w:t>Nejméně 70 % stavebního a demoličního odpadu, který není nebezpečný a vzniká na staveništi (podle hmotnosti v kilogramech), s výjimkou přirozeně se vyskytujícího materiálu uvedeného v kategorii 17 05 04 v evropském seznamu odpadů (rozhodnutí 2000/532/ES), je připraveno k opětovnému použití</w:t>
            </w:r>
            <w:r>
              <w:rPr>
                <w:rStyle w:val="Znakapoznpodarou"/>
                <w:rFonts w:asciiTheme="minorHAnsi" w:hAnsiTheme="minorHAnsi" w:cstheme="minorHAnsi"/>
                <w:bCs/>
                <w:sz w:val="20"/>
                <w:szCs w:val="20"/>
              </w:rPr>
              <w:footnoteReference w:id="190"/>
            </w:r>
            <w:r>
              <w:rPr>
                <w:rFonts w:asciiTheme="minorHAnsi" w:hAnsiTheme="minorHAnsi" w:cstheme="minorHAnsi"/>
                <w:bCs/>
                <w:sz w:val="20"/>
                <w:szCs w:val="20"/>
              </w:rPr>
              <w:t xml:space="preserve"> </w:t>
            </w:r>
            <w:r w:rsidRPr="004C24A5">
              <w:rPr>
                <w:rFonts w:asciiTheme="minorHAnsi" w:hAnsiTheme="minorHAnsi" w:cstheme="minorHAnsi"/>
                <w:bCs/>
                <w:sz w:val="20"/>
                <w:szCs w:val="20"/>
              </w:rPr>
              <w:t>nebo recyklováno</w:t>
            </w:r>
            <w:r>
              <w:rPr>
                <w:rStyle w:val="Znakapoznpodarou"/>
                <w:rFonts w:asciiTheme="minorHAnsi" w:hAnsiTheme="minorHAnsi" w:cstheme="minorHAnsi"/>
                <w:bCs/>
                <w:sz w:val="20"/>
                <w:szCs w:val="20"/>
              </w:rPr>
              <w:footnoteReference w:id="191"/>
            </w:r>
            <w:r w:rsidRPr="004C24A5">
              <w:rPr>
                <w:rFonts w:asciiTheme="minorHAnsi" w:hAnsiTheme="minorHAnsi" w:cstheme="minorHAnsi"/>
                <w:bCs/>
                <w:sz w:val="20"/>
                <w:szCs w:val="20"/>
              </w:rPr>
              <w:t>. Zasypávání</w:t>
            </w:r>
            <w:r>
              <w:rPr>
                <w:rStyle w:val="Znakapoznpodarou"/>
                <w:rFonts w:asciiTheme="minorHAnsi" w:hAnsiTheme="minorHAnsi" w:cstheme="minorHAnsi"/>
                <w:bCs/>
                <w:sz w:val="20"/>
                <w:szCs w:val="20"/>
              </w:rPr>
              <w:footnoteReference w:id="192"/>
            </w:r>
            <w:r w:rsidRPr="004C24A5">
              <w:rPr>
                <w:rFonts w:asciiTheme="minorHAnsi" w:hAnsiTheme="minorHAnsi" w:cstheme="minorHAnsi"/>
                <w:bCs/>
                <w:sz w:val="20"/>
                <w:szCs w:val="20"/>
              </w:rPr>
              <w:t xml:space="preserve"> se nepovažuje za přípravu k opětovnému použití nebo recyklaci.</w:t>
            </w:r>
          </w:p>
          <w:p w14:paraId="78392109" w14:textId="77777777" w:rsidR="00E310E9" w:rsidRDefault="00E310E9" w:rsidP="00491D76">
            <w:pPr>
              <w:spacing w:after="0" w:line="240" w:lineRule="auto"/>
              <w:rPr>
                <w:rFonts w:asciiTheme="minorHAnsi" w:hAnsiTheme="minorHAnsi" w:cstheme="minorHAnsi"/>
                <w:bCs/>
                <w:sz w:val="20"/>
                <w:szCs w:val="20"/>
              </w:rPr>
            </w:pPr>
          </w:p>
        </w:tc>
        <w:tc>
          <w:tcPr>
            <w:tcW w:w="1114" w:type="pct"/>
            <w:shd w:val="clear" w:color="auto" w:fill="FFF2CC" w:themeFill="accent4" w:themeFillTint="33"/>
          </w:tcPr>
          <w:p w14:paraId="42B55AAB" w14:textId="77777777" w:rsidR="00E310E9" w:rsidRDefault="00E310E9" w:rsidP="00491D76">
            <w:pPr>
              <w:spacing w:after="0" w:line="240" w:lineRule="auto"/>
              <w:rPr>
                <w:rFonts w:asciiTheme="minorHAnsi" w:hAnsiTheme="minorHAnsi" w:cstheme="minorHAnsi"/>
                <w:sz w:val="20"/>
                <w:szCs w:val="20"/>
              </w:rPr>
            </w:pPr>
            <w:r>
              <w:rPr>
                <w:rFonts w:asciiTheme="minorHAnsi" w:hAnsiTheme="minorHAnsi" w:cstheme="minorHAnsi"/>
                <w:sz w:val="20"/>
                <w:szCs w:val="20"/>
              </w:rPr>
              <w:t>Nastavení podmínek podpory – viz kapitola 5.3.</w:t>
            </w:r>
          </w:p>
          <w:p w14:paraId="42642A76" w14:textId="77777777" w:rsidR="00E310E9" w:rsidRDefault="00E310E9" w:rsidP="00491D76">
            <w:pPr>
              <w:spacing w:after="0" w:line="240" w:lineRule="auto"/>
              <w:rPr>
                <w:rFonts w:asciiTheme="minorHAnsi" w:hAnsiTheme="minorHAnsi" w:cstheme="minorHAnsi"/>
                <w:sz w:val="20"/>
                <w:szCs w:val="20"/>
              </w:rPr>
            </w:pPr>
          </w:p>
          <w:p w14:paraId="17BDD0A1" w14:textId="77777777" w:rsidR="00E310E9" w:rsidRDefault="00E310E9" w:rsidP="00491D76">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Podrobné informace o vhodném postupu naleznete např. v Metodickém návodu Ministerstva životního prostředí: </w:t>
            </w:r>
            <w:hyperlink r:id="rId147" w:history="1">
              <w:r w:rsidRPr="00D81705">
                <w:rPr>
                  <w:rStyle w:val="Hypertextovodkaz"/>
                  <w:rFonts w:asciiTheme="minorHAnsi" w:hAnsiTheme="minorHAnsi" w:cstheme="minorHAnsi"/>
                  <w:sz w:val="20"/>
                  <w:szCs w:val="20"/>
                </w:rPr>
                <w:t xml:space="preserve"> https://mzp.gov.cz/system/files/2025-03/OODP-metodicky_navod_SDO-20180904.pdf</w:t>
              </w:r>
            </w:hyperlink>
          </w:p>
          <w:p w14:paraId="67F96935" w14:textId="77777777" w:rsidR="00E310E9" w:rsidRDefault="00E310E9" w:rsidP="00491D76">
            <w:pPr>
              <w:spacing w:after="0" w:line="240" w:lineRule="auto"/>
              <w:rPr>
                <w:rFonts w:asciiTheme="minorHAnsi" w:hAnsiTheme="minorHAnsi" w:cstheme="minorHAnsi"/>
                <w:sz w:val="20"/>
                <w:szCs w:val="20"/>
              </w:rPr>
            </w:pPr>
            <w:r>
              <w:rPr>
                <w:rFonts w:asciiTheme="minorHAnsi" w:hAnsiTheme="minorHAnsi" w:cstheme="minorHAnsi"/>
                <w:sz w:val="20"/>
                <w:szCs w:val="20"/>
              </w:rPr>
              <w:t>nebo v Protokolu EU o nakládání se stavebními a demoličními odpady:</w:t>
            </w:r>
          </w:p>
          <w:p w14:paraId="66460359" w14:textId="77777777" w:rsidR="00E310E9" w:rsidRDefault="00E310E9" w:rsidP="00491D76">
            <w:pPr>
              <w:spacing w:after="0" w:line="240" w:lineRule="auto"/>
              <w:rPr>
                <w:rFonts w:asciiTheme="minorHAnsi" w:hAnsiTheme="minorHAnsi" w:cstheme="minorHAnsi"/>
                <w:sz w:val="20"/>
                <w:szCs w:val="20"/>
              </w:rPr>
            </w:pPr>
            <w:hyperlink r:id="rId148" w:tooltip="https://www.mpo.cz/cz/stavebnictvi-a-suroviny/strategicke-dokumenty-pro-udrzitelne-stavebnictvi/protokol-eu-o-nakladani-se-stavebnimi-a-demolicnimi-odpady--241557/" w:history="1">
              <w:r>
                <w:rPr>
                  <w:rStyle w:val="Hypertextovodkaz"/>
                  <w:rFonts w:asciiTheme="minorHAnsi" w:hAnsiTheme="minorHAnsi" w:cstheme="minorHAnsi"/>
                  <w:sz w:val="20"/>
                  <w:szCs w:val="20"/>
                </w:rPr>
                <w:t>https://www.mpo.cz/cz/stavebnictvi-a-suroviny/strategicke-dokumenty-pro-udrzitelne-stavebnictvi/protokol-eu-o-nakladani-se-stavebnimi-a-demolicnimi-odpady--241557/</w:t>
              </w:r>
            </w:hyperlink>
          </w:p>
          <w:p w14:paraId="26FB5928" w14:textId="77777777" w:rsidR="00E310E9" w:rsidRDefault="00E310E9" w:rsidP="00491D76">
            <w:pPr>
              <w:spacing w:after="0" w:line="240" w:lineRule="auto"/>
              <w:rPr>
                <w:rFonts w:asciiTheme="minorHAnsi" w:hAnsiTheme="minorHAnsi" w:cstheme="minorHAnsi"/>
                <w:sz w:val="20"/>
                <w:szCs w:val="20"/>
              </w:rPr>
            </w:pPr>
            <w:r>
              <w:rPr>
                <w:rFonts w:asciiTheme="minorHAnsi" w:hAnsiTheme="minorHAnsi" w:cstheme="minorHAnsi"/>
                <w:sz w:val="20"/>
                <w:szCs w:val="20"/>
              </w:rPr>
              <w:t>případně v mezinárodních standardech ISO 20887.</w:t>
            </w:r>
          </w:p>
          <w:p w14:paraId="1398159F" w14:textId="77777777" w:rsidR="00E310E9" w:rsidRDefault="00E310E9" w:rsidP="00491D76">
            <w:pPr>
              <w:spacing w:after="0" w:line="240" w:lineRule="auto"/>
              <w:rPr>
                <w:rFonts w:asciiTheme="minorHAnsi" w:hAnsiTheme="minorHAnsi" w:cstheme="minorHAnsi"/>
                <w:sz w:val="20"/>
                <w:szCs w:val="20"/>
              </w:rPr>
            </w:pPr>
          </w:p>
          <w:p w14:paraId="4C82302E" w14:textId="77777777" w:rsidR="00E310E9" w:rsidRDefault="00E310E9" w:rsidP="00491D76">
            <w:pPr>
              <w:spacing w:after="0" w:line="240" w:lineRule="auto"/>
              <w:rPr>
                <w:rFonts w:asciiTheme="minorHAnsi" w:hAnsiTheme="minorHAnsi" w:cstheme="minorHAnsi"/>
                <w:sz w:val="20"/>
                <w:szCs w:val="20"/>
              </w:rPr>
            </w:pPr>
            <w:r>
              <w:rPr>
                <w:rFonts w:asciiTheme="minorHAnsi" w:hAnsiTheme="minorHAnsi" w:cstheme="minorHAnsi"/>
                <w:sz w:val="20"/>
                <w:szCs w:val="20"/>
              </w:rPr>
              <w:t>Základní přehled o druhotných surovinách a recyklovaných výrobcích naleznete na webu MPO a ČAS:</w:t>
            </w:r>
          </w:p>
          <w:p w14:paraId="397F3020" w14:textId="77777777" w:rsidR="00E310E9" w:rsidRDefault="00E310E9" w:rsidP="00491D76">
            <w:pPr>
              <w:spacing w:after="0" w:line="240" w:lineRule="auto"/>
              <w:rPr>
                <w:rFonts w:asciiTheme="minorHAnsi" w:hAnsiTheme="minorHAnsi" w:cstheme="minorHAnsi"/>
                <w:sz w:val="20"/>
                <w:szCs w:val="20"/>
              </w:rPr>
            </w:pPr>
            <w:hyperlink r:id="rId149" w:tooltip="http://www.recyklujmestavby.cz/" w:history="1">
              <w:r>
                <w:rPr>
                  <w:rStyle w:val="Hypertextovodkaz"/>
                  <w:rFonts w:asciiTheme="minorHAnsi" w:hAnsiTheme="minorHAnsi" w:cstheme="minorHAnsi"/>
                  <w:sz w:val="20"/>
                  <w:szCs w:val="20"/>
                </w:rPr>
                <w:t>http://www.recyklujmestavby.cz/</w:t>
              </w:r>
            </w:hyperlink>
            <w:r>
              <w:rPr>
                <w:rFonts w:asciiTheme="minorHAnsi" w:hAnsiTheme="minorHAnsi" w:cstheme="minorHAnsi"/>
                <w:sz w:val="20"/>
                <w:szCs w:val="20"/>
              </w:rPr>
              <w:t xml:space="preserve"> </w:t>
            </w:r>
          </w:p>
          <w:p w14:paraId="5F66062D" w14:textId="77777777" w:rsidR="00E310E9" w:rsidRDefault="00E310E9" w:rsidP="00491D76">
            <w:pPr>
              <w:spacing w:after="0" w:line="240" w:lineRule="auto"/>
              <w:rPr>
                <w:rFonts w:asciiTheme="minorHAnsi" w:hAnsiTheme="minorHAnsi" w:cstheme="minorHAnsi"/>
                <w:sz w:val="20"/>
                <w:szCs w:val="20"/>
              </w:rPr>
            </w:pPr>
          </w:p>
          <w:p w14:paraId="6807E248" w14:textId="77777777" w:rsidR="00E310E9" w:rsidRDefault="00E310E9" w:rsidP="00491D76">
            <w:pPr>
              <w:spacing w:after="0" w:line="240" w:lineRule="auto"/>
              <w:rPr>
                <w:rFonts w:asciiTheme="minorHAnsi" w:hAnsiTheme="minorHAnsi" w:cstheme="minorHAnsi"/>
                <w:sz w:val="20"/>
                <w:szCs w:val="20"/>
              </w:rPr>
            </w:pPr>
            <w:r>
              <w:rPr>
                <w:rFonts w:asciiTheme="minorHAnsi" w:hAnsiTheme="minorHAnsi" w:cstheme="minorHAnsi"/>
                <w:sz w:val="20"/>
                <w:szCs w:val="20"/>
              </w:rPr>
              <w:lastRenderedPageBreak/>
              <w:t xml:space="preserve">Jedná se o aplikaci indikátorů Level(s) pro adaptability 2.3 + </w:t>
            </w:r>
            <w:proofErr w:type="spellStart"/>
            <w:r>
              <w:rPr>
                <w:rFonts w:asciiTheme="minorHAnsi" w:hAnsiTheme="minorHAnsi" w:cstheme="minorHAnsi"/>
                <w:sz w:val="20"/>
                <w:szCs w:val="20"/>
              </w:rPr>
              <w:t>deconstruction</w:t>
            </w:r>
            <w:proofErr w:type="spellEnd"/>
            <w:r>
              <w:rPr>
                <w:rFonts w:asciiTheme="minorHAnsi" w:hAnsiTheme="minorHAnsi" w:cstheme="minorHAnsi"/>
                <w:sz w:val="20"/>
                <w:szCs w:val="20"/>
              </w:rPr>
              <w:t xml:space="preserve"> 2.4. Projekt může využít oficiální kalkulátor CAT a doložit hodnocení a připravenost projektu vůči těmto dvěma kritériím. Možno provést hodnocení základní (level1), které indikuje obecný soulad s očekávanými přístupy. Případně rozšířené a podrobné (level 2/3), zejm. u oblastí, kde je od administrátora zdrojů EU vyžadován vysoký standard.</w:t>
            </w:r>
          </w:p>
          <w:p w14:paraId="1180E09E" w14:textId="77777777" w:rsidR="00E310E9" w:rsidRDefault="00E310E9" w:rsidP="00491D76">
            <w:pPr>
              <w:spacing w:after="0" w:line="240" w:lineRule="auto"/>
              <w:rPr>
                <w:rFonts w:asciiTheme="minorHAnsi" w:hAnsiTheme="minorHAnsi" w:cstheme="minorHAnsi"/>
                <w:sz w:val="20"/>
                <w:szCs w:val="20"/>
              </w:rPr>
            </w:pPr>
          </w:p>
        </w:tc>
        <w:tc>
          <w:tcPr>
            <w:tcW w:w="1064" w:type="pct"/>
            <w:shd w:val="clear" w:color="auto" w:fill="FFF2CC" w:themeFill="accent4" w:themeFillTint="33"/>
          </w:tcPr>
          <w:p w14:paraId="1835B590" w14:textId="77777777" w:rsidR="00E310E9" w:rsidRDefault="00E310E9" w:rsidP="00491D76">
            <w:pPr>
              <w:spacing w:after="0" w:line="240" w:lineRule="auto"/>
              <w:rPr>
                <w:rFonts w:asciiTheme="minorHAnsi" w:hAnsiTheme="minorHAnsi" w:cstheme="minorHAnsi"/>
                <w:sz w:val="20"/>
                <w:szCs w:val="20"/>
              </w:rPr>
            </w:pPr>
            <w:r>
              <w:rPr>
                <w:rFonts w:asciiTheme="minorHAnsi" w:hAnsiTheme="minorHAnsi" w:cstheme="minorHAnsi"/>
                <w:sz w:val="20"/>
                <w:szCs w:val="20"/>
              </w:rPr>
              <w:lastRenderedPageBreak/>
              <w:t>Podmínka je zavedena do podmínek výzvy a pravidel pro žadatele, s tím, že její plnění lze dokládat následovně:</w:t>
            </w:r>
          </w:p>
          <w:p w14:paraId="5F831693" w14:textId="77777777" w:rsidR="00E310E9" w:rsidRDefault="00E310E9" w:rsidP="00491D76">
            <w:pPr>
              <w:pStyle w:val="Odstavecseseznamem"/>
              <w:numPr>
                <w:ilvl w:val="0"/>
                <w:numId w:val="31"/>
              </w:num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plnění této povinnosti u výstavby malých projektů, zejm. kde jsou příjemci domácnosti (dle stavebního zákona </w:t>
            </w:r>
            <w:r w:rsidRPr="00EF0537">
              <w:rPr>
                <w:rFonts w:asciiTheme="minorHAnsi" w:hAnsiTheme="minorHAnsi" w:cstheme="minorHAnsi"/>
                <w:sz w:val="20"/>
                <w:szCs w:val="20"/>
              </w:rPr>
              <w:t>283/2021</w:t>
            </w:r>
            <w:r>
              <w:rPr>
                <w:rFonts w:asciiTheme="minorHAnsi" w:hAnsiTheme="minorHAnsi" w:cstheme="minorHAnsi"/>
                <w:sz w:val="20"/>
                <w:szCs w:val="20"/>
              </w:rPr>
              <w:t>) je doloženo dokumentem Závěrečná zpráva odborného technického dozoru (formou čestného prohlášení).</w:t>
            </w:r>
          </w:p>
          <w:p w14:paraId="4305E742" w14:textId="77777777" w:rsidR="00E310E9" w:rsidRDefault="00E310E9" w:rsidP="00491D76">
            <w:pPr>
              <w:pStyle w:val="Odstavecseseznamem"/>
              <w:numPr>
                <w:ilvl w:val="0"/>
                <w:numId w:val="31"/>
              </w:num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plnění této povinnosti u odstraňování staveb a výstavby velkých projektů (dle stavebního zákona </w:t>
            </w:r>
            <w:r w:rsidRPr="00EF0537">
              <w:rPr>
                <w:rFonts w:asciiTheme="minorHAnsi" w:hAnsiTheme="minorHAnsi" w:cstheme="minorHAnsi"/>
                <w:sz w:val="20"/>
                <w:szCs w:val="20"/>
              </w:rPr>
              <w:t>283/2021</w:t>
            </w:r>
            <w:r>
              <w:rPr>
                <w:rFonts w:asciiTheme="minorHAnsi" w:hAnsiTheme="minorHAnsi" w:cstheme="minorHAnsi"/>
                <w:sz w:val="20"/>
                <w:szCs w:val="20"/>
              </w:rPr>
              <w:t xml:space="preserve">) je doloženo kopií smlouvy o zajištění předání produkovaných stavebních a demoličních odpadů do zařízení určeného pro nakládání s daným druhem a kategorií odpadu dle § 15 odst. 2 písm. c) zákona č. </w:t>
            </w:r>
            <w:r>
              <w:rPr>
                <w:rFonts w:asciiTheme="minorHAnsi" w:hAnsiTheme="minorHAnsi" w:cstheme="minorHAnsi"/>
                <w:sz w:val="20"/>
                <w:szCs w:val="20"/>
              </w:rPr>
              <w:lastRenderedPageBreak/>
              <w:t>541/2020 Sb., o odpadech; a dokladem o převzetí odpadů od provozovatele způsobilých zařízení</w:t>
            </w:r>
            <w:r>
              <w:rPr>
                <w:rStyle w:val="Znakapoznpodarou"/>
                <w:rFonts w:asciiTheme="minorHAnsi" w:hAnsiTheme="minorHAnsi" w:cstheme="minorHAnsi"/>
                <w:sz w:val="20"/>
                <w:szCs w:val="20"/>
              </w:rPr>
              <w:footnoteReference w:id="193"/>
            </w:r>
            <w:r>
              <w:rPr>
                <w:rFonts w:asciiTheme="minorHAnsi" w:hAnsiTheme="minorHAnsi" w:cstheme="minorHAnsi"/>
                <w:sz w:val="20"/>
                <w:szCs w:val="20"/>
              </w:rPr>
              <w:t xml:space="preserve"> dle § 17 odst. 1 písm. c) zákona č. 541/2020 Sb., o odpadech.</w:t>
            </w:r>
            <w:r>
              <w:rPr>
                <w:rStyle w:val="Znakapoznpodarou"/>
                <w:rFonts w:asciiTheme="minorHAnsi" w:hAnsiTheme="minorHAnsi" w:cstheme="minorHAnsi"/>
                <w:sz w:val="20"/>
                <w:szCs w:val="20"/>
              </w:rPr>
              <w:footnoteReference w:id="194"/>
            </w:r>
          </w:p>
          <w:p w14:paraId="5485B15B" w14:textId="77777777" w:rsidR="00E310E9" w:rsidRPr="004C24A5" w:rsidRDefault="00E310E9" w:rsidP="00491D76">
            <w:pPr>
              <w:pStyle w:val="Odstavecseseznamem"/>
              <w:numPr>
                <w:ilvl w:val="0"/>
                <w:numId w:val="31"/>
              </w:numPr>
              <w:spacing w:after="0" w:line="240" w:lineRule="auto"/>
              <w:rPr>
                <w:rFonts w:asciiTheme="minorHAnsi" w:hAnsiTheme="minorHAnsi" w:cstheme="minorHAnsi"/>
                <w:sz w:val="20"/>
                <w:szCs w:val="20"/>
              </w:rPr>
            </w:pPr>
            <w:r>
              <w:rPr>
                <w:rFonts w:asciiTheme="minorHAnsi" w:hAnsiTheme="minorHAnsi" w:cstheme="minorHAnsi"/>
                <w:sz w:val="20"/>
                <w:szCs w:val="20"/>
              </w:rPr>
              <w:t>O</w:t>
            </w:r>
            <w:r w:rsidRPr="004C24A5">
              <w:rPr>
                <w:rFonts w:asciiTheme="minorHAnsi" w:hAnsiTheme="minorHAnsi" w:cstheme="minorHAnsi"/>
                <w:sz w:val="20"/>
                <w:szCs w:val="20"/>
              </w:rPr>
              <w:t xml:space="preserve">dhad celkového množství vyprodukovaného odpadu </w:t>
            </w:r>
            <w:r>
              <w:rPr>
                <w:rFonts w:asciiTheme="minorHAnsi" w:hAnsiTheme="minorHAnsi" w:cstheme="minorHAnsi"/>
                <w:sz w:val="20"/>
                <w:szCs w:val="20"/>
              </w:rPr>
              <w:t>lze doložit</w:t>
            </w:r>
            <w:r w:rsidRPr="004C24A5">
              <w:rPr>
                <w:rFonts w:asciiTheme="minorHAnsi" w:hAnsiTheme="minorHAnsi" w:cstheme="minorHAnsi"/>
                <w:sz w:val="20"/>
                <w:szCs w:val="20"/>
              </w:rPr>
              <w:t>:</w:t>
            </w:r>
          </w:p>
          <w:p w14:paraId="27F1DCDB" w14:textId="77777777" w:rsidR="00E310E9" w:rsidRPr="004C24A5" w:rsidRDefault="00E310E9" w:rsidP="00491D76">
            <w:pPr>
              <w:pStyle w:val="Odstavecseseznamem"/>
              <w:numPr>
                <w:ilvl w:val="0"/>
                <w:numId w:val="31"/>
              </w:numPr>
              <w:spacing w:after="0" w:line="240" w:lineRule="auto"/>
              <w:rPr>
                <w:rFonts w:asciiTheme="minorHAnsi" w:hAnsiTheme="minorHAnsi" w:cstheme="minorHAnsi"/>
                <w:sz w:val="20"/>
                <w:szCs w:val="20"/>
              </w:rPr>
            </w:pPr>
            <w:r w:rsidRPr="004C24A5">
              <w:rPr>
                <w:rFonts w:asciiTheme="minorHAnsi" w:hAnsiTheme="minorHAnsi" w:cstheme="minorHAnsi"/>
                <w:sz w:val="20"/>
                <w:szCs w:val="20"/>
              </w:rPr>
              <w:t>i) potvrzení o celkovém množství odpadu přivezeného do různých zařízení pro nakládání s odpady (v kg) (tj. recyklace, skládkování atd.);</w:t>
            </w:r>
          </w:p>
          <w:p w14:paraId="04B28D83" w14:textId="77777777" w:rsidR="00E310E9" w:rsidRPr="004C24A5" w:rsidRDefault="00E310E9" w:rsidP="00491D76">
            <w:pPr>
              <w:pStyle w:val="Odstavecseseznamem"/>
              <w:numPr>
                <w:ilvl w:val="0"/>
                <w:numId w:val="31"/>
              </w:numPr>
              <w:spacing w:after="0" w:line="240" w:lineRule="auto"/>
              <w:rPr>
                <w:rFonts w:asciiTheme="minorHAnsi" w:hAnsiTheme="minorHAnsi" w:cstheme="minorHAnsi"/>
                <w:sz w:val="20"/>
                <w:szCs w:val="20"/>
              </w:rPr>
            </w:pPr>
            <w:proofErr w:type="spellStart"/>
            <w:r w:rsidRPr="004C24A5">
              <w:rPr>
                <w:rFonts w:asciiTheme="minorHAnsi" w:hAnsiTheme="minorHAnsi" w:cstheme="minorHAnsi"/>
                <w:sz w:val="20"/>
                <w:szCs w:val="20"/>
              </w:rPr>
              <w:t>ii</w:t>
            </w:r>
            <w:proofErr w:type="spellEnd"/>
            <w:r w:rsidRPr="004C24A5">
              <w:rPr>
                <w:rFonts w:asciiTheme="minorHAnsi" w:hAnsiTheme="minorHAnsi" w:cstheme="minorHAnsi"/>
                <w:sz w:val="20"/>
                <w:szCs w:val="20"/>
              </w:rPr>
              <w:t>) potvrzení o zaplacení kontejnerů (s uvedením jejich objemu v m3) použitých na staveništi;</w:t>
            </w:r>
          </w:p>
          <w:p w14:paraId="50EB86CC" w14:textId="77777777" w:rsidR="00E310E9" w:rsidRPr="004C24A5" w:rsidRDefault="00E310E9" w:rsidP="00491D76">
            <w:pPr>
              <w:pStyle w:val="Odstavecseseznamem"/>
              <w:numPr>
                <w:ilvl w:val="0"/>
                <w:numId w:val="31"/>
              </w:numPr>
              <w:spacing w:after="0" w:line="240" w:lineRule="auto"/>
              <w:rPr>
                <w:rFonts w:asciiTheme="minorHAnsi" w:hAnsiTheme="minorHAnsi" w:cstheme="minorHAnsi"/>
                <w:sz w:val="20"/>
                <w:szCs w:val="20"/>
              </w:rPr>
            </w:pPr>
            <w:proofErr w:type="spellStart"/>
            <w:r w:rsidRPr="004C24A5">
              <w:rPr>
                <w:rFonts w:asciiTheme="minorHAnsi" w:hAnsiTheme="minorHAnsi" w:cstheme="minorHAnsi"/>
                <w:sz w:val="20"/>
                <w:szCs w:val="20"/>
              </w:rPr>
              <w:t>iii</w:t>
            </w:r>
            <w:proofErr w:type="spellEnd"/>
            <w:r w:rsidRPr="004C24A5">
              <w:rPr>
                <w:rFonts w:asciiTheme="minorHAnsi" w:hAnsiTheme="minorHAnsi" w:cstheme="minorHAnsi"/>
                <w:sz w:val="20"/>
                <w:szCs w:val="20"/>
              </w:rPr>
              <w:t>) odhad celkového množství vyprodukovaného odpadu na základě auditu před demolicí.</w:t>
            </w:r>
          </w:p>
          <w:p w14:paraId="769F2064" w14:textId="77777777" w:rsidR="00E310E9" w:rsidRDefault="00E310E9" w:rsidP="00491D76">
            <w:pPr>
              <w:spacing w:after="0" w:line="240" w:lineRule="auto"/>
              <w:rPr>
                <w:rFonts w:asciiTheme="minorHAnsi" w:hAnsiTheme="minorHAnsi" w:cstheme="minorHAnsi"/>
                <w:sz w:val="20"/>
                <w:szCs w:val="20"/>
              </w:rPr>
            </w:pPr>
          </w:p>
          <w:p w14:paraId="51AA85D4" w14:textId="77777777" w:rsidR="00E310E9" w:rsidRDefault="00E310E9" w:rsidP="00491D76">
            <w:pPr>
              <w:spacing w:after="0" w:line="240" w:lineRule="auto"/>
              <w:rPr>
                <w:rFonts w:asciiTheme="minorHAnsi" w:hAnsiTheme="minorHAnsi" w:cstheme="minorHAnsi"/>
                <w:sz w:val="20"/>
                <w:szCs w:val="20"/>
              </w:rPr>
            </w:pPr>
          </w:p>
        </w:tc>
        <w:tc>
          <w:tcPr>
            <w:tcW w:w="1102" w:type="pct"/>
            <w:shd w:val="clear" w:color="auto" w:fill="FFF2CC" w:themeFill="accent4" w:themeFillTint="33"/>
          </w:tcPr>
          <w:p w14:paraId="15DCE644" w14:textId="77777777" w:rsidR="00E310E9" w:rsidRDefault="00E310E9" w:rsidP="00491D76">
            <w:pPr>
              <w:spacing w:after="0" w:line="240" w:lineRule="auto"/>
              <w:rPr>
                <w:rFonts w:asciiTheme="minorHAnsi" w:hAnsiTheme="minorHAnsi" w:cstheme="minorHAnsi"/>
                <w:sz w:val="20"/>
                <w:szCs w:val="20"/>
              </w:rPr>
            </w:pPr>
            <w:r>
              <w:rPr>
                <w:rFonts w:asciiTheme="minorHAnsi" w:hAnsiTheme="minorHAnsi" w:cstheme="minorHAnsi"/>
                <w:sz w:val="20"/>
                <w:szCs w:val="20"/>
              </w:rPr>
              <w:lastRenderedPageBreak/>
              <w:t>Nejméně 70 % (hmotnostních) stavebního a demoličního odpadu neklasifikovaného jako nebezpečný (s výjimkou v přírodě se vyskytujících materiálů uvedených v kategorii 17 05 04 v Evropském seznamu odpadů stanoveném rozhodnutím 2000/532/ES) vzniklého na staveništi je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w:t>
            </w:r>
            <w:r>
              <w:rPr>
                <w:rFonts w:asciiTheme="minorHAnsi" w:hAnsiTheme="minorHAnsi" w:cstheme="minorHAnsi"/>
                <w:sz w:val="20"/>
                <w:szCs w:val="20"/>
                <w:vertAlign w:val="superscript"/>
              </w:rPr>
              <w:footnoteReference w:id="195"/>
            </w:r>
            <w:r>
              <w:rPr>
                <w:rFonts w:asciiTheme="minorHAnsi" w:hAnsiTheme="minorHAnsi" w:cstheme="minorHAnsi"/>
                <w:sz w:val="20"/>
                <w:szCs w:val="20"/>
              </w:rPr>
              <w:t xml:space="preserve">. </w:t>
            </w:r>
          </w:p>
          <w:p w14:paraId="567A86C8" w14:textId="77777777" w:rsidR="00E310E9" w:rsidRDefault="00E310E9" w:rsidP="00491D76">
            <w:pPr>
              <w:spacing w:after="0" w:line="240" w:lineRule="auto"/>
              <w:rPr>
                <w:rFonts w:asciiTheme="minorHAnsi" w:hAnsiTheme="minorHAnsi" w:cstheme="minorHAnsi"/>
                <w:sz w:val="20"/>
                <w:szCs w:val="20"/>
              </w:rPr>
            </w:pPr>
          </w:p>
          <w:p w14:paraId="35919CD2" w14:textId="77777777" w:rsidR="00E310E9" w:rsidRDefault="00E310E9" w:rsidP="00491D76">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Provozovatelé omezují produkci odpadu v procesech souvisejících s výstavbou a demolicemi v souladu s protokolem EU pro nakládání se stavebním a demoličním odpadem s přihlédnutím k nejlepším dostupným technikám a pomocí selektivní demolice, aby bylo možné odstranit </w:t>
            </w:r>
            <w:r>
              <w:rPr>
                <w:rFonts w:asciiTheme="minorHAnsi" w:hAnsiTheme="minorHAnsi" w:cstheme="minorHAnsi"/>
                <w:sz w:val="20"/>
                <w:szCs w:val="20"/>
              </w:rPr>
              <w:lastRenderedPageBreak/>
              <w:t>nebezpečné látky a bezpečně s nimi nakládat, a usnadňují opětovné použití a kvalitní recyklaci selektivním odstraněním materiálů s využitím dostupných třídicích systémů pro stavební a demoliční odpad.</w:t>
            </w:r>
          </w:p>
          <w:p w14:paraId="2E39E8ED" w14:textId="77777777" w:rsidR="00E310E9" w:rsidRDefault="00E310E9" w:rsidP="00491D76">
            <w:pPr>
              <w:spacing w:after="0" w:line="240" w:lineRule="auto"/>
              <w:rPr>
                <w:rFonts w:asciiTheme="minorHAnsi" w:hAnsiTheme="minorHAnsi" w:cstheme="minorHAnsi"/>
                <w:sz w:val="20"/>
                <w:szCs w:val="20"/>
              </w:rPr>
            </w:pPr>
          </w:p>
          <w:p w14:paraId="7EA98E41" w14:textId="77777777" w:rsidR="00E310E9" w:rsidRDefault="00E310E9" w:rsidP="00491D76">
            <w:pPr>
              <w:spacing w:after="0" w:line="240" w:lineRule="auto"/>
              <w:rPr>
                <w:rFonts w:asciiTheme="minorHAnsi" w:hAnsiTheme="minorHAnsi" w:cstheme="minorHAnsi"/>
                <w:b/>
                <w:i/>
                <w:sz w:val="20"/>
                <w:szCs w:val="20"/>
              </w:rPr>
            </w:pPr>
            <w:r>
              <w:rPr>
                <w:rFonts w:asciiTheme="minorHAnsi" w:hAnsiTheme="minorHAnsi" w:cstheme="minorHAnsi"/>
                <w:b/>
                <w:i/>
                <w:sz w:val="20"/>
                <w:szCs w:val="20"/>
              </w:rPr>
              <w:t>Podmínka se odchyluje od DNSH dle přílohy I a přílohy II nařízení EU 2021/2139 skrze nezapočítání zasypávání, nicméně v tomto smyslu jde nad rámec a podmínka dle taxonomie je naplněna.</w:t>
            </w:r>
          </w:p>
          <w:p w14:paraId="49C362BA" w14:textId="77777777" w:rsidR="00E310E9" w:rsidRDefault="00E310E9" w:rsidP="00491D76">
            <w:pPr>
              <w:spacing w:after="0" w:line="240" w:lineRule="auto"/>
              <w:rPr>
                <w:rFonts w:asciiTheme="minorHAnsi" w:hAnsiTheme="minorHAnsi" w:cstheme="minorHAnsi"/>
                <w:b/>
                <w:i/>
                <w:sz w:val="20"/>
                <w:szCs w:val="20"/>
              </w:rPr>
            </w:pPr>
          </w:p>
          <w:p w14:paraId="67AF5102" w14:textId="77777777" w:rsidR="00E310E9" w:rsidRDefault="00E310E9" w:rsidP="00491D76">
            <w:pPr>
              <w:spacing w:after="0" w:line="240" w:lineRule="auto"/>
              <w:rPr>
                <w:rFonts w:asciiTheme="minorHAnsi" w:hAnsiTheme="minorHAnsi" w:cstheme="minorHAnsi"/>
                <w:b/>
                <w:i/>
                <w:sz w:val="20"/>
                <w:szCs w:val="20"/>
              </w:rPr>
            </w:pPr>
            <w:r>
              <w:rPr>
                <w:rFonts w:asciiTheme="minorHAnsi" w:hAnsiTheme="minorHAnsi" w:cstheme="minorHAnsi"/>
                <w:b/>
                <w:i/>
                <w:sz w:val="20"/>
                <w:szCs w:val="20"/>
              </w:rPr>
              <w:t>Doporučuje se však upozornit na soulad taktéž s protokolem EU pro nakládání se stavebním a demoličním odpadem.</w:t>
            </w:r>
          </w:p>
          <w:p w14:paraId="4BC3B8F4" w14:textId="77777777" w:rsidR="00E310E9" w:rsidRDefault="00E310E9" w:rsidP="00491D76">
            <w:pPr>
              <w:spacing w:after="0" w:line="240" w:lineRule="auto"/>
              <w:rPr>
                <w:rFonts w:asciiTheme="minorHAnsi" w:hAnsiTheme="minorHAnsi" w:cstheme="minorHAnsi"/>
                <w:b/>
                <w:i/>
                <w:sz w:val="20"/>
                <w:szCs w:val="20"/>
              </w:rPr>
            </w:pPr>
          </w:p>
          <w:p w14:paraId="2E9B52D1" w14:textId="77777777" w:rsidR="00E310E9" w:rsidRDefault="00E310E9" w:rsidP="00491D76">
            <w:pPr>
              <w:spacing w:after="0" w:line="240" w:lineRule="auto"/>
              <w:rPr>
                <w:rFonts w:asciiTheme="minorHAnsi" w:hAnsiTheme="minorHAnsi" w:cstheme="minorHAnsi"/>
                <w:sz w:val="20"/>
                <w:szCs w:val="20"/>
              </w:rPr>
            </w:pPr>
          </w:p>
          <w:p w14:paraId="17C4DE2A" w14:textId="77777777" w:rsidR="00E310E9" w:rsidRPr="00A60949" w:rsidRDefault="00E310E9" w:rsidP="00491D76">
            <w:pPr>
              <w:spacing w:after="0" w:line="240" w:lineRule="auto"/>
              <w:rPr>
                <w:rFonts w:asciiTheme="minorHAnsi" w:hAnsiTheme="minorHAnsi" w:cstheme="minorHAnsi"/>
                <w:b/>
                <w:bCs/>
                <w:i/>
                <w:iCs/>
                <w:sz w:val="20"/>
                <w:szCs w:val="20"/>
              </w:rPr>
            </w:pPr>
            <w:r w:rsidRPr="00A60949">
              <w:rPr>
                <w:rFonts w:asciiTheme="minorHAnsi" w:hAnsiTheme="minorHAnsi" w:cstheme="minorHAnsi"/>
                <w:b/>
                <w:bCs/>
                <w:i/>
                <w:iCs/>
                <w:sz w:val="20"/>
                <w:szCs w:val="20"/>
              </w:rPr>
              <w:t xml:space="preserve">Podmínky zásadního přispění cíli oběhového hospodářství dle </w:t>
            </w:r>
            <w:r>
              <w:rPr>
                <w:rFonts w:asciiTheme="minorHAnsi" w:hAnsiTheme="minorHAnsi" w:cstheme="minorHAnsi"/>
                <w:b/>
                <w:bCs/>
                <w:i/>
                <w:iCs/>
                <w:sz w:val="20"/>
                <w:szCs w:val="20"/>
              </w:rPr>
              <w:t xml:space="preserve">přílohy II </w:t>
            </w:r>
            <w:r w:rsidRPr="00A60949">
              <w:rPr>
                <w:rFonts w:asciiTheme="minorHAnsi" w:hAnsiTheme="minorHAnsi" w:cstheme="minorHAnsi"/>
                <w:b/>
                <w:bCs/>
                <w:i/>
                <w:iCs/>
                <w:sz w:val="20"/>
                <w:szCs w:val="20"/>
              </w:rPr>
              <w:t>nařízení EU 2023/2486 nejsou splněny.</w:t>
            </w:r>
          </w:p>
        </w:tc>
      </w:tr>
      <w:tr w:rsidR="00E310E9" w14:paraId="485F9C73" w14:textId="77777777" w:rsidTr="00491D76">
        <w:tc>
          <w:tcPr>
            <w:tcW w:w="570" w:type="pct"/>
            <w:vMerge/>
            <w:shd w:val="clear" w:color="auto" w:fill="FFF2CC" w:themeFill="accent4" w:themeFillTint="33"/>
          </w:tcPr>
          <w:p w14:paraId="6982EC34" w14:textId="77777777" w:rsidR="00E310E9" w:rsidRDefault="00E310E9" w:rsidP="00491D76">
            <w:pPr>
              <w:spacing w:after="0" w:line="240" w:lineRule="auto"/>
              <w:rPr>
                <w:rFonts w:asciiTheme="minorHAnsi" w:hAnsiTheme="minorHAnsi" w:cstheme="minorHAnsi"/>
                <w:b/>
                <w:sz w:val="20"/>
                <w:szCs w:val="20"/>
              </w:rPr>
            </w:pPr>
          </w:p>
        </w:tc>
        <w:tc>
          <w:tcPr>
            <w:tcW w:w="1150" w:type="pct"/>
            <w:shd w:val="clear" w:color="auto" w:fill="FFF2CC" w:themeFill="accent4" w:themeFillTint="33"/>
          </w:tcPr>
          <w:p w14:paraId="5EAC78B5" w14:textId="77777777" w:rsidR="00E310E9" w:rsidRDefault="00E310E9" w:rsidP="00491D76">
            <w:pPr>
              <w:spacing w:after="0" w:line="240" w:lineRule="auto"/>
              <w:rPr>
                <w:rFonts w:asciiTheme="minorHAnsi" w:hAnsiTheme="minorHAnsi" w:cstheme="minorHAnsi"/>
                <w:sz w:val="20"/>
                <w:szCs w:val="20"/>
              </w:rPr>
            </w:pPr>
            <w:r>
              <w:rPr>
                <w:rFonts w:asciiTheme="minorHAnsi" w:hAnsiTheme="minorHAnsi" w:cstheme="minorHAnsi"/>
                <w:sz w:val="20"/>
                <w:szCs w:val="20"/>
              </w:rPr>
              <w:t>Nastavení podmínek podpory bude motivovat k používání environmentálně šetrných výrobků a přednostnímu používání výrobků vyrobených z recyklovaných materiálů.</w:t>
            </w:r>
          </w:p>
          <w:p w14:paraId="199F8E39" w14:textId="77777777" w:rsidR="00E310E9" w:rsidRDefault="00E310E9" w:rsidP="00491D76">
            <w:pPr>
              <w:spacing w:after="0" w:line="240" w:lineRule="auto"/>
              <w:rPr>
                <w:rFonts w:asciiTheme="minorHAnsi" w:hAnsiTheme="minorHAnsi" w:cstheme="minorHAnsi"/>
                <w:sz w:val="20"/>
                <w:szCs w:val="20"/>
              </w:rPr>
            </w:pPr>
          </w:p>
          <w:p w14:paraId="191FEBB7" w14:textId="77777777" w:rsidR="00E310E9" w:rsidRDefault="00E310E9" w:rsidP="00491D76">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Projekty podpoří oběhové hospodářství s cílem umožnit opětovné použití materiálů a recyklaci odpadů ve </w:t>
            </w:r>
            <w:r>
              <w:rPr>
                <w:rFonts w:asciiTheme="minorHAnsi" w:hAnsiTheme="minorHAnsi" w:cstheme="minorHAnsi"/>
                <w:sz w:val="20"/>
                <w:szCs w:val="20"/>
              </w:rPr>
              <w:lastRenderedPageBreak/>
              <w:t xml:space="preserve">stavebnictví (posuzování environmentální kvality budov) – tímto je naplněn požadavek pro posuzování environmentální kvality budov – </w:t>
            </w:r>
            <w:proofErr w:type="spellStart"/>
            <w:r>
              <w:rPr>
                <w:rFonts w:asciiTheme="minorHAnsi" w:hAnsiTheme="minorHAnsi" w:cstheme="minorHAnsi"/>
                <w:sz w:val="20"/>
                <w:szCs w:val="20"/>
              </w:rPr>
              <w:t>demontovatelnosti</w:t>
            </w:r>
            <w:proofErr w:type="spellEnd"/>
            <w:r>
              <w:rPr>
                <w:rFonts w:asciiTheme="minorHAnsi" w:hAnsiTheme="minorHAnsi" w:cstheme="minorHAnsi"/>
                <w:sz w:val="20"/>
                <w:szCs w:val="20"/>
              </w:rPr>
              <w:t xml:space="preserve">, nebo přizpůsobivosti budov pro vyšší efektivitu, adaptabilitu, flexibilitu a </w:t>
            </w:r>
            <w:proofErr w:type="spellStart"/>
            <w:r>
              <w:rPr>
                <w:rFonts w:asciiTheme="minorHAnsi" w:hAnsiTheme="minorHAnsi" w:cstheme="minorHAnsi"/>
                <w:sz w:val="20"/>
                <w:szCs w:val="20"/>
              </w:rPr>
              <w:t>demontovatelnost</w:t>
            </w:r>
            <w:proofErr w:type="spellEnd"/>
            <w:r>
              <w:rPr>
                <w:rFonts w:asciiTheme="minorHAnsi" w:hAnsiTheme="minorHAnsi" w:cstheme="minorHAnsi"/>
                <w:sz w:val="20"/>
                <w:szCs w:val="20"/>
              </w:rPr>
              <w:t>, s cílem umožnit opětovné použití a recyklaci.</w:t>
            </w:r>
          </w:p>
          <w:p w14:paraId="78A27822" w14:textId="77777777" w:rsidR="00E310E9" w:rsidRDefault="00E310E9" w:rsidP="00491D76">
            <w:pPr>
              <w:spacing w:after="0" w:line="240" w:lineRule="auto"/>
              <w:rPr>
                <w:rFonts w:asciiTheme="minorHAnsi" w:hAnsiTheme="minorHAnsi" w:cstheme="minorHAnsi"/>
                <w:sz w:val="20"/>
                <w:szCs w:val="20"/>
              </w:rPr>
            </w:pPr>
          </w:p>
          <w:p w14:paraId="0BE7BA73" w14:textId="77777777" w:rsidR="00E310E9" w:rsidRDefault="00E310E9" w:rsidP="00491D76">
            <w:pPr>
              <w:spacing w:after="0" w:line="240" w:lineRule="auto"/>
              <w:rPr>
                <w:rFonts w:asciiTheme="minorHAnsi" w:hAnsiTheme="minorHAnsi" w:cstheme="minorHAnsi"/>
                <w:bCs/>
                <w:sz w:val="20"/>
                <w:szCs w:val="20"/>
              </w:rPr>
            </w:pPr>
            <w:r>
              <w:rPr>
                <w:rFonts w:asciiTheme="minorHAnsi" w:hAnsiTheme="minorHAnsi" w:cstheme="minorHAnsi"/>
                <w:sz w:val="20"/>
                <w:szCs w:val="20"/>
              </w:rPr>
              <w:t>Budou podporována nová zařízení, která mají vysokou recyklovatelnost, jsou opravitelné a jsou navržena tak, aby měly dlouhou životnost.</w:t>
            </w:r>
          </w:p>
        </w:tc>
        <w:tc>
          <w:tcPr>
            <w:tcW w:w="1114" w:type="pct"/>
            <w:shd w:val="clear" w:color="auto" w:fill="FFF2CC" w:themeFill="accent4" w:themeFillTint="33"/>
          </w:tcPr>
          <w:p w14:paraId="53E87843" w14:textId="77777777" w:rsidR="00E310E9" w:rsidRDefault="00E310E9" w:rsidP="00491D76">
            <w:pPr>
              <w:spacing w:after="0" w:line="240" w:lineRule="auto"/>
              <w:rPr>
                <w:rFonts w:asciiTheme="minorHAnsi" w:hAnsiTheme="minorHAnsi" w:cstheme="minorHAnsi"/>
                <w:sz w:val="20"/>
                <w:szCs w:val="20"/>
              </w:rPr>
            </w:pPr>
            <w:r>
              <w:rPr>
                <w:rFonts w:asciiTheme="minorHAnsi" w:hAnsiTheme="minorHAnsi" w:cstheme="minorHAnsi"/>
                <w:sz w:val="20"/>
                <w:szCs w:val="20"/>
              </w:rPr>
              <w:lastRenderedPageBreak/>
              <w:t xml:space="preserve">Použití produktů šetrných k ŽP může být řešeno prostřednictvím seznamu doporučených výrobků a technologií. Použití výrobků neuvedených v tomto seznamu je řešeno ustanovením týkajícím se dokumentů prokazujících technické vlastnosti použitých výrobků (Dokumenty požadované k doložení realizace projektu). </w:t>
            </w:r>
          </w:p>
          <w:p w14:paraId="185A7BCF" w14:textId="77777777" w:rsidR="00E310E9" w:rsidRDefault="00E310E9" w:rsidP="00491D76">
            <w:pPr>
              <w:spacing w:after="0" w:line="240" w:lineRule="auto"/>
              <w:rPr>
                <w:rFonts w:asciiTheme="minorHAnsi" w:hAnsiTheme="minorHAnsi" w:cstheme="minorHAnsi"/>
                <w:sz w:val="20"/>
                <w:szCs w:val="20"/>
              </w:rPr>
            </w:pPr>
          </w:p>
          <w:p w14:paraId="624C6307" w14:textId="77777777" w:rsidR="00E310E9" w:rsidRDefault="00E310E9" w:rsidP="00491D76">
            <w:pPr>
              <w:spacing w:after="0" w:line="240" w:lineRule="auto"/>
              <w:rPr>
                <w:rFonts w:asciiTheme="minorHAnsi" w:hAnsiTheme="minorHAnsi" w:cstheme="minorHAnsi"/>
                <w:sz w:val="20"/>
                <w:szCs w:val="20"/>
              </w:rPr>
            </w:pPr>
            <w:r>
              <w:rPr>
                <w:rFonts w:asciiTheme="minorHAnsi" w:hAnsiTheme="minorHAnsi" w:cstheme="minorHAnsi"/>
                <w:sz w:val="20"/>
                <w:szCs w:val="20"/>
              </w:rPr>
              <w:t>Stimulace k používání takových výrobků je zajištěna bonusem za environmentálně šetrné řešení projektu.</w:t>
            </w:r>
          </w:p>
          <w:p w14:paraId="277FF18A" w14:textId="77777777" w:rsidR="00E310E9" w:rsidRDefault="00E310E9" w:rsidP="00491D76">
            <w:pPr>
              <w:spacing w:after="0" w:line="240" w:lineRule="auto"/>
              <w:rPr>
                <w:rFonts w:asciiTheme="minorHAnsi" w:hAnsiTheme="minorHAnsi" w:cstheme="minorHAnsi"/>
                <w:sz w:val="20"/>
                <w:szCs w:val="20"/>
              </w:rPr>
            </w:pPr>
          </w:p>
          <w:p w14:paraId="7262077B" w14:textId="77777777" w:rsidR="00E310E9" w:rsidRDefault="00E310E9" w:rsidP="00491D76">
            <w:pPr>
              <w:spacing w:after="0" w:line="240" w:lineRule="auto"/>
              <w:rPr>
                <w:rFonts w:asciiTheme="minorHAnsi" w:hAnsiTheme="minorHAnsi" w:cstheme="minorHAnsi"/>
                <w:sz w:val="20"/>
                <w:szCs w:val="20"/>
              </w:rPr>
            </w:pPr>
            <w:r>
              <w:rPr>
                <w:rFonts w:asciiTheme="minorHAnsi" w:hAnsiTheme="minorHAnsi" w:cstheme="minorHAnsi"/>
                <w:sz w:val="20"/>
                <w:szCs w:val="20"/>
              </w:rPr>
              <w:t>Podrobné informace o vhodných postupech a posouzení environmentální kvality budov naleznete např. v mezinárodních standardech ISO 20887. Základní přehled o druhotných surovinách a recyklovaných výrobcích naleznete na webu MPO a ČAS:</w:t>
            </w:r>
          </w:p>
          <w:p w14:paraId="35C5FD69" w14:textId="77777777" w:rsidR="00E310E9" w:rsidRDefault="00E310E9" w:rsidP="00491D76">
            <w:pPr>
              <w:spacing w:after="0" w:line="240" w:lineRule="auto"/>
              <w:rPr>
                <w:rFonts w:asciiTheme="minorHAnsi" w:hAnsiTheme="minorHAnsi" w:cstheme="minorHAnsi"/>
                <w:sz w:val="20"/>
                <w:szCs w:val="20"/>
              </w:rPr>
            </w:pPr>
            <w:hyperlink r:id="rId150" w:tooltip="http://www.recyklujmestavby.cz/" w:history="1">
              <w:r>
                <w:rPr>
                  <w:rStyle w:val="Hypertextovodkaz"/>
                  <w:rFonts w:asciiTheme="minorHAnsi" w:hAnsiTheme="minorHAnsi" w:cstheme="minorHAnsi"/>
                  <w:sz w:val="20"/>
                  <w:szCs w:val="20"/>
                </w:rPr>
                <w:t>http://www.recyklujmestavby.cz/</w:t>
              </w:r>
            </w:hyperlink>
            <w:r>
              <w:rPr>
                <w:rFonts w:asciiTheme="minorHAnsi" w:hAnsiTheme="minorHAnsi" w:cstheme="minorHAnsi"/>
                <w:sz w:val="20"/>
                <w:szCs w:val="20"/>
              </w:rPr>
              <w:t xml:space="preserve"> </w:t>
            </w:r>
          </w:p>
          <w:p w14:paraId="07976536" w14:textId="77777777" w:rsidR="00E310E9" w:rsidRDefault="00E310E9" w:rsidP="00491D76">
            <w:pPr>
              <w:spacing w:after="0" w:line="240" w:lineRule="auto"/>
              <w:rPr>
                <w:rFonts w:asciiTheme="minorHAnsi" w:hAnsiTheme="minorHAnsi" w:cstheme="minorHAnsi"/>
                <w:sz w:val="20"/>
                <w:szCs w:val="20"/>
              </w:rPr>
            </w:pPr>
          </w:p>
          <w:p w14:paraId="561287B5" w14:textId="77777777" w:rsidR="00E310E9" w:rsidRDefault="00E310E9" w:rsidP="00491D76">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Jedná se o aplikaci indikátorů Level(s) pro adaptability 2.3 + </w:t>
            </w:r>
            <w:proofErr w:type="spellStart"/>
            <w:r>
              <w:rPr>
                <w:rFonts w:asciiTheme="minorHAnsi" w:hAnsiTheme="minorHAnsi" w:cstheme="minorHAnsi"/>
                <w:sz w:val="20"/>
                <w:szCs w:val="20"/>
              </w:rPr>
              <w:t>deconstruction</w:t>
            </w:r>
            <w:proofErr w:type="spellEnd"/>
            <w:r>
              <w:rPr>
                <w:rFonts w:asciiTheme="minorHAnsi" w:hAnsiTheme="minorHAnsi" w:cstheme="minorHAnsi"/>
                <w:sz w:val="20"/>
                <w:szCs w:val="20"/>
              </w:rPr>
              <w:t xml:space="preserve"> 2.4. Projekt může využít oficiální kalkulátor CAT a doložit hodnocení a připravenost projektu vůči těmto dvěma kritériím. Možno provést hodnocení základní (level1), které indikuje obecný soulad s očekávanými přístupy. Případně rozšířené a podrobné (level 2/3), zejm. u oblastí, kde je od administrátora zdrojů EU vyžadován vysoký standard.</w:t>
            </w:r>
          </w:p>
          <w:p w14:paraId="1FED0259" w14:textId="77777777" w:rsidR="00E310E9" w:rsidRDefault="00E310E9" w:rsidP="00491D76">
            <w:pPr>
              <w:spacing w:after="0" w:line="240" w:lineRule="auto"/>
              <w:rPr>
                <w:rFonts w:asciiTheme="minorHAnsi" w:hAnsiTheme="minorHAnsi" w:cstheme="minorHAnsi"/>
                <w:sz w:val="20"/>
                <w:szCs w:val="20"/>
              </w:rPr>
            </w:pPr>
          </w:p>
          <w:p w14:paraId="627FD0C5" w14:textId="77777777" w:rsidR="00E310E9" w:rsidRDefault="00E310E9" w:rsidP="00491D76">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Popis způsobu nakládání s produktem, který maximalizuje jeho životnost, stejně jako popis způsobu nakládání s produktem po době životnosti, který maximalizuje jeho recyklovatelnost, bude součástí projektové dokumentace předkládané v rámci žádosti o podporu. Produkovaný odpad z vyřazených zařízení a starých otopných a technologických soustav bude primárně využíván prostřednictvím autorizovaných firem a stávající </w:t>
            </w:r>
            <w:r>
              <w:rPr>
                <w:rFonts w:asciiTheme="minorHAnsi" w:hAnsiTheme="minorHAnsi" w:cstheme="minorHAnsi"/>
                <w:sz w:val="20"/>
                <w:szCs w:val="20"/>
              </w:rPr>
              <w:lastRenderedPageBreak/>
              <w:t>infrastruktury (např. fotovoltaika má v ČR systém zpětného odběru).</w:t>
            </w:r>
          </w:p>
        </w:tc>
        <w:tc>
          <w:tcPr>
            <w:tcW w:w="1064" w:type="pct"/>
            <w:shd w:val="clear" w:color="auto" w:fill="FFF2CC" w:themeFill="accent4" w:themeFillTint="33"/>
          </w:tcPr>
          <w:p w14:paraId="5C78F77F" w14:textId="77777777" w:rsidR="00E310E9" w:rsidRDefault="00E310E9" w:rsidP="00491D76">
            <w:pPr>
              <w:spacing w:after="0" w:line="240" w:lineRule="auto"/>
              <w:rPr>
                <w:rFonts w:asciiTheme="minorHAnsi" w:hAnsiTheme="minorHAnsi" w:cstheme="minorHAnsi"/>
                <w:sz w:val="20"/>
                <w:szCs w:val="20"/>
              </w:rPr>
            </w:pPr>
            <w:r>
              <w:rPr>
                <w:rFonts w:asciiTheme="minorHAnsi" w:hAnsiTheme="minorHAnsi" w:cstheme="minorHAnsi"/>
                <w:sz w:val="20"/>
                <w:szCs w:val="20"/>
              </w:rPr>
              <w:lastRenderedPageBreak/>
              <w:t>Sledování tohoto ustanovení při kontrole žádosti o podporu s podmínkami v </w:t>
            </w:r>
            <w:proofErr w:type="spellStart"/>
            <w:r>
              <w:rPr>
                <w:rFonts w:asciiTheme="minorHAnsi" w:hAnsiTheme="minorHAnsi" w:cstheme="minorHAnsi"/>
                <w:sz w:val="20"/>
                <w:szCs w:val="20"/>
              </w:rPr>
              <w:t>PrŽaP</w:t>
            </w:r>
            <w:proofErr w:type="spellEnd"/>
            <w:r>
              <w:rPr>
                <w:rFonts w:asciiTheme="minorHAnsi" w:hAnsiTheme="minorHAnsi" w:cstheme="minorHAnsi"/>
                <w:sz w:val="20"/>
                <w:szCs w:val="20"/>
              </w:rPr>
              <w:t xml:space="preserve"> a dále v rámci kontrolní činnosti u realizovaných projektů.</w:t>
            </w:r>
          </w:p>
          <w:p w14:paraId="27BBAC7D" w14:textId="77777777" w:rsidR="00E310E9" w:rsidRDefault="00E310E9" w:rsidP="00491D76">
            <w:pPr>
              <w:spacing w:after="0" w:line="240" w:lineRule="auto"/>
              <w:rPr>
                <w:rFonts w:asciiTheme="minorHAnsi" w:hAnsiTheme="minorHAnsi" w:cstheme="minorHAnsi"/>
                <w:sz w:val="20"/>
                <w:szCs w:val="20"/>
              </w:rPr>
            </w:pPr>
          </w:p>
          <w:p w14:paraId="65D4F9B8" w14:textId="77777777" w:rsidR="00E310E9" w:rsidRDefault="00E310E9" w:rsidP="00491D76">
            <w:pPr>
              <w:spacing w:after="0" w:line="240" w:lineRule="auto"/>
              <w:rPr>
                <w:rFonts w:asciiTheme="minorHAnsi" w:hAnsiTheme="minorHAnsi" w:cstheme="minorHAnsi"/>
                <w:sz w:val="20"/>
                <w:szCs w:val="20"/>
              </w:rPr>
            </w:pPr>
          </w:p>
          <w:p w14:paraId="367CFE88" w14:textId="77777777" w:rsidR="00E310E9" w:rsidRDefault="00E310E9" w:rsidP="00491D76">
            <w:pPr>
              <w:spacing w:after="0" w:line="240" w:lineRule="auto"/>
              <w:rPr>
                <w:rFonts w:asciiTheme="minorHAnsi" w:hAnsiTheme="minorHAnsi" w:cstheme="minorHAnsi"/>
                <w:sz w:val="20"/>
                <w:szCs w:val="20"/>
              </w:rPr>
            </w:pPr>
          </w:p>
        </w:tc>
        <w:tc>
          <w:tcPr>
            <w:tcW w:w="1102" w:type="pct"/>
            <w:shd w:val="clear" w:color="auto" w:fill="FFF2CC" w:themeFill="accent4" w:themeFillTint="33"/>
          </w:tcPr>
          <w:p w14:paraId="743D7674" w14:textId="77777777" w:rsidR="00E310E9" w:rsidRDefault="00E310E9" w:rsidP="00491D76">
            <w:pPr>
              <w:spacing w:after="0" w:line="240" w:lineRule="auto"/>
              <w:rPr>
                <w:rFonts w:asciiTheme="minorHAnsi" w:hAnsiTheme="minorHAnsi" w:cstheme="minorHAnsi"/>
                <w:sz w:val="20"/>
                <w:szCs w:val="20"/>
              </w:rPr>
            </w:pPr>
            <w:r>
              <w:rPr>
                <w:rFonts w:asciiTheme="minorHAnsi" w:hAnsiTheme="minorHAnsi" w:cstheme="minorHAnsi"/>
                <w:sz w:val="20"/>
                <w:szCs w:val="20"/>
              </w:rPr>
              <w:t>Projekty budov a stavební metody podporují oběhové hospodářství a s odkazem na normu ISO 20887</w:t>
            </w:r>
            <w:r>
              <w:rPr>
                <w:rFonts w:asciiTheme="minorHAnsi" w:hAnsiTheme="minorHAnsi" w:cstheme="minorHAnsi"/>
                <w:sz w:val="20"/>
                <w:szCs w:val="20"/>
                <w:vertAlign w:val="superscript"/>
              </w:rPr>
              <w:footnoteReference w:id="196"/>
            </w:r>
            <w:r>
              <w:rPr>
                <w:rFonts w:asciiTheme="minorHAnsi" w:hAnsiTheme="minorHAnsi" w:cstheme="minorHAnsi"/>
                <w:sz w:val="20"/>
                <w:szCs w:val="20"/>
              </w:rPr>
              <w:t xml:space="preserve"> nebo jiné normy pro posuzování </w:t>
            </w:r>
            <w:proofErr w:type="spellStart"/>
            <w:r>
              <w:rPr>
                <w:rFonts w:asciiTheme="minorHAnsi" w:hAnsiTheme="minorHAnsi" w:cstheme="minorHAnsi"/>
                <w:sz w:val="20"/>
                <w:szCs w:val="20"/>
              </w:rPr>
              <w:t>demontovatelnosti</w:t>
            </w:r>
            <w:proofErr w:type="spellEnd"/>
            <w:r>
              <w:rPr>
                <w:rFonts w:asciiTheme="minorHAnsi" w:hAnsiTheme="minorHAnsi" w:cstheme="minorHAnsi"/>
                <w:sz w:val="20"/>
                <w:szCs w:val="20"/>
              </w:rPr>
              <w:t xml:space="preserve"> nebo přizpůsobivosti budov zejména prokazují, že jsou navrženy tak, aby byly efektivnější, adaptabilnější, flexibilnější </w:t>
            </w:r>
            <w:r>
              <w:rPr>
                <w:rFonts w:asciiTheme="minorHAnsi" w:hAnsiTheme="minorHAnsi" w:cstheme="minorHAnsi"/>
                <w:sz w:val="20"/>
                <w:szCs w:val="20"/>
              </w:rPr>
              <w:lastRenderedPageBreak/>
              <w:t xml:space="preserve">a </w:t>
            </w:r>
            <w:proofErr w:type="spellStart"/>
            <w:r>
              <w:rPr>
                <w:rFonts w:asciiTheme="minorHAnsi" w:hAnsiTheme="minorHAnsi" w:cstheme="minorHAnsi"/>
                <w:sz w:val="20"/>
                <w:szCs w:val="20"/>
              </w:rPr>
              <w:t>demontovatelnější</w:t>
            </w:r>
            <w:proofErr w:type="spellEnd"/>
            <w:r>
              <w:rPr>
                <w:rFonts w:asciiTheme="minorHAnsi" w:hAnsiTheme="minorHAnsi" w:cstheme="minorHAnsi"/>
                <w:sz w:val="20"/>
                <w:szCs w:val="20"/>
              </w:rPr>
              <w:t>, s cílem umožnit opětovné použití a recyklaci.</w:t>
            </w:r>
          </w:p>
          <w:p w14:paraId="74F6322E" w14:textId="77777777" w:rsidR="00E310E9" w:rsidRDefault="00E310E9" w:rsidP="00491D76">
            <w:pPr>
              <w:spacing w:after="0" w:line="240" w:lineRule="auto"/>
              <w:rPr>
                <w:rFonts w:asciiTheme="minorHAnsi" w:hAnsiTheme="minorHAnsi" w:cstheme="minorHAnsi"/>
                <w:sz w:val="20"/>
                <w:szCs w:val="20"/>
              </w:rPr>
            </w:pPr>
          </w:p>
          <w:p w14:paraId="23EFFA3C" w14:textId="77777777" w:rsidR="00E310E9" w:rsidRDefault="00E310E9" w:rsidP="00491D76">
            <w:pPr>
              <w:spacing w:after="0" w:line="240" w:lineRule="auto"/>
              <w:rPr>
                <w:rFonts w:asciiTheme="minorHAnsi" w:hAnsiTheme="minorHAnsi" w:cstheme="minorHAnsi"/>
                <w:sz w:val="20"/>
                <w:szCs w:val="20"/>
              </w:rPr>
            </w:pPr>
            <w:r>
              <w:rPr>
                <w:rFonts w:asciiTheme="minorHAnsi" w:hAnsiTheme="minorHAnsi" w:cstheme="minorHAnsi"/>
                <w:b/>
                <w:i/>
                <w:sz w:val="20"/>
                <w:szCs w:val="20"/>
              </w:rPr>
              <w:t>Podmínky jsou přímo podmínkami DNSH dle přílohy I a přílohy II nařízení EU 2021/2139 a jsou tímto ve fondech splněny za předpokladu jejich splnění na úrovni individuálního projektu</w:t>
            </w:r>
          </w:p>
        </w:tc>
      </w:tr>
      <w:tr w:rsidR="00E310E9" w14:paraId="5897D622" w14:textId="77777777" w:rsidTr="00491D76">
        <w:tc>
          <w:tcPr>
            <w:tcW w:w="570" w:type="pct"/>
            <w:vMerge w:val="restart"/>
            <w:shd w:val="clear" w:color="auto" w:fill="F7CAAC" w:themeFill="accent2" w:themeFillTint="66"/>
          </w:tcPr>
          <w:p w14:paraId="1701BAA7" w14:textId="77777777" w:rsidR="00E310E9" w:rsidRDefault="00E310E9" w:rsidP="00491D76">
            <w:pPr>
              <w:spacing w:after="0" w:line="240" w:lineRule="auto"/>
              <w:jc w:val="left"/>
              <w:rPr>
                <w:rFonts w:asciiTheme="minorHAnsi" w:hAnsiTheme="minorHAnsi" w:cstheme="minorHAnsi"/>
                <w:b/>
                <w:sz w:val="20"/>
                <w:szCs w:val="20"/>
              </w:rPr>
            </w:pPr>
            <w:r>
              <w:rPr>
                <w:rFonts w:asciiTheme="minorHAnsi" w:hAnsiTheme="minorHAnsi" w:cstheme="minorHAnsi"/>
                <w:b/>
                <w:sz w:val="20"/>
                <w:szCs w:val="20"/>
              </w:rPr>
              <w:lastRenderedPageBreak/>
              <w:t>Prevence a omezování znečištění ovzduší, vody nebo půdy</w:t>
            </w:r>
          </w:p>
        </w:tc>
        <w:tc>
          <w:tcPr>
            <w:tcW w:w="1150" w:type="pct"/>
            <w:shd w:val="clear" w:color="auto" w:fill="F7CAAC" w:themeFill="accent2" w:themeFillTint="66"/>
          </w:tcPr>
          <w:p w14:paraId="38624819" w14:textId="77777777" w:rsidR="00E310E9" w:rsidRDefault="00E310E9" w:rsidP="00491D76">
            <w:pPr>
              <w:keepNext/>
              <w:spacing w:after="0" w:line="240" w:lineRule="auto"/>
              <w:rPr>
                <w:rFonts w:asciiTheme="minorHAnsi" w:hAnsiTheme="minorHAnsi" w:cstheme="minorHAnsi"/>
                <w:color w:val="A6A6A6" w:themeColor="background1" w:themeShade="A6"/>
                <w:sz w:val="20"/>
                <w:szCs w:val="20"/>
              </w:rPr>
            </w:pPr>
            <w:r>
              <w:rPr>
                <w:rFonts w:asciiTheme="minorHAnsi" w:hAnsiTheme="minorHAnsi" w:cstheme="minorHAnsi"/>
                <w:color w:val="A6A6A6" w:themeColor="background1" w:themeShade="A6"/>
                <w:sz w:val="20"/>
                <w:szCs w:val="20"/>
              </w:rPr>
              <w:t>Činnost nevede k výrobě, uvádění na trh nebo používání:</w:t>
            </w:r>
          </w:p>
          <w:p w14:paraId="2D74C019" w14:textId="77777777" w:rsidR="00E310E9" w:rsidRDefault="00E310E9" w:rsidP="00491D76">
            <w:pPr>
              <w:spacing w:after="0" w:line="240" w:lineRule="auto"/>
              <w:rPr>
                <w:rFonts w:asciiTheme="minorHAnsi" w:hAnsiTheme="minorHAnsi" w:cstheme="minorHAnsi"/>
                <w:color w:val="A6A6A6" w:themeColor="background1" w:themeShade="A6"/>
                <w:sz w:val="20"/>
                <w:szCs w:val="20"/>
              </w:rPr>
            </w:pPr>
            <w:r>
              <w:rPr>
                <w:rFonts w:asciiTheme="minorHAnsi" w:hAnsiTheme="minorHAnsi" w:cstheme="minorHAnsi"/>
                <w:color w:val="A6A6A6" w:themeColor="background1" w:themeShade="A6"/>
                <w:sz w:val="20"/>
                <w:szCs w:val="20"/>
              </w:rPr>
              <w:t>a) látek uvedených v příloze I nebo II nařízení Evropského parlamentu a Rady (EU) 2019/1021</w:t>
            </w:r>
            <w:r>
              <w:rPr>
                <w:rFonts w:asciiTheme="minorHAnsi" w:hAnsiTheme="minorHAnsi" w:cstheme="minorHAnsi"/>
                <w:color w:val="A6A6A6" w:themeColor="background1" w:themeShade="A6"/>
                <w:sz w:val="20"/>
                <w:szCs w:val="20"/>
                <w:vertAlign w:val="superscript"/>
              </w:rPr>
              <w:footnoteReference w:id="197"/>
            </w:r>
            <w:r>
              <w:rPr>
                <w:rFonts w:asciiTheme="minorHAnsi" w:hAnsiTheme="minorHAnsi" w:cstheme="minorHAnsi"/>
                <w:color w:val="A6A6A6" w:themeColor="background1" w:themeShade="A6"/>
                <w:sz w:val="20"/>
                <w:szCs w:val="20"/>
              </w:rPr>
              <w:t>, a to jak samotných, tak ve formě směsí nebo předmětů, kromě případů, kdy jsou přítomny jako nezáměrné stopové kontaminující látky;</w:t>
            </w:r>
          </w:p>
          <w:p w14:paraId="72FA50D3" w14:textId="77777777" w:rsidR="00E310E9" w:rsidRDefault="00E310E9" w:rsidP="00491D76">
            <w:pPr>
              <w:spacing w:after="0" w:line="240" w:lineRule="auto"/>
              <w:rPr>
                <w:rFonts w:asciiTheme="minorHAnsi" w:hAnsiTheme="minorHAnsi" w:cstheme="minorHAnsi"/>
                <w:color w:val="A6A6A6" w:themeColor="background1" w:themeShade="A6"/>
                <w:sz w:val="20"/>
                <w:szCs w:val="20"/>
              </w:rPr>
            </w:pPr>
            <w:r>
              <w:rPr>
                <w:rFonts w:asciiTheme="minorHAnsi" w:hAnsiTheme="minorHAnsi" w:cstheme="minorHAnsi"/>
                <w:color w:val="A6A6A6" w:themeColor="background1" w:themeShade="A6"/>
                <w:sz w:val="20"/>
                <w:szCs w:val="20"/>
              </w:rPr>
              <w:t>b) rtuti a sloučeniny rtuti, jejich směsí a výrobků s přidanou rtutí ve smyslu článku 2 nařízení Evropského parlamentu a Rady (EU) 2017/852</w:t>
            </w:r>
            <w:r>
              <w:rPr>
                <w:rFonts w:asciiTheme="minorHAnsi" w:hAnsiTheme="minorHAnsi" w:cstheme="minorHAnsi"/>
                <w:color w:val="A6A6A6" w:themeColor="background1" w:themeShade="A6"/>
                <w:sz w:val="20"/>
                <w:szCs w:val="20"/>
                <w:vertAlign w:val="superscript"/>
              </w:rPr>
              <w:footnoteReference w:id="198"/>
            </w:r>
            <w:r>
              <w:rPr>
                <w:rFonts w:asciiTheme="minorHAnsi" w:hAnsiTheme="minorHAnsi" w:cstheme="minorHAnsi"/>
                <w:color w:val="A6A6A6" w:themeColor="background1" w:themeShade="A6"/>
                <w:sz w:val="20"/>
                <w:szCs w:val="20"/>
              </w:rPr>
              <w:t>;</w:t>
            </w:r>
          </w:p>
          <w:p w14:paraId="07FBB561" w14:textId="77777777" w:rsidR="00E310E9" w:rsidRDefault="00E310E9" w:rsidP="00491D76">
            <w:pPr>
              <w:spacing w:after="0" w:line="240" w:lineRule="auto"/>
              <w:rPr>
                <w:rFonts w:asciiTheme="minorHAnsi" w:hAnsiTheme="minorHAnsi" w:cstheme="minorHAnsi"/>
                <w:color w:val="A6A6A6" w:themeColor="background1" w:themeShade="A6"/>
                <w:sz w:val="20"/>
                <w:szCs w:val="20"/>
              </w:rPr>
            </w:pPr>
            <w:r>
              <w:rPr>
                <w:rFonts w:asciiTheme="minorHAnsi" w:hAnsiTheme="minorHAnsi" w:cstheme="minorHAnsi"/>
                <w:color w:val="A6A6A6" w:themeColor="background1" w:themeShade="A6"/>
                <w:sz w:val="20"/>
                <w:szCs w:val="20"/>
              </w:rPr>
              <w:t xml:space="preserve">c) látek uvedených v příloze I nebo II nařízení Evropského parlamentu a Rady </w:t>
            </w:r>
            <w:r w:rsidRPr="00400566">
              <w:rPr>
                <w:rFonts w:asciiTheme="minorHAnsi" w:hAnsiTheme="minorHAnsi" w:cstheme="minorHAnsi"/>
                <w:color w:val="A6A6A6" w:themeColor="background1" w:themeShade="A6"/>
                <w:sz w:val="20"/>
                <w:szCs w:val="20"/>
              </w:rPr>
              <w:t xml:space="preserve">(EU) 2024/590 </w:t>
            </w:r>
            <w:r>
              <w:rPr>
                <w:rFonts w:asciiTheme="minorHAnsi" w:hAnsiTheme="minorHAnsi" w:cstheme="minorHAnsi"/>
                <w:color w:val="A6A6A6" w:themeColor="background1" w:themeShade="A6"/>
                <w:sz w:val="20"/>
                <w:szCs w:val="20"/>
                <w:vertAlign w:val="superscript"/>
              </w:rPr>
              <w:footnoteReference w:id="199"/>
            </w:r>
            <w:r>
              <w:rPr>
                <w:rFonts w:asciiTheme="minorHAnsi" w:hAnsiTheme="minorHAnsi" w:cstheme="minorHAnsi"/>
                <w:color w:val="A6A6A6" w:themeColor="background1" w:themeShade="A6"/>
                <w:sz w:val="20"/>
                <w:szCs w:val="20"/>
              </w:rPr>
              <w:t>, a to jak samotných, tak ve formě směsí nebo předmětů;</w:t>
            </w:r>
          </w:p>
          <w:p w14:paraId="5E69EE21" w14:textId="77777777" w:rsidR="00E310E9" w:rsidRDefault="00E310E9" w:rsidP="00491D76">
            <w:pPr>
              <w:spacing w:after="0" w:line="240" w:lineRule="auto"/>
              <w:rPr>
                <w:rFonts w:asciiTheme="minorHAnsi" w:hAnsiTheme="minorHAnsi" w:cstheme="minorHAnsi"/>
                <w:color w:val="A6A6A6" w:themeColor="background1" w:themeShade="A6"/>
                <w:sz w:val="20"/>
                <w:szCs w:val="20"/>
              </w:rPr>
            </w:pPr>
            <w:r>
              <w:rPr>
                <w:rFonts w:asciiTheme="minorHAnsi" w:hAnsiTheme="minorHAnsi" w:cstheme="minorHAnsi"/>
                <w:color w:val="A6A6A6" w:themeColor="background1" w:themeShade="A6"/>
                <w:sz w:val="20"/>
                <w:szCs w:val="20"/>
              </w:rPr>
              <w:t>d) látek uvedených v příloze II směrnice Evropského parlamentu a Rady 2011/65/EU</w:t>
            </w:r>
            <w:r>
              <w:rPr>
                <w:rFonts w:asciiTheme="minorHAnsi" w:hAnsiTheme="minorHAnsi" w:cstheme="minorHAnsi"/>
                <w:color w:val="A6A6A6" w:themeColor="background1" w:themeShade="A6"/>
                <w:sz w:val="20"/>
                <w:szCs w:val="20"/>
                <w:vertAlign w:val="superscript"/>
              </w:rPr>
              <w:footnoteReference w:id="200"/>
            </w:r>
            <w:r>
              <w:rPr>
                <w:rFonts w:asciiTheme="minorHAnsi" w:hAnsiTheme="minorHAnsi" w:cstheme="minorHAnsi"/>
                <w:color w:val="A6A6A6" w:themeColor="background1" w:themeShade="A6"/>
                <w:sz w:val="20"/>
                <w:szCs w:val="20"/>
              </w:rPr>
              <w:t xml:space="preserve">, a to jak samotných, tak ve formě směsí nebo předmětů, kromě případů, které jsou plně v souladu s čl. 4 odst. 1 uvedené směrnice; </w:t>
            </w:r>
          </w:p>
          <w:p w14:paraId="20E1420E" w14:textId="77777777" w:rsidR="00E310E9" w:rsidRDefault="00E310E9" w:rsidP="00491D76">
            <w:pPr>
              <w:spacing w:after="0" w:line="240" w:lineRule="auto"/>
              <w:rPr>
                <w:rFonts w:asciiTheme="minorHAnsi" w:hAnsiTheme="minorHAnsi" w:cstheme="minorHAnsi"/>
                <w:color w:val="A6A6A6" w:themeColor="background1" w:themeShade="A6"/>
                <w:sz w:val="20"/>
                <w:szCs w:val="20"/>
              </w:rPr>
            </w:pPr>
            <w:r>
              <w:rPr>
                <w:rFonts w:asciiTheme="minorHAnsi" w:hAnsiTheme="minorHAnsi" w:cstheme="minorHAnsi"/>
                <w:color w:val="A6A6A6" w:themeColor="background1" w:themeShade="A6"/>
                <w:sz w:val="20"/>
                <w:szCs w:val="20"/>
              </w:rPr>
              <w:t xml:space="preserve">e) látek uvedených v příloze XVII nařízení Evropského parlamentu a Rady (ES) </w:t>
            </w:r>
            <w:r>
              <w:rPr>
                <w:rFonts w:asciiTheme="minorHAnsi" w:hAnsiTheme="minorHAnsi" w:cstheme="minorHAnsi"/>
                <w:color w:val="A6A6A6" w:themeColor="background1" w:themeShade="A6"/>
                <w:sz w:val="20"/>
                <w:szCs w:val="20"/>
              </w:rPr>
              <w:lastRenderedPageBreak/>
              <w:t>1907/2006</w:t>
            </w:r>
            <w:r>
              <w:rPr>
                <w:rFonts w:asciiTheme="minorHAnsi" w:hAnsiTheme="minorHAnsi" w:cstheme="minorHAnsi"/>
                <w:color w:val="A6A6A6" w:themeColor="background1" w:themeShade="A6"/>
                <w:sz w:val="20"/>
                <w:szCs w:val="20"/>
                <w:vertAlign w:val="superscript"/>
              </w:rPr>
              <w:footnoteReference w:id="201"/>
            </w:r>
            <w:r>
              <w:rPr>
                <w:rFonts w:asciiTheme="minorHAnsi" w:hAnsiTheme="minorHAnsi" w:cstheme="minorHAnsi"/>
                <w:color w:val="A6A6A6" w:themeColor="background1" w:themeShade="A6"/>
                <w:sz w:val="20"/>
                <w:szCs w:val="20"/>
              </w:rPr>
              <w:t>, a to jak samotných, tak ve formě směsí nebo předmětů, kromě případů, které jsou plně v souladu s podmínkami stanovenými v uvedené příloze;</w:t>
            </w:r>
          </w:p>
          <w:p w14:paraId="7CAFD34C" w14:textId="77777777" w:rsidR="00E310E9" w:rsidRDefault="00E310E9" w:rsidP="00491D76">
            <w:pPr>
              <w:spacing w:after="0" w:line="240" w:lineRule="auto"/>
              <w:rPr>
                <w:rFonts w:asciiTheme="minorHAnsi" w:hAnsiTheme="minorHAnsi" w:cstheme="minorHAnsi"/>
                <w:color w:val="A6A6A6" w:themeColor="background1" w:themeShade="A6"/>
                <w:sz w:val="20"/>
                <w:szCs w:val="20"/>
              </w:rPr>
            </w:pPr>
            <w:r>
              <w:rPr>
                <w:rFonts w:asciiTheme="minorHAnsi" w:hAnsiTheme="minorHAnsi" w:cstheme="minorHAnsi"/>
                <w:color w:val="A6A6A6" w:themeColor="background1" w:themeShade="A6"/>
                <w:sz w:val="20"/>
                <w:szCs w:val="20"/>
              </w:rPr>
              <w:t xml:space="preserve">f) látek, které splňují kritéria stanovená v článku 57 nařízení (ES) č. 1907/2006 a jsou identifikovány v souladu s čl. 59 odst. 1 uvedeného nařízení, a to jak samotných, tak ve formě směsí nebo předmětů, kromě případů, kdy bylo prokázáno, že jejich použití je pro společnost zásadní; </w:t>
            </w:r>
          </w:p>
          <w:p w14:paraId="0049FE01" w14:textId="77777777" w:rsidR="00E310E9" w:rsidRDefault="00E310E9" w:rsidP="00491D76">
            <w:pPr>
              <w:spacing w:after="0" w:line="240" w:lineRule="auto"/>
              <w:rPr>
                <w:rFonts w:asciiTheme="minorHAnsi" w:hAnsiTheme="minorHAnsi" w:cstheme="minorHAnsi"/>
                <w:color w:val="A6A6A6" w:themeColor="background1" w:themeShade="A6"/>
                <w:sz w:val="20"/>
                <w:szCs w:val="20"/>
              </w:rPr>
            </w:pPr>
            <w:r>
              <w:rPr>
                <w:rFonts w:asciiTheme="minorHAnsi" w:hAnsiTheme="minorHAnsi" w:cstheme="minorHAnsi"/>
                <w:color w:val="A6A6A6" w:themeColor="background1" w:themeShade="A6"/>
                <w:sz w:val="20"/>
                <w:szCs w:val="20"/>
              </w:rPr>
              <w:t>g) jiných látek, které splňují kritéria stanovená v článku 57 nařízení (ES) č. 1907/2006, a to jak samotných, tak ve formě směsí nebo předmětů, kromě případů, kdy bylo prokázáno, že jejich použití je pro společnost zásadní.</w:t>
            </w:r>
          </w:p>
          <w:p w14:paraId="31A2155A" w14:textId="77777777" w:rsidR="00E310E9" w:rsidRDefault="00E310E9" w:rsidP="00491D76">
            <w:pPr>
              <w:spacing w:after="0" w:line="240" w:lineRule="auto"/>
              <w:rPr>
                <w:rFonts w:asciiTheme="minorHAnsi" w:hAnsiTheme="minorHAnsi" w:cstheme="minorHAnsi"/>
                <w:color w:val="A6A6A6" w:themeColor="background1" w:themeShade="A6"/>
                <w:sz w:val="20"/>
                <w:szCs w:val="20"/>
              </w:rPr>
            </w:pPr>
          </w:p>
        </w:tc>
        <w:tc>
          <w:tcPr>
            <w:tcW w:w="1114" w:type="pct"/>
            <w:shd w:val="clear" w:color="auto" w:fill="F7CAAC" w:themeFill="accent2" w:themeFillTint="66"/>
          </w:tcPr>
          <w:p w14:paraId="3219DEE3" w14:textId="77777777" w:rsidR="00E310E9" w:rsidRDefault="00E310E9" w:rsidP="00491D76">
            <w:pPr>
              <w:spacing w:after="0" w:line="240" w:lineRule="auto"/>
              <w:rPr>
                <w:rFonts w:asciiTheme="minorHAnsi" w:hAnsiTheme="minorHAnsi" w:cstheme="minorHAnsi"/>
                <w:color w:val="A6A6A6" w:themeColor="background1" w:themeShade="A6"/>
                <w:sz w:val="20"/>
                <w:szCs w:val="20"/>
              </w:rPr>
            </w:pPr>
            <w:r>
              <w:rPr>
                <w:rFonts w:asciiTheme="minorHAnsi" w:hAnsiTheme="minorHAnsi" w:cstheme="minorHAnsi"/>
                <w:color w:val="A6A6A6" w:themeColor="background1" w:themeShade="A6"/>
                <w:sz w:val="20"/>
                <w:szCs w:val="20"/>
              </w:rPr>
              <w:lastRenderedPageBreak/>
              <w:t>Legislativní požadavek.</w:t>
            </w:r>
          </w:p>
          <w:p w14:paraId="25886D61" w14:textId="77777777" w:rsidR="00E310E9" w:rsidRDefault="00E310E9" w:rsidP="00491D76">
            <w:pPr>
              <w:spacing w:after="0" w:line="240" w:lineRule="auto"/>
              <w:rPr>
                <w:rFonts w:asciiTheme="minorHAnsi" w:hAnsiTheme="minorHAnsi" w:cstheme="minorHAnsi"/>
                <w:color w:val="A6A6A6" w:themeColor="background1" w:themeShade="A6"/>
                <w:sz w:val="20"/>
                <w:szCs w:val="20"/>
              </w:rPr>
            </w:pPr>
          </w:p>
          <w:p w14:paraId="7DD8DD94" w14:textId="77777777" w:rsidR="00E310E9" w:rsidRDefault="00E310E9" w:rsidP="00491D76">
            <w:pPr>
              <w:spacing w:after="0" w:line="240" w:lineRule="auto"/>
              <w:rPr>
                <w:rFonts w:asciiTheme="minorHAnsi" w:hAnsiTheme="minorHAnsi" w:cstheme="minorHAnsi"/>
                <w:color w:val="A6A6A6" w:themeColor="background1" w:themeShade="A6"/>
                <w:sz w:val="20"/>
                <w:szCs w:val="20"/>
              </w:rPr>
            </w:pPr>
            <w:r w:rsidRPr="00253280">
              <w:rPr>
                <w:rFonts w:asciiTheme="minorHAnsi" w:hAnsiTheme="minorHAnsi" w:cstheme="minorHAnsi"/>
                <w:sz w:val="20"/>
                <w:szCs w:val="20"/>
              </w:rPr>
              <w:t>Poučení žadatele ohledně tohoto legislativního požadavku.</w:t>
            </w:r>
          </w:p>
        </w:tc>
        <w:tc>
          <w:tcPr>
            <w:tcW w:w="1064" w:type="pct"/>
            <w:shd w:val="clear" w:color="auto" w:fill="F7CAAC" w:themeFill="accent2" w:themeFillTint="66"/>
          </w:tcPr>
          <w:p w14:paraId="03B97194" w14:textId="77777777" w:rsidR="00E310E9" w:rsidRDefault="00E310E9" w:rsidP="00491D76">
            <w:pPr>
              <w:spacing w:after="0" w:line="240" w:lineRule="auto"/>
              <w:rPr>
                <w:rFonts w:asciiTheme="minorHAnsi" w:hAnsiTheme="minorHAnsi" w:cstheme="minorHAnsi"/>
                <w:sz w:val="20"/>
                <w:szCs w:val="20"/>
              </w:rPr>
            </w:pPr>
            <w:r>
              <w:rPr>
                <w:rFonts w:asciiTheme="minorHAnsi" w:hAnsiTheme="minorHAnsi" w:cstheme="minorHAnsi"/>
                <w:sz w:val="20"/>
                <w:szCs w:val="20"/>
              </w:rPr>
              <w:t>Sledování plnění tohoto ustanovení při kontrole projektové dokumentace předkládané v rámci žádosti o podporu a dále v rámci kontrolní činnosti u realizovaných projektů.</w:t>
            </w:r>
          </w:p>
          <w:p w14:paraId="7C46E326" w14:textId="77777777" w:rsidR="00E310E9" w:rsidRDefault="00E310E9" w:rsidP="00491D76">
            <w:pPr>
              <w:spacing w:after="0" w:line="240" w:lineRule="auto"/>
              <w:rPr>
                <w:rFonts w:asciiTheme="minorHAnsi" w:hAnsiTheme="minorHAnsi" w:cstheme="minorHAnsi"/>
                <w:color w:val="A6A6A6" w:themeColor="background1" w:themeShade="A6"/>
                <w:sz w:val="20"/>
                <w:szCs w:val="20"/>
              </w:rPr>
            </w:pPr>
          </w:p>
          <w:p w14:paraId="46852556" w14:textId="77777777" w:rsidR="00E310E9" w:rsidRDefault="00E310E9" w:rsidP="00491D76">
            <w:pPr>
              <w:spacing w:after="0" w:line="240" w:lineRule="auto"/>
              <w:rPr>
                <w:rFonts w:asciiTheme="minorHAnsi" w:hAnsiTheme="minorHAnsi" w:cstheme="minorHAnsi"/>
                <w:sz w:val="20"/>
                <w:szCs w:val="20"/>
              </w:rPr>
            </w:pPr>
            <w:r>
              <w:rPr>
                <w:rFonts w:asciiTheme="minorHAnsi" w:hAnsiTheme="minorHAnsi" w:cstheme="minorHAnsi"/>
                <w:sz w:val="20"/>
                <w:szCs w:val="20"/>
              </w:rPr>
              <w:t>Alternativně se doporučuje např. doložení neexistence porušení pravidel ze strany ČIŽP v posledních 10 letech. Toto lze zkontrolovat seznamem pokut ČIŽP či kontrolou soudních řízení.</w:t>
            </w:r>
          </w:p>
          <w:p w14:paraId="7CF629E2" w14:textId="77777777" w:rsidR="00E310E9" w:rsidRDefault="00E310E9" w:rsidP="00491D76">
            <w:pPr>
              <w:spacing w:after="0" w:line="240" w:lineRule="auto"/>
              <w:rPr>
                <w:rFonts w:asciiTheme="minorHAnsi" w:hAnsiTheme="minorHAnsi" w:cstheme="minorHAnsi"/>
                <w:color w:val="A6A6A6" w:themeColor="background1" w:themeShade="A6"/>
                <w:sz w:val="20"/>
                <w:szCs w:val="20"/>
              </w:rPr>
            </w:pPr>
          </w:p>
          <w:p w14:paraId="0AB1B48C" w14:textId="77777777" w:rsidR="00E310E9" w:rsidRDefault="00E310E9" w:rsidP="00491D76">
            <w:pPr>
              <w:spacing w:after="0" w:line="240" w:lineRule="auto"/>
              <w:rPr>
                <w:rFonts w:asciiTheme="minorHAnsi" w:hAnsiTheme="minorHAnsi" w:cstheme="minorHAnsi"/>
                <w:color w:val="A6A6A6" w:themeColor="background1" w:themeShade="A6"/>
                <w:sz w:val="20"/>
                <w:szCs w:val="20"/>
              </w:rPr>
            </w:pPr>
            <w:r>
              <w:rPr>
                <w:rFonts w:asciiTheme="minorHAnsi" w:hAnsiTheme="minorHAnsi" w:cstheme="minorHAnsi"/>
                <w:sz w:val="20"/>
                <w:szCs w:val="20"/>
              </w:rPr>
              <w:t>Alternativně se doporučuje vyžadovat čestné prohlášení žadatele, že nevyrábí, neuvádí na trh nebo při své činnosti nepoužívá uvedené látky.</w:t>
            </w:r>
          </w:p>
        </w:tc>
        <w:tc>
          <w:tcPr>
            <w:tcW w:w="1102" w:type="pct"/>
            <w:shd w:val="clear" w:color="auto" w:fill="F7CAAC" w:themeFill="accent2" w:themeFillTint="66"/>
          </w:tcPr>
          <w:p w14:paraId="5E6812A2" w14:textId="77777777" w:rsidR="00E310E9" w:rsidRDefault="00E310E9" w:rsidP="00491D76">
            <w:pPr>
              <w:spacing w:after="0" w:line="240" w:lineRule="auto"/>
              <w:rPr>
                <w:rFonts w:asciiTheme="minorHAnsi" w:hAnsiTheme="minorHAnsi" w:cstheme="minorHAnsi"/>
                <w:sz w:val="20"/>
                <w:szCs w:val="20"/>
              </w:rPr>
            </w:pPr>
            <w:r>
              <w:rPr>
                <w:rFonts w:asciiTheme="minorHAnsi" w:hAnsiTheme="minorHAnsi" w:cstheme="minorHAnsi"/>
                <w:sz w:val="20"/>
                <w:szCs w:val="20"/>
              </w:rPr>
              <w:t>Činnost nevede k výrobě, uvádění na trh nebo používání:</w:t>
            </w:r>
          </w:p>
          <w:p w14:paraId="599FBE65" w14:textId="77777777" w:rsidR="00E310E9" w:rsidRDefault="00E310E9" w:rsidP="00491D76">
            <w:pPr>
              <w:spacing w:after="0" w:line="240" w:lineRule="auto"/>
              <w:rPr>
                <w:rFonts w:asciiTheme="minorHAnsi" w:hAnsiTheme="minorHAnsi" w:cstheme="minorHAnsi"/>
                <w:sz w:val="20"/>
                <w:szCs w:val="20"/>
              </w:rPr>
            </w:pPr>
            <w:r>
              <w:rPr>
                <w:rFonts w:asciiTheme="minorHAnsi" w:hAnsiTheme="minorHAnsi" w:cstheme="minorHAnsi"/>
                <w:sz w:val="20"/>
                <w:szCs w:val="20"/>
              </w:rPr>
              <w:t>a) látek uvedených v příloze I nebo II nařízení Evropského parlamentu a Rady (EU) 2019/1021</w:t>
            </w:r>
            <w:r>
              <w:rPr>
                <w:rFonts w:asciiTheme="minorHAnsi" w:hAnsiTheme="minorHAnsi" w:cstheme="minorHAnsi"/>
                <w:sz w:val="20"/>
                <w:szCs w:val="20"/>
                <w:vertAlign w:val="superscript"/>
              </w:rPr>
              <w:footnoteReference w:id="202"/>
            </w:r>
            <w:r>
              <w:rPr>
                <w:rFonts w:asciiTheme="minorHAnsi" w:hAnsiTheme="minorHAnsi" w:cstheme="minorHAnsi"/>
                <w:sz w:val="20"/>
                <w:szCs w:val="20"/>
              </w:rPr>
              <w:t>, a to jak samotných, tak ve formě směsí nebo předmětů, kromě případů, kdy jsou přítomny jako nezáměrné stopové kontaminující látky;</w:t>
            </w:r>
          </w:p>
          <w:p w14:paraId="605817F5" w14:textId="77777777" w:rsidR="00E310E9" w:rsidRDefault="00E310E9" w:rsidP="00491D76">
            <w:pPr>
              <w:spacing w:after="0" w:line="240" w:lineRule="auto"/>
              <w:rPr>
                <w:rFonts w:asciiTheme="minorHAnsi" w:hAnsiTheme="minorHAnsi" w:cstheme="minorHAnsi"/>
                <w:sz w:val="20"/>
                <w:szCs w:val="20"/>
              </w:rPr>
            </w:pPr>
            <w:r>
              <w:rPr>
                <w:rFonts w:asciiTheme="minorHAnsi" w:hAnsiTheme="minorHAnsi" w:cstheme="minorHAnsi"/>
                <w:sz w:val="20"/>
                <w:szCs w:val="20"/>
              </w:rPr>
              <w:t>b) rtuti a sloučeniny rtuti, jejich směsí a výrobků s přidanou rtutí ve smyslu článku 2 nařízení Evropského parlamentu a Rady (EU) 2017/852</w:t>
            </w:r>
            <w:r>
              <w:rPr>
                <w:rFonts w:asciiTheme="minorHAnsi" w:hAnsiTheme="minorHAnsi" w:cstheme="minorHAnsi"/>
                <w:sz w:val="20"/>
                <w:szCs w:val="20"/>
                <w:vertAlign w:val="superscript"/>
              </w:rPr>
              <w:footnoteReference w:id="203"/>
            </w:r>
            <w:r>
              <w:rPr>
                <w:rFonts w:asciiTheme="minorHAnsi" w:hAnsiTheme="minorHAnsi" w:cstheme="minorHAnsi"/>
                <w:sz w:val="20"/>
                <w:szCs w:val="20"/>
              </w:rPr>
              <w:t>;</w:t>
            </w:r>
          </w:p>
          <w:p w14:paraId="2E9C0818" w14:textId="77777777" w:rsidR="00E310E9" w:rsidRDefault="00E310E9" w:rsidP="00491D76">
            <w:pPr>
              <w:spacing w:after="0" w:line="240" w:lineRule="auto"/>
              <w:rPr>
                <w:rFonts w:asciiTheme="minorHAnsi" w:hAnsiTheme="minorHAnsi" w:cstheme="minorHAnsi"/>
                <w:sz w:val="20"/>
                <w:szCs w:val="20"/>
              </w:rPr>
            </w:pPr>
            <w:r>
              <w:rPr>
                <w:rFonts w:asciiTheme="minorHAnsi" w:hAnsiTheme="minorHAnsi" w:cstheme="minorHAnsi"/>
                <w:sz w:val="20"/>
                <w:szCs w:val="20"/>
              </w:rPr>
              <w:t>c) látek uvedených v příloze I nebo II nařízení Evropského parlamentu a Rady (ES) č. 1005/2009</w:t>
            </w:r>
            <w:r>
              <w:rPr>
                <w:rFonts w:asciiTheme="minorHAnsi" w:hAnsiTheme="minorHAnsi" w:cstheme="minorHAnsi"/>
                <w:sz w:val="20"/>
                <w:szCs w:val="20"/>
                <w:vertAlign w:val="superscript"/>
              </w:rPr>
              <w:footnoteReference w:id="204"/>
            </w:r>
            <w:r>
              <w:rPr>
                <w:rFonts w:asciiTheme="minorHAnsi" w:hAnsiTheme="minorHAnsi" w:cstheme="minorHAnsi"/>
                <w:sz w:val="20"/>
                <w:szCs w:val="20"/>
              </w:rPr>
              <w:t>, a to jak samotných, tak ve formě směsí nebo předmětů;</w:t>
            </w:r>
          </w:p>
          <w:p w14:paraId="32EF3E63" w14:textId="77777777" w:rsidR="00E310E9" w:rsidRDefault="00E310E9" w:rsidP="00491D76">
            <w:pPr>
              <w:spacing w:after="0" w:line="240" w:lineRule="auto"/>
              <w:rPr>
                <w:rFonts w:asciiTheme="minorHAnsi" w:hAnsiTheme="minorHAnsi" w:cstheme="minorHAnsi"/>
                <w:sz w:val="20"/>
                <w:szCs w:val="20"/>
              </w:rPr>
            </w:pPr>
            <w:r>
              <w:rPr>
                <w:rFonts w:asciiTheme="minorHAnsi" w:hAnsiTheme="minorHAnsi" w:cstheme="minorHAnsi"/>
                <w:sz w:val="20"/>
                <w:szCs w:val="20"/>
              </w:rPr>
              <w:t>d) látek uvedených v příloze II směrnice Evropského parlamentu a Rady 2011/65/EU</w:t>
            </w:r>
            <w:r>
              <w:rPr>
                <w:rFonts w:asciiTheme="minorHAnsi" w:hAnsiTheme="minorHAnsi" w:cstheme="minorHAnsi"/>
                <w:sz w:val="20"/>
                <w:szCs w:val="20"/>
                <w:vertAlign w:val="superscript"/>
              </w:rPr>
              <w:footnoteReference w:id="205"/>
            </w:r>
            <w:r>
              <w:rPr>
                <w:rFonts w:asciiTheme="minorHAnsi" w:hAnsiTheme="minorHAnsi" w:cstheme="minorHAnsi"/>
                <w:sz w:val="20"/>
                <w:szCs w:val="20"/>
              </w:rPr>
              <w:t xml:space="preserve">, a to jak samotných, tak ve formě směsí nebo předmětů, kromě případů, které jsou plně v souladu s čl. 4 odst. 1 uvedené směrnice; </w:t>
            </w:r>
          </w:p>
          <w:p w14:paraId="1F392240" w14:textId="77777777" w:rsidR="00E310E9" w:rsidRDefault="00E310E9" w:rsidP="00491D76">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e) látek uvedených v příloze XVII nařízení Evropského parlamentu a Rady </w:t>
            </w:r>
            <w:r>
              <w:rPr>
                <w:rFonts w:asciiTheme="minorHAnsi" w:hAnsiTheme="minorHAnsi" w:cstheme="minorHAnsi"/>
                <w:sz w:val="20"/>
                <w:szCs w:val="20"/>
              </w:rPr>
              <w:lastRenderedPageBreak/>
              <w:t>(ES) 1907/2006</w:t>
            </w:r>
            <w:r>
              <w:rPr>
                <w:rFonts w:asciiTheme="minorHAnsi" w:hAnsiTheme="minorHAnsi" w:cstheme="minorHAnsi"/>
                <w:sz w:val="20"/>
                <w:szCs w:val="20"/>
                <w:vertAlign w:val="superscript"/>
              </w:rPr>
              <w:footnoteReference w:id="206"/>
            </w:r>
            <w:r>
              <w:rPr>
                <w:rFonts w:asciiTheme="minorHAnsi" w:hAnsiTheme="minorHAnsi" w:cstheme="minorHAnsi"/>
                <w:sz w:val="20"/>
                <w:szCs w:val="20"/>
              </w:rPr>
              <w:t>, a to jak samotných, tak ve formě směsí nebo předmětů, kromě případů, které jsou plně v souladu s podmínkami stanovenými v uvedené příloze;</w:t>
            </w:r>
          </w:p>
          <w:p w14:paraId="6DE3B342" w14:textId="77777777" w:rsidR="00E310E9" w:rsidRDefault="00E310E9" w:rsidP="00491D76">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f) látek, které splňují kritéria stanovená v článku 57 nařízení (ES) č. 1907/2006 a jsou identifikovány v souladu s čl. 59 odst. 1 uvedeného nařízení, a to jak samotných, tak ve formě směsí nebo předmětů, kromě případů, kdy bylo prokázáno, že jejich použití je pro společnost zásadní; </w:t>
            </w:r>
          </w:p>
          <w:p w14:paraId="5360EC27" w14:textId="77777777" w:rsidR="00E310E9" w:rsidRDefault="00E310E9" w:rsidP="00491D76">
            <w:pPr>
              <w:spacing w:after="0" w:line="240" w:lineRule="auto"/>
              <w:rPr>
                <w:rFonts w:asciiTheme="minorHAnsi" w:hAnsiTheme="minorHAnsi" w:cstheme="minorHAnsi"/>
                <w:color w:val="A6A6A6" w:themeColor="background1" w:themeShade="A6"/>
                <w:sz w:val="20"/>
                <w:szCs w:val="20"/>
              </w:rPr>
            </w:pPr>
            <w:r>
              <w:rPr>
                <w:rFonts w:asciiTheme="minorHAnsi" w:hAnsiTheme="minorHAnsi" w:cstheme="minorHAnsi"/>
                <w:sz w:val="20"/>
                <w:szCs w:val="20"/>
              </w:rPr>
              <w:t>g) jiných látek, které splňují kritéria stanovená v článku 57 nařízení (ES) č. 1907/2006, a to jak samotných, tak ve formě směsí nebo předmětů, kromě případů, kdy bylo prokázáno, že jejich použití je pro společnost zásadní.</w:t>
            </w:r>
          </w:p>
          <w:p w14:paraId="485073B4" w14:textId="77777777" w:rsidR="00E310E9" w:rsidRDefault="00E310E9" w:rsidP="00491D76">
            <w:pPr>
              <w:spacing w:after="0" w:line="240" w:lineRule="auto"/>
              <w:rPr>
                <w:rFonts w:asciiTheme="minorHAnsi" w:hAnsiTheme="minorHAnsi" w:cstheme="minorHAnsi"/>
                <w:color w:val="A6A6A6" w:themeColor="background1" w:themeShade="A6"/>
                <w:sz w:val="20"/>
                <w:szCs w:val="20"/>
              </w:rPr>
            </w:pPr>
          </w:p>
          <w:p w14:paraId="51738A92" w14:textId="77777777" w:rsidR="00E310E9" w:rsidRDefault="00E310E9" w:rsidP="00491D76">
            <w:pPr>
              <w:spacing w:after="0" w:line="240" w:lineRule="auto"/>
              <w:rPr>
                <w:rFonts w:asciiTheme="minorHAnsi" w:hAnsiTheme="minorHAnsi" w:cstheme="minorHAnsi"/>
                <w:color w:val="A6A6A6" w:themeColor="background1" w:themeShade="A6"/>
                <w:sz w:val="20"/>
                <w:szCs w:val="20"/>
              </w:rPr>
            </w:pPr>
            <w:r>
              <w:rPr>
                <w:rFonts w:asciiTheme="minorHAnsi" w:hAnsiTheme="minorHAnsi" w:cstheme="minorHAnsi"/>
                <w:b/>
                <w:i/>
                <w:sz w:val="20"/>
                <w:szCs w:val="20"/>
              </w:rPr>
              <w:t>Tyto podmínky jsou přímo podmínkami DNSH (dodatek C) dle přílohy I a přílohy II nařízení EU 2021/2139 a jsou tímto ve fondech splněny</w:t>
            </w:r>
          </w:p>
        </w:tc>
      </w:tr>
      <w:tr w:rsidR="00E310E9" w14:paraId="4E20C275" w14:textId="77777777" w:rsidTr="00491D76">
        <w:tc>
          <w:tcPr>
            <w:tcW w:w="570" w:type="pct"/>
            <w:vMerge/>
            <w:shd w:val="clear" w:color="auto" w:fill="F7CAAC" w:themeFill="accent2" w:themeFillTint="66"/>
          </w:tcPr>
          <w:p w14:paraId="53FEC10C" w14:textId="77777777" w:rsidR="00E310E9" w:rsidRDefault="00E310E9" w:rsidP="00491D76">
            <w:pPr>
              <w:spacing w:after="0" w:line="240" w:lineRule="auto"/>
              <w:rPr>
                <w:rFonts w:asciiTheme="minorHAnsi" w:hAnsiTheme="minorHAnsi" w:cstheme="minorHAnsi"/>
                <w:b/>
                <w:sz w:val="20"/>
                <w:szCs w:val="20"/>
              </w:rPr>
            </w:pPr>
          </w:p>
        </w:tc>
        <w:tc>
          <w:tcPr>
            <w:tcW w:w="1150" w:type="pct"/>
            <w:shd w:val="clear" w:color="auto" w:fill="F7CAAC" w:themeFill="accent2" w:themeFillTint="66"/>
          </w:tcPr>
          <w:p w14:paraId="6F40DC5F" w14:textId="77777777" w:rsidR="00E310E9" w:rsidRDefault="00E310E9" w:rsidP="00491D76">
            <w:pPr>
              <w:spacing w:after="0" w:line="240" w:lineRule="auto"/>
              <w:rPr>
                <w:rFonts w:asciiTheme="minorHAnsi" w:hAnsiTheme="minorHAnsi" w:cstheme="minorHAnsi"/>
                <w:bCs/>
                <w:color w:val="A6A6A6" w:themeColor="background1" w:themeShade="A6"/>
                <w:sz w:val="20"/>
                <w:szCs w:val="20"/>
              </w:rPr>
            </w:pPr>
            <w:r>
              <w:rPr>
                <w:rFonts w:asciiTheme="minorHAnsi" w:hAnsiTheme="minorHAnsi" w:cstheme="minorHAnsi"/>
                <w:color w:val="A6A6A6" w:themeColor="background1" w:themeShade="A6"/>
                <w:sz w:val="20"/>
                <w:szCs w:val="20"/>
              </w:rPr>
              <w:t>Ze stavebních prvků a materiálů použitých při stavbě, které mohou přijít do styku s uživateli</w:t>
            </w:r>
            <w:r>
              <w:rPr>
                <w:rFonts w:asciiTheme="minorHAnsi" w:hAnsiTheme="minorHAnsi" w:cstheme="minorHAnsi"/>
                <w:color w:val="A6A6A6" w:themeColor="background1" w:themeShade="A6"/>
                <w:sz w:val="20"/>
                <w:szCs w:val="20"/>
                <w:vertAlign w:val="superscript"/>
              </w:rPr>
              <w:footnoteReference w:id="207"/>
            </w:r>
            <w:r>
              <w:rPr>
                <w:rFonts w:asciiTheme="minorHAnsi" w:hAnsiTheme="minorHAnsi" w:cstheme="minorHAnsi"/>
                <w:color w:val="A6A6A6" w:themeColor="background1" w:themeShade="A6"/>
                <w:sz w:val="20"/>
                <w:szCs w:val="20"/>
              </w:rPr>
              <w:t xml:space="preserve">, se při zkouškách v souladu s podmínkami uvedenými v příloze XVII nařízení (ES) č. 1907/2006 uvolňuje méně než 0,06 mg formaldehydu na m³ materiálu nebo </w:t>
            </w:r>
            <w:r>
              <w:rPr>
                <w:rFonts w:asciiTheme="minorHAnsi" w:hAnsiTheme="minorHAnsi" w:cstheme="minorHAnsi"/>
                <w:color w:val="A6A6A6" w:themeColor="background1" w:themeShade="A6"/>
                <w:sz w:val="20"/>
                <w:szCs w:val="20"/>
              </w:rPr>
              <w:lastRenderedPageBreak/>
              <w:t>prvku a při zkouškách podle normy CEN/EN 16516</w:t>
            </w:r>
            <w:r>
              <w:rPr>
                <w:rFonts w:asciiTheme="minorHAnsi" w:hAnsiTheme="minorHAnsi" w:cstheme="minorHAnsi"/>
                <w:color w:val="A6A6A6" w:themeColor="background1" w:themeShade="A6"/>
                <w:sz w:val="20"/>
                <w:szCs w:val="20"/>
                <w:vertAlign w:val="superscript"/>
              </w:rPr>
              <w:footnoteReference w:id="208"/>
            </w:r>
            <w:r>
              <w:rPr>
                <w:rFonts w:asciiTheme="minorHAnsi" w:hAnsiTheme="minorHAnsi" w:cstheme="minorHAnsi"/>
                <w:color w:val="A6A6A6" w:themeColor="background1" w:themeShade="A6"/>
                <w:sz w:val="20"/>
                <w:szCs w:val="20"/>
              </w:rPr>
              <w:t xml:space="preserve"> a ISO 16000-3:2011</w:t>
            </w:r>
            <w:r>
              <w:rPr>
                <w:rFonts w:asciiTheme="minorHAnsi" w:hAnsiTheme="minorHAnsi" w:cstheme="minorHAnsi"/>
                <w:color w:val="A6A6A6" w:themeColor="background1" w:themeShade="A6"/>
                <w:sz w:val="20"/>
                <w:szCs w:val="20"/>
                <w:vertAlign w:val="superscript"/>
              </w:rPr>
              <w:footnoteReference w:id="209"/>
            </w:r>
            <w:r>
              <w:rPr>
                <w:rFonts w:asciiTheme="minorHAnsi" w:hAnsiTheme="minorHAnsi" w:cstheme="minorHAnsi"/>
                <w:color w:val="A6A6A6" w:themeColor="background1" w:themeShade="A6"/>
                <w:sz w:val="20"/>
                <w:szCs w:val="20"/>
              </w:rPr>
              <w:t xml:space="preserve"> nebo jiných srovnatelných standardizovaných zkušebních podmínek a metod stanovení</w:t>
            </w:r>
            <w:r>
              <w:rPr>
                <w:rFonts w:asciiTheme="minorHAnsi" w:hAnsiTheme="minorHAnsi" w:cstheme="minorHAnsi"/>
                <w:color w:val="A6A6A6" w:themeColor="background1" w:themeShade="A6"/>
                <w:sz w:val="20"/>
                <w:szCs w:val="20"/>
                <w:vertAlign w:val="superscript"/>
              </w:rPr>
              <w:footnoteReference w:id="210"/>
            </w:r>
            <w:r>
              <w:rPr>
                <w:rFonts w:asciiTheme="minorHAnsi" w:hAnsiTheme="minorHAnsi" w:cstheme="minorHAnsi"/>
                <w:color w:val="A6A6A6" w:themeColor="background1" w:themeShade="A6"/>
                <w:sz w:val="20"/>
                <w:szCs w:val="20"/>
              </w:rPr>
              <w:t xml:space="preserve"> méně než 0,001 mg jiných karcinogenních těkavých organických sloučenin kategorie 1A a 1B na m³ materiálu nebo prvku.</w:t>
            </w:r>
          </w:p>
        </w:tc>
        <w:tc>
          <w:tcPr>
            <w:tcW w:w="1114" w:type="pct"/>
            <w:shd w:val="clear" w:color="auto" w:fill="F7CAAC" w:themeFill="accent2" w:themeFillTint="66"/>
          </w:tcPr>
          <w:p w14:paraId="265321BF" w14:textId="77777777" w:rsidR="00E310E9" w:rsidRDefault="00E310E9" w:rsidP="00491D76">
            <w:pPr>
              <w:spacing w:after="0" w:line="240" w:lineRule="auto"/>
              <w:rPr>
                <w:rFonts w:asciiTheme="minorHAnsi" w:hAnsiTheme="minorHAnsi" w:cstheme="minorHAnsi"/>
                <w:color w:val="A6A6A6" w:themeColor="background1" w:themeShade="A6"/>
                <w:sz w:val="20"/>
                <w:szCs w:val="20"/>
              </w:rPr>
            </w:pPr>
            <w:r>
              <w:rPr>
                <w:rFonts w:asciiTheme="minorHAnsi" w:hAnsiTheme="minorHAnsi" w:cstheme="minorHAnsi"/>
                <w:color w:val="A6A6A6" w:themeColor="background1" w:themeShade="A6"/>
                <w:sz w:val="20"/>
                <w:szCs w:val="20"/>
              </w:rPr>
              <w:lastRenderedPageBreak/>
              <w:t>Legislativní požadavek.</w:t>
            </w:r>
          </w:p>
          <w:p w14:paraId="5E427254" w14:textId="77777777" w:rsidR="00E310E9" w:rsidRDefault="00E310E9" w:rsidP="00491D76">
            <w:pPr>
              <w:spacing w:after="0" w:line="240" w:lineRule="auto"/>
              <w:rPr>
                <w:rFonts w:asciiTheme="minorHAnsi" w:hAnsiTheme="minorHAnsi" w:cstheme="minorHAnsi"/>
                <w:color w:val="A6A6A6" w:themeColor="background1" w:themeShade="A6"/>
                <w:sz w:val="20"/>
                <w:szCs w:val="20"/>
              </w:rPr>
            </w:pPr>
          </w:p>
          <w:p w14:paraId="3628E778" w14:textId="77777777" w:rsidR="00E310E9" w:rsidRDefault="00E310E9" w:rsidP="00491D76">
            <w:pPr>
              <w:spacing w:after="0" w:line="240" w:lineRule="auto"/>
              <w:rPr>
                <w:rFonts w:asciiTheme="minorHAnsi" w:hAnsiTheme="minorHAnsi" w:cstheme="minorHAnsi"/>
                <w:color w:val="A6A6A6" w:themeColor="background1" w:themeShade="A6"/>
                <w:sz w:val="20"/>
                <w:szCs w:val="20"/>
              </w:rPr>
            </w:pPr>
            <w:r w:rsidRPr="00253280">
              <w:rPr>
                <w:rFonts w:asciiTheme="minorHAnsi" w:hAnsiTheme="minorHAnsi" w:cstheme="minorHAnsi"/>
                <w:sz w:val="20"/>
                <w:szCs w:val="20"/>
              </w:rPr>
              <w:t>Poučení žadatele ohledně tohoto legislativního požadavku.</w:t>
            </w:r>
          </w:p>
        </w:tc>
        <w:tc>
          <w:tcPr>
            <w:tcW w:w="1064" w:type="pct"/>
            <w:shd w:val="clear" w:color="auto" w:fill="F7CAAC" w:themeFill="accent2" w:themeFillTint="66"/>
          </w:tcPr>
          <w:p w14:paraId="5A44B019" w14:textId="77777777" w:rsidR="00E310E9" w:rsidRDefault="00E310E9" w:rsidP="00491D76">
            <w:pPr>
              <w:spacing w:after="0" w:line="240" w:lineRule="auto"/>
              <w:rPr>
                <w:rFonts w:asciiTheme="minorHAnsi" w:hAnsiTheme="minorHAnsi" w:cstheme="minorHAnsi"/>
                <w:sz w:val="20"/>
                <w:szCs w:val="20"/>
              </w:rPr>
            </w:pPr>
            <w:r>
              <w:rPr>
                <w:rFonts w:asciiTheme="minorHAnsi" w:hAnsiTheme="minorHAnsi" w:cstheme="minorHAnsi"/>
                <w:sz w:val="20"/>
                <w:szCs w:val="20"/>
              </w:rPr>
              <w:t>Sledování plnění tohoto ustanovení při kontrole projektové dokumentace předkládané v rámci žádosti o podporu a dále v rámci kontrolní činnosti u realizovaných projektů.</w:t>
            </w:r>
          </w:p>
          <w:p w14:paraId="18249031" w14:textId="77777777" w:rsidR="00E310E9" w:rsidRDefault="00E310E9" w:rsidP="00491D76">
            <w:pPr>
              <w:spacing w:after="0" w:line="240" w:lineRule="auto"/>
              <w:rPr>
                <w:rFonts w:asciiTheme="minorHAnsi" w:hAnsiTheme="minorHAnsi" w:cstheme="minorHAnsi"/>
                <w:color w:val="A6A6A6" w:themeColor="background1" w:themeShade="A6"/>
                <w:sz w:val="20"/>
                <w:szCs w:val="20"/>
              </w:rPr>
            </w:pPr>
          </w:p>
          <w:p w14:paraId="4DBC6ADC" w14:textId="77777777" w:rsidR="00E310E9" w:rsidRDefault="00E310E9" w:rsidP="00491D76">
            <w:pPr>
              <w:spacing w:after="0" w:line="240" w:lineRule="auto"/>
              <w:rPr>
                <w:rFonts w:asciiTheme="minorHAnsi" w:hAnsiTheme="minorHAnsi" w:cstheme="minorHAnsi"/>
                <w:sz w:val="20"/>
                <w:szCs w:val="20"/>
              </w:rPr>
            </w:pPr>
            <w:r>
              <w:rPr>
                <w:rFonts w:asciiTheme="minorHAnsi" w:hAnsiTheme="minorHAnsi" w:cstheme="minorHAnsi"/>
                <w:sz w:val="20"/>
                <w:szCs w:val="20"/>
              </w:rPr>
              <w:lastRenderedPageBreak/>
              <w:t>Alternativně a administrativně jednodušší je požadovat využití výrobků a směsí které mají k danému datu výzvy platné Prohlášení o shodě. Tím je splněn požadavek a zároveň jej lze relativně jednoduše u projektů kontrolovat.</w:t>
            </w:r>
          </w:p>
          <w:p w14:paraId="505C6990" w14:textId="77777777" w:rsidR="00E310E9" w:rsidRDefault="00E310E9" w:rsidP="00491D76">
            <w:pPr>
              <w:spacing w:after="0" w:line="240" w:lineRule="auto"/>
              <w:rPr>
                <w:rFonts w:asciiTheme="minorHAnsi" w:hAnsiTheme="minorHAnsi" w:cstheme="minorHAnsi"/>
                <w:color w:val="A6A6A6" w:themeColor="background1" w:themeShade="A6"/>
                <w:sz w:val="20"/>
                <w:szCs w:val="20"/>
              </w:rPr>
            </w:pPr>
          </w:p>
          <w:p w14:paraId="044AABE2" w14:textId="77777777" w:rsidR="00E310E9" w:rsidRDefault="00E310E9" w:rsidP="00491D76">
            <w:pPr>
              <w:spacing w:after="0" w:line="240" w:lineRule="auto"/>
              <w:rPr>
                <w:rFonts w:asciiTheme="minorHAnsi" w:hAnsiTheme="minorHAnsi" w:cstheme="minorHAnsi"/>
                <w:color w:val="A6A6A6" w:themeColor="background1" w:themeShade="A6"/>
                <w:sz w:val="20"/>
                <w:szCs w:val="20"/>
              </w:rPr>
            </w:pPr>
          </w:p>
        </w:tc>
        <w:tc>
          <w:tcPr>
            <w:tcW w:w="1102" w:type="pct"/>
            <w:shd w:val="clear" w:color="auto" w:fill="F7CAAC" w:themeFill="accent2" w:themeFillTint="66"/>
          </w:tcPr>
          <w:p w14:paraId="3FB0A62A" w14:textId="77777777" w:rsidR="00E310E9" w:rsidRDefault="00E310E9" w:rsidP="00491D76">
            <w:pPr>
              <w:spacing w:after="0" w:line="240" w:lineRule="auto"/>
              <w:rPr>
                <w:rFonts w:asciiTheme="minorHAnsi" w:hAnsiTheme="minorHAnsi" w:cstheme="minorHAnsi"/>
                <w:sz w:val="20"/>
                <w:szCs w:val="20"/>
              </w:rPr>
            </w:pPr>
            <w:r>
              <w:rPr>
                <w:rFonts w:asciiTheme="minorHAnsi" w:hAnsiTheme="minorHAnsi" w:cstheme="minorHAnsi"/>
                <w:sz w:val="20"/>
                <w:szCs w:val="20"/>
              </w:rPr>
              <w:lastRenderedPageBreak/>
              <w:t>Ze stavebních prvků a materiálů použitých při stavbě, které mohou přijít do styku s uživateli</w:t>
            </w:r>
            <w:r>
              <w:rPr>
                <w:rFonts w:asciiTheme="minorHAnsi" w:hAnsiTheme="minorHAnsi" w:cstheme="minorHAnsi"/>
                <w:sz w:val="20"/>
                <w:szCs w:val="20"/>
                <w:vertAlign w:val="superscript"/>
              </w:rPr>
              <w:footnoteReference w:id="211"/>
            </w:r>
            <w:r>
              <w:rPr>
                <w:rFonts w:asciiTheme="minorHAnsi" w:hAnsiTheme="minorHAnsi" w:cstheme="minorHAnsi"/>
                <w:sz w:val="20"/>
                <w:szCs w:val="20"/>
              </w:rPr>
              <w:t xml:space="preserve">, se při zkouškách v souladu s podmínkami uvedenými v příloze XVII nařízení (ES) č. 1907/2006 uvolňuje méně než 0,06 mg formaldehydu na m³ materiálu nebo </w:t>
            </w:r>
            <w:r>
              <w:rPr>
                <w:rFonts w:asciiTheme="minorHAnsi" w:hAnsiTheme="minorHAnsi" w:cstheme="minorHAnsi"/>
                <w:sz w:val="20"/>
                <w:szCs w:val="20"/>
              </w:rPr>
              <w:lastRenderedPageBreak/>
              <w:t>prvku a při zkouškách podle normy CEN/EN 16516</w:t>
            </w:r>
            <w:r>
              <w:rPr>
                <w:rFonts w:asciiTheme="minorHAnsi" w:hAnsiTheme="minorHAnsi" w:cstheme="minorHAnsi"/>
                <w:sz w:val="20"/>
                <w:szCs w:val="20"/>
                <w:vertAlign w:val="superscript"/>
              </w:rPr>
              <w:footnoteReference w:id="212"/>
            </w:r>
            <w:r>
              <w:rPr>
                <w:rFonts w:asciiTheme="minorHAnsi" w:hAnsiTheme="minorHAnsi" w:cstheme="minorHAnsi"/>
                <w:sz w:val="20"/>
                <w:szCs w:val="20"/>
              </w:rPr>
              <w:t xml:space="preserve"> a ISO 16000-3:2011</w:t>
            </w:r>
            <w:r>
              <w:rPr>
                <w:rFonts w:asciiTheme="minorHAnsi" w:hAnsiTheme="minorHAnsi" w:cstheme="minorHAnsi"/>
                <w:sz w:val="20"/>
                <w:szCs w:val="20"/>
                <w:vertAlign w:val="superscript"/>
              </w:rPr>
              <w:footnoteReference w:id="213"/>
            </w:r>
            <w:r>
              <w:rPr>
                <w:rFonts w:asciiTheme="minorHAnsi" w:hAnsiTheme="minorHAnsi" w:cstheme="minorHAnsi"/>
                <w:sz w:val="20"/>
                <w:szCs w:val="20"/>
              </w:rPr>
              <w:t xml:space="preserve"> nebo jiných srovnatelných standardizovaných zkušebních podmínek a metod stanovení</w:t>
            </w:r>
            <w:r>
              <w:rPr>
                <w:rFonts w:asciiTheme="minorHAnsi" w:hAnsiTheme="minorHAnsi" w:cstheme="minorHAnsi"/>
                <w:sz w:val="20"/>
                <w:szCs w:val="20"/>
                <w:vertAlign w:val="superscript"/>
              </w:rPr>
              <w:footnoteReference w:id="214"/>
            </w:r>
            <w:r>
              <w:rPr>
                <w:rFonts w:asciiTheme="minorHAnsi" w:hAnsiTheme="minorHAnsi" w:cstheme="minorHAnsi"/>
                <w:sz w:val="20"/>
                <w:szCs w:val="20"/>
              </w:rPr>
              <w:t xml:space="preserve"> méně než 0,001 mg jiných karcinogenních těkavých organických sloučenin kategorie 1A a 1B na m³ materiálu nebo prvku. </w:t>
            </w:r>
          </w:p>
          <w:p w14:paraId="76E36169" w14:textId="77777777" w:rsidR="00E310E9" w:rsidRDefault="00E310E9" w:rsidP="00491D76">
            <w:pPr>
              <w:spacing w:after="0" w:line="240" w:lineRule="auto"/>
              <w:rPr>
                <w:rFonts w:asciiTheme="minorHAnsi" w:hAnsiTheme="minorHAnsi" w:cstheme="minorHAnsi"/>
                <w:sz w:val="20"/>
                <w:szCs w:val="20"/>
              </w:rPr>
            </w:pPr>
          </w:p>
          <w:p w14:paraId="0C1CF647" w14:textId="77777777" w:rsidR="00E310E9" w:rsidRDefault="00E310E9" w:rsidP="00491D76">
            <w:pPr>
              <w:spacing w:after="0" w:line="240" w:lineRule="auto"/>
              <w:rPr>
                <w:rFonts w:asciiTheme="minorHAnsi" w:hAnsiTheme="minorHAnsi" w:cstheme="minorHAnsi"/>
                <w:color w:val="A6A6A6" w:themeColor="background1" w:themeShade="A6"/>
                <w:sz w:val="20"/>
                <w:szCs w:val="20"/>
              </w:rPr>
            </w:pPr>
            <w:r>
              <w:rPr>
                <w:rFonts w:asciiTheme="minorHAnsi" w:hAnsiTheme="minorHAnsi" w:cstheme="minorHAnsi"/>
                <w:b/>
                <w:i/>
                <w:sz w:val="20"/>
                <w:szCs w:val="20"/>
              </w:rPr>
              <w:t>Tyto podmínky jsou přímo podmínkami DNSH dle přílohy I a přílohy II nařízení EU 2021/2139 a jsou tímto ve fondech splněny</w:t>
            </w:r>
          </w:p>
        </w:tc>
      </w:tr>
      <w:tr w:rsidR="00E310E9" w14:paraId="24D63989" w14:textId="77777777" w:rsidTr="00491D76">
        <w:tc>
          <w:tcPr>
            <w:tcW w:w="570" w:type="pct"/>
            <w:vMerge/>
            <w:shd w:val="clear" w:color="auto" w:fill="F7CAAC" w:themeFill="accent2" w:themeFillTint="66"/>
          </w:tcPr>
          <w:p w14:paraId="59D0D2FA" w14:textId="77777777" w:rsidR="00E310E9" w:rsidRDefault="00E310E9" w:rsidP="00491D76">
            <w:pPr>
              <w:spacing w:after="0" w:line="240" w:lineRule="auto"/>
              <w:rPr>
                <w:rFonts w:asciiTheme="minorHAnsi" w:hAnsiTheme="minorHAnsi" w:cstheme="minorHAnsi"/>
                <w:b/>
                <w:sz w:val="20"/>
                <w:szCs w:val="20"/>
              </w:rPr>
            </w:pPr>
          </w:p>
        </w:tc>
        <w:tc>
          <w:tcPr>
            <w:tcW w:w="1150" w:type="pct"/>
            <w:shd w:val="clear" w:color="auto" w:fill="F7CAAC" w:themeFill="accent2" w:themeFillTint="66"/>
          </w:tcPr>
          <w:p w14:paraId="3B3A9DCF" w14:textId="77777777" w:rsidR="00E310E9" w:rsidRPr="009B4AE3" w:rsidRDefault="00E310E9" w:rsidP="00491D76">
            <w:pPr>
              <w:spacing w:after="0" w:line="240" w:lineRule="auto"/>
              <w:rPr>
                <w:rFonts w:asciiTheme="minorHAnsi" w:hAnsiTheme="minorHAnsi" w:cstheme="minorHAnsi"/>
                <w:bCs/>
                <w:sz w:val="20"/>
                <w:szCs w:val="20"/>
              </w:rPr>
            </w:pPr>
            <w:r w:rsidRPr="009B4AE3">
              <w:rPr>
                <w:rFonts w:asciiTheme="minorHAnsi" w:hAnsiTheme="minorHAnsi" w:cstheme="minorHAnsi"/>
                <w:bCs/>
                <w:sz w:val="20"/>
                <w:szCs w:val="20"/>
              </w:rPr>
              <w:t xml:space="preserve">Pokud se budova nachází v kontaminované nebo potenciálně kontaminované lokalitě </w:t>
            </w:r>
            <w:r>
              <w:rPr>
                <w:rFonts w:asciiTheme="minorHAnsi" w:hAnsiTheme="minorHAnsi" w:cstheme="minorHAnsi"/>
                <w:bCs/>
                <w:sz w:val="20"/>
                <w:szCs w:val="20"/>
              </w:rPr>
              <w:t>evidované v databázi SEKM</w:t>
            </w:r>
            <w:r w:rsidRPr="009B4AE3">
              <w:rPr>
                <w:rFonts w:asciiTheme="minorHAnsi" w:hAnsiTheme="minorHAnsi" w:cstheme="minorHAnsi"/>
                <w:bCs/>
                <w:sz w:val="20"/>
                <w:szCs w:val="20"/>
              </w:rPr>
              <w:t xml:space="preserve">, bude lokalita nejprve prozkoumána </w:t>
            </w:r>
            <w:r>
              <w:rPr>
                <w:rFonts w:asciiTheme="minorHAnsi" w:hAnsiTheme="minorHAnsi" w:cstheme="minorHAnsi"/>
                <w:bCs/>
                <w:sz w:val="20"/>
                <w:szCs w:val="20"/>
              </w:rPr>
              <w:t xml:space="preserve">ekologickým auditem nebo </w:t>
            </w:r>
            <w:r w:rsidRPr="009B4AE3">
              <w:rPr>
                <w:rFonts w:asciiTheme="minorHAnsi" w:hAnsiTheme="minorHAnsi" w:cstheme="minorHAnsi"/>
                <w:bCs/>
                <w:sz w:val="20"/>
                <w:szCs w:val="20"/>
              </w:rPr>
              <w:t>analýzou rizik dle příslušných metodických pokynů MŽP</w:t>
            </w:r>
            <w:r>
              <w:rPr>
                <w:rFonts w:asciiTheme="minorHAnsi" w:hAnsiTheme="minorHAnsi" w:cstheme="minorHAnsi"/>
                <w:bCs/>
                <w:sz w:val="20"/>
                <w:szCs w:val="20"/>
              </w:rPr>
              <w:t>. Pokud jsou zjištěna rizika</w:t>
            </w:r>
            <w:r w:rsidRPr="009B4AE3">
              <w:rPr>
                <w:rFonts w:asciiTheme="minorHAnsi" w:hAnsiTheme="minorHAnsi" w:cstheme="minorHAnsi"/>
                <w:bCs/>
                <w:sz w:val="20"/>
                <w:szCs w:val="20"/>
              </w:rPr>
              <w:t xml:space="preserve"> musí další postup (stavební záměr) respektovat výsledky a doporučení analýzy rizik.</w:t>
            </w:r>
          </w:p>
          <w:p w14:paraId="52C4D1A2" w14:textId="77777777" w:rsidR="00E310E9" w:rsidRDefault="00E310E9" w:rsidP="00491D76">
            <w:pPr>
              <w:spacing w:after="0" w:line="240" w:lineRule="auto"/>
              <w:rPr>
                <w:rFonts w:asciiTheme="minorHAnsi" w:hAnsiTheme="minorHAnsi" w:cstheme="minorHAnsi"/>
                <w:sz w:val="20"/>
                <w:szCs w:val="20"/>
              </w:rPr>
            </w:pPr>
          </w:p>
        </w:tc>
        <w:tc>
          <w:tcPr>
            <w:tcW w:w="1114" w:type="pct"/>
            <w:shd w:val="clear" w:color="auto" w:fill="F7CAAC" w:themeFill="accent2" w:themeFillTint="66"/>
          </w:tcPr>
          <w:p w14:paraId="63AB1FF9" w14:textId="77777777" w:rsidR="00E310E9" w:rsidRDefault="00E310E9" w:rsidP="00491D76">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Nastavení podmínek podpory, pro projekty, které by se nacházely v lokalitách </w:t>
            </w:r>
            <w:r>
              <w:rPr>
                <w:rFonts w:asciiTheme="minorHAnsi" w:hAnsiTheme="minorHAnsi" w:cstheme="minorHAnsi"/>
                <w:bCs/>
                <w:sz w:val="20"/>
                <w:szCs w:val="20"/>
              </w:rPr>
              <w:t>evidovaných v databázi SEKM je nutné první provést ekologický audit a dle jeho výstupů provést opatření před vlastní realizací nového záměru</w:t>
            </w:r>
            <w:r>
              <w:rPr>
                <w:rFonts w:asciiTheme="minorHAnsi" w:hAnsiTheme="minorHAnsi" w:cstheme="minorHAnsi"/>
                <w:sz w:val="20"/>
                <w:szCs w:val="20"/>
              </w:rPr>
              <w:t xml:space="preserve">. Výstupy ekologického auditu a provedená opatření je nutné zanést do databáze SEKM v souladu s </w:t>
            </w:r>
            <w:r w:rsidRPr="005C25D7">
              <w:rPr>
                <w:rFonts w:asciiTheme="minorHAnsi" w:hAnsiTheme="minorHAnsi" w:cstheme="minorHAnsi"/>
                <w:sz w:val="20"/>
                <w:szCs w:val="20"/>
              </w:rPr>
              <w:t>vyhlášk</w:t>
            </w:r>
            <w:r>
              <w:rPr>
                <w:rFonts w:asciiTheme="minorHAnsi" w:hAnsiTheme="minorHAnsi" w:cstheme="minorHAnsi"/>
                <w:sz w:val="20"/>
                <w:szCs w:val="20"/>
              </w:rPr>
              <w:t>ou</w:t>
            </w:r>
            <w:r w:rsidRPr="005C25D7">
              <w:rPr>
                <w:rFonts w:asciiTheme="minorHAnsi" w:hAnsiTheme="minorHAnsi" w:cstheme="minorHAnsi"/>
                <w:sz w:val="20"/>
                <w:szCs w:val="20"/>
              </w:rPr>
              <w:t xml:space="preserve"> </w:t>
            </w:r>
            <w:r>
              <w:rPr>
                <w:rFonts w:asciiTheme="minorHAnsi" w:hAnsiTheme="minorHAnsi" w:cstheme="minorHAnsi"/>
                <w:sz w:val="20"/>
                <w:szCs w:val="20"/>
              </w:rPr>
              <w:t xml:space="preserve">č. </w:t>
            </w:r>
            <w:r w:rsidRPr="005C25D7">
              <w:rPr>
                <w:rFonts w:asciiTheme="minorHAnsi" w:hAnsiTheme="minorHAnsi" w:cstheme="minorHAnsi"/>
                <w:sz w:val="20"/>
                <w:szCs w:val="20"/>
              </w:rPr>
              <w:t xml:space="preserve">369/2004 Sb. </w:t>
            </w:r>
            <w:r>
              <w:rPr>
                <w:rFonts w:asciiTheme="minorHAnsi" w:hAnsiTheme="minorHAnsi" w:cstheme="minorHAnsi"/>
                <w:sz w:val="20"/>
                <w:szCs w:val="20"/>
              </w:rPr>
              <w:t xml:space="preserve">o </w:t>
            </w:r>
            <w:r w:rsidRPr="005C25D7">
              <w:rPr>
                <w:rFonts w:asciiTheme="minorHAnsi" w:hAnsiTheme="minorHAnsi" w:cstheme="minorHAnsi"/>
                <w:sz w:val="20"/>
                <w:szCs w:val="20"/>
              </w:rPr>
              <w:t>geologických pracích</w:t>
            </w:r>
            <w:r>
              <w:rPr>
                <w:rFonts w:asciiTheme="minorHAnsi" w:hAnsiTheme="minorHAnsi" w:cstheme="minorHAnsi"/>
                <w:sz w:val="20"/>
                <w:szCs w:val="20"/>
              </w:rPr>
              <w:t>.</w:t>
            </w:r>
          </w:p>
        </w:tc>
        <w:tc>
          <w:tcPr>
            <w:tcW w:w="1064" w:type="pct"/>
            <w:shd w:val="clear" w:color="auto" w:fill="F7CAAC" w:themeFill="accent2" w:themeFillTint="66"/>
          </w:tcPr>
          <w:p w14:paraId="36F6716B" w14:textId="77777777" w:rsidR="00E310E9" w:rsidRDefault="00E310E9" w:rsidP="00491D76">
            <w:pPr>
              <w:spacing w:after="0" w:line="240" w:lineRule="auto"/>
              <w:rPr>
                <w:rFonts w:asciiTheme="minorHAnsi" w:hAnsiTheme="minorHAnsi" w:cstheme="minorHAnsi"/>
                <w:sz w:val="20"/>
                <w:szCs w:val="20"/>
              </w:rPr>
            </w:pPr>
            <w:r>
              <w:rPr>
                <w:rFonts w:asciiTheme="minorHAnsi" w:hAnsiTheme="minorHAnsi" w:cstheme="minorHAnsi"/>
                <w:sz w:val="20"/>
                <w:szCs w:val="20"/>
              </w:rPr>
              <w:t>Doložit formulářem Systému evidence kontaminovaných míst</w:t>
            </w:r>
            <w:r>
              <w:rPr>
                <w:rStyle w:val="Znakapoznpodarou"/>
                <w:rFonts w:asciiTheme="minorHAnsi" w:hAnsiTheme="minorHAnsi" w:cstheme="minorHAnsi"/>
                <w:sz w:val="20"/>
                <w:szCs w:val="20"/>
              </w:rPr>
              <w:footnoteReference w:id="215"/>
            </w:r>
            <w:r>
              <w:rPr>
                <w:rFonts w:asciiTheme="minorHAnsi" w:hAnsiTheme="minorHAnsi" w:cstheme="minorHAnsi"/>
                <w:sz w:val="20"/>
                <w:szCs w:val="20"/>
              </w:rPr>
              <w:t xml:space="preserve">, případně stanoviskem Odboru environmentálních rizik a ekologických škod MŽP. </w:t>
            </w:r>
          </w:p>
        </w:tc>
        <w:tc>
          <w:tcPr>
            <w:tcW w:w="1102" w:type="pct"/>
            <w:shd w:val="clear" w:color="auto" w:fill="F7CAAC" w:themeFill="accent2" w:themeFillTint="66"/>
          </w:tcPr>
          <w:p w14:paraId="2769E72C" w14:textId="77777777" w:rsidR="00E310E9" w:rsidRDefault="00E310E9" w:rsidP="00491D76">
            <w:pPr>
              <w:spacing w:after="0" w:line="240" w:lineRule="auto"/>
              <w:rPr>
                <w:rFonts w:asciiTheme="minorHAnsi" w:hAnsiTheme="minorHAnsi" w:cstheme="minorHAnsi"/>
                <w:sz w:val="20"/>
                <w:szCs w:val="20"/>
              </w:rPr>
            </w:pPr>
          </w:p>
        </w:tc>
      </w:tr>
      <w:tr w:rsidR="00E310E9" w14:paraId="63A3C0C3" w14:textId="77777777" w:rsidTr="00491D76">
        <w:tc>
          <w:tcPr>
            <w:tcW w:w="570" w:type="pct"/>
            <w:vMerge/>
            <w:shd w:val="clear" w:color="auto" w:fill="F7CAAC" w:themeFill="accent2" w:themeFillTint="66"/>
          </w:tcPr>
          <w:p w14:paraId="4969F93D" w14:textId="77777777" w:rsidR="00E310E9" w:rsidRDefault="00E310E9" w:rsidP="00491D76">
            <w:pPr>
              <w:spacing w:after="0" w:line="240" w:lineRule="auto"/>
              <w:rPr>
                <w:rFonts w:asciiTheme="minorHAnsi" w:hAnsiTheme="minorHAnsi" w:cstheme="minorHAnsi"/>
                <w:b/>
                <w:sz w:val="20"/>
                <w:szCs w:val="20"/>
              </w:rPr>
            </w:pPr>
          </w:p>
        </w:tc>
        <w:tc>
          <w:tcPr>
            <w:tcW w:w="1150" w:type="pct"/>
            <w:shd w:val="clear" w:color="auto" w:fill="F7CAAC" w:themeFill="accent2" w:themeFillTint="66"/>
          </w:tcPr>
          <w:p w14:paraId="018B630B" w14:textId="77777777" w:rsidR="00E310E9" w:rsidRDefault="00E310E9" w:rsidP="00491D76">
            <w:pPr>
              <w:spacing w:after="0" w:line="240" w:lineRule="auto"/>
              <w:rPr>
                <w:rFonts w:asciiTheme="minorHAnsi" w:hAnsiTheme="minorHAnsi" w:cstheme="minorHAnsi"/>
                <w:color w:val="A6A6A6" w:themeColor="background1" w:themeShade="A6"/>
                <w:sz w:val="20"/>
                <w:szCs w:val="20"/>
              </w:rPr>
            </w:pPr>
            <w:r>
              <w:rPr>
                <w:rFonts w:asciiTheme="minorHAnsi" w:hAnsiTheme="minorHAnsi" w:cstheme="minorHAnsi"/>
                <w:color w:val="A6A6A6" w:themeColor="background1" w:themeShade="A6"/>
                <w:sz w:val="20"/>
                <w:szCs w:val="20"/>
              </w:rPr>
              <w:t>Přijímají se opatření ke snížení hluku, prachu a emisí znečišťujících látek při stavebních nebo údržbářských pracích.</w:t>
            </w:r>
          </w:p>
        </w:tc>
        <w:tc>
          <w:tcPr>
            <w:tcW w:w="1114" w:type="pct"/>
            <w:shd w:val="clear" w:color="auto" w:fill="F7CAAC" w:themeFill="accent2" w:themeFillTint="66"/>
          </w:tcPr>
          <w:p w14:paraId="5B635438" w14:textId="77777777" w:rsidR="00E310E9" w:rsidRDefault="00E310E9" w:rsidP="00491D76">
            <w:pPr>
              <w:spacing w:after="0" w:line="240" w:lineRule="auto"/>
              <w:rPr>
                <w:rFonts w:asciiTheme="minorHAnsi" w:hAnsiTheme="minorHAnsi" w:cstheme="minorHAnsi"/>
                <w:color w:val="A6A6A6" w:themeColor="background1" w:themeShade="A6"/>
                <w:sz w:val="20"/>
                <w:szCs w:val="20"/>
              </w:rPr>
            </w:pPr>
            <w:r>
              <w:rPr>
                <w:rFonts w:asciiTheme="minorHAnsi" w:hAnsiTheme="minorHAnsi" w:cstheme="minorHAnsi"/>
                <w:color w:val="A6A6A6" w:themeColor="background1" w:themeShade="A6"/>
                <w:sz w:val="20"/>
                <w:szCs w:val="20"/>
              </w:rPr>
              <w:t>Legislativní požadavek.</w:t>
            </w:r>
          </w:p>
          <w:p w14:paraId="0CA2BD2B" w14:textId="77777777" w:rsidR="00E310E9" w:rsidRDefault="00E310E9" w:rsidP="00491D76">
            <w:pPr>
              <w:spacing w:after="0" w:line="240" w:lineRule="auto"/>
              <w:rPr>
                <w:rFonts w:asciiTheme="minorHAnsi" w:hAnsiTheme="minorHAnsi" w:cstheme="minorHAnsi"/>
                <w:color w:val="A6A6A6" w:themeColor="background1" w:themeShade="A6"/>
                <w:sz w:val="20"/>
                <w:szCs w:val="20"/>
              </w:rPr>
            </w:pPr>
          </w:p>
          <w:p w14:paraId="5A3FCAE0" w14:textId="77777777" w:rsidR="00E310E9" w:rsidRDefault="00E310E9" w:rsidP="00491D76">
            <w:pPr>
              <w:spacing w:after="0" w:line="240" w:lineRule="auto"/>
              <w:rPr>
                <w:rFonts w:asciiTheme="minorHAnsi" w:hAnsiTheme="minorHAnsi" w:cstheme="minorHAnsi"/>
                <w:sz w:val="20"/>
                <w:szCs w:val="20"/>
              </w:rPr>
            </w:pPr>
            <w:r>
              <w:rPr>
                <w:rFonts w:asciiTheme="minorHAnsi" w:hAnsiTheme="minorHAnsi" w:cstheme="minorHAnsi"/>
                <w:sz w:val="20"/>
                <w:szCs w:val="20"/>
              </w:rPr>
              <w:t>Poučit žadatele o vhodných postupech viz</w:t>
            </w:r>
          </w:p>
          <w:p w14:paraId="5C56CC50" w14:textId="77777777" w:rsidR="00E310E9" w:rsidRPr="00ED5B33" w:rsidRDefault="00E310E9" w:rsidP="00491D76">
            <w:pPr>
              <w:pStyle w:val="Odstavecseseznamem"/>
              <w:numPr>
                <w:ilvl w:val="0"/>
                <w:numId w:val="63"/>
              </w:numPr>
              <w:spacing w:after="0" w:line="240" w:lineRule="auto"/>
              <w:rPr>
                <w:rFonts w:cstheme="minorHAnsi"/>
                <w:sz w:val="20"/>
                <w:szCs w:val="20"/>
              </w:rPr>
            </w:pPr>
            <w:r w:rsidRPr="00BF3921">
              <w:rPr>
                <w:rFonts w:asciiTheme="minorHAnsi" w:hAnsiTheme="minorHAnsi" w:cstheme="minorHAnsi"/>
                <w:sz w:val="20"/>
                <w:szCs w:val="20"/>
              </w:rPr>
              <w:t xml:space="preserve">Katalog doporučených opatření k omezení emisí ze </w:t>
            </w:r>
            <w:r w:rsidRPr="00BF3921">
              <w:rPr>
                <w:rFonts w:asciiTheme="minorHAnsi" w:hAnsiTheme="minorHAnsi" w:cstheme="minorHAnsi"/>
                <w:sz w:val="20"/>
                <w:szCs w:val="20"/>
              </w:rPr>
              <w:lastRenderedPageBreak/>
              <w:t xml:space="preserve">stavebních strojů a z dalších stavebních činností </w:t>
            </w:r>
            <w:r w:rsidRPr="00ED5B33">
              <w:rPr>
                <w:rFonts w:asciiTheme="minorHAnsi" w:hAnsiTheme="minorHAnsi" w:cstheme="minorHAnsi"/>
                <w:sz w:val="20"/>
                <w:szCs w:val="20"/>
              </w:rPr>
              <w:t>naleznete např. v Metodickém návodu Ministerstva životního prostředí</w:t>
            </w:r>
            <w:r w:rsidRPr="00ED5B33">
              <w:rPr>
                <w:rStyle w:val="Znakapoznpodarou"/>
                <w:rFonts w:asciiTheme="minorHAnsi" w:hAnsiTheme="minorHAnsi" w:cstheme="minorHAnsi"/>
                <w:sz w:val="20"/>
                <w:szCs w:val="20"/>
              </w:rPr>
              <w:footnoteReference w:id="216"/>
            </w:r>
            <w:r w:rsidRPr="00ED5B33">
              <w:rPr>
                <w:rFonts w:asciiTheme="minorHAnsi" w:hAnsiTheme="minorHAnsi" w:cstheme="minorHAnsi"/>
                <w:sz w:val="20"/>
                <w:szCs w:val="20"/>
              </w:rPr>
              <w:t>.</w:t>
            </w:r>
          </w:p>
          <w:p w14:paraId="08E90A35" w14:textId="77777777" w:rsidR="00E310E9" w:rsidRPr="00BF3921" w:rsidRDefault="00E310E9" w:rsidP="00491D76">
            <w:pPr>
              <w:pStyle w:val="Odstavecseseznamem"/>
              <w:numPr>
                <w:ilvl w:val="0"/>
                <w:numId w:val="63"/>
              </w:numPr>
              <w:spacing w:after="0" w:line="240" w:lineRule="auto"/>
              <w:rPr>
                <w:rFonts w:asciiTheme="minorHAnsi" w:hAnsiTheme="minorHAnsi" w:cstheme="minorHAnsi"/>
                <w:color w:val="A6A6A6" w:themeColor="background1" w:themeShade="A6"/>
                <w:sz w:val="18"/>
                <w:szCs w:val="18"/>
              </w:rPr>
            </w:pPr>
            <w:r w:rsidRPr="00ED5B33">
              <w:rPr>
                <w:rFonts w:cstheme="minorHAnsi"/>
                <w:sz w:val="18"/>
                <w:szCs w:val="18"/>
              </w:rPr>
              <w:t xml:space="preserve">Pro přehled nástrojů pro efektivní minimalizaci, hluku, prachu a emisí v průběhu výstavby doporučujeme </w:t>
            </w:r>
            <w:r>
              <w:rPr>
                <w:rFonts w:cstheme="minorHAnsi"/>
                <w:sz w:val="18"/>
                <w:szCs w:val="18"/>
              </w:rPr>
              <w:t xml:space="preserve">následovat </w:t>
            </w:r>
            <w:r w:rsidRPr="00ED5B33">
              <w:rPr>
                <w:rFonts w:cstheme="minorHAnsi"/>
                <w:sz w:val="18"/>
                <w:szCs w:val="18"/>
              </w:rPr>
              <w:t>Průvodce udržitelností a zásadou DNSH pro budovy</w:t>
            </w:r>
            <w:r w:rsidRPr="00ED5B33">
              <w:rPr>
                <w:rStyle w:val="Znakapoznpodarou"/>
                <w:rFonts w:cstheme="minorHAnsi"/>
                <w:sz w:val="18"/>
                <w:szCs w:val="18"/>
              </w:rPr>
              <w:footnoteReference w:id="217"/>
            </w:r>
            <w:r w:rsidRPr="00ED5B33">
              <w:rPr>
                <w:rFonts w:cstheme="minorHAnsi"/>
                <w:sz w:val="18"/>
                <w:szCs w:val="18"/>
              </w:rPr>
              <w:t>.</w:t>
            </w:r>
          </w:p>
        </w:tc>
        <w:tc>
          <w:tcPr>
            <w:tcW w:w="1064" w:type="pct"/>
            <w:shd w:val="clear" w:color="auto" w:fill="F7CAAC" w:themeFill="accent2" w:themeFillTint="66"/>
          </w:tcPr>
          <w:p w14:paraId="6F39515E" w14:textId="77777777" w:rsidR="00E310E9" w:rsidRDefault="00E310E9" w:rsidP="00491D76">
            <w:pPr>
              <w:spacing w:after="0" w:line="240" w:lineRule="auto"/>
              <w:rPr>
                <w:rFonts w:asciiTheme="minorHAnsi" w:hAnsiTheme="minorHAnsi" w:cstheme="minorHAnsi"/>
                <w:color w:val="A6A6A6" w:themeColor="background1" w:themeShade="A6"/>
                <w:sz w:val="20"/>
                <w:szCs w:val="20"/>
              </w:rPr>
            </w:pPr>
          </w:p>
        </w:tc>
        <w:tc>
          <w:tcPr>
            <w:tcW w:w="1102" w:type="pct"/>
            <w:shd w:val="clear" w:color="auto" w:fill="F7CAAC" w:themeFill="accent2" w:themeFillTint="66"/>
          </w:tcPr>
          <w:p w14:paraId="04F3733F" w14:textId="77777777" w:rsidR="00E310E9" w:rsidRDefault="00E310E9" w:rsidP="00491D76">
            <w:pPr>
              <w:spacing w:after="0" w:line="240" w:lineRule="auto"/>
              <w:rPr>
                <w:rFonts w:asciiTheme="minorHAnsi" w:hAnsiTheme="minorHAnsi" w:cstheme="minorHAnsi"/>
                <w:sz w:val="20"/>
                <w:szCs w:val="20"/>
              </w:rPr>
            </w:pPr>
            <w:r>
              <w:rPr>
                <w:rFonts w:asciiTheme="minorHAnsi" w:hAnsiTheme="minorHAnsi" w:cstheme="minorHAnsi"/>
                <w:sz w:val="20"/>
                <w:szCs w:val="20"/>
              </w:rPr>
              <w:t>Přijímají se opatření ke snížení hluku, prachu a emisí znečišťujících látek při stavebních nebo údržbářských pracích.</w:t>
            </w:r>
          </w:p>
          <w:p w14:paraId="0A98E12D" w14:textId="77777777" w:rsidR="00E310E9" w:rsidRDefault="00E310E9" w:rsidP="00491D76">
            <w:pPr>
              <w:spacing w:after="0" w:line="240" w:lineRule="auto"/>
              <w:rPr>
                <w:rFonts w:asciiTheme="minorHAnsi" w:hAnsiTheme="minorHAnsi" w:cstheme="minorHAnsi"/>
                <w:color w:val="A6A6A6" w:themeColor="background1" w:themeShade="A6"/>
                <w:sz w:val="20"/>
                <w:szCs w:val="20"/>
              </w:rPr>
            </w:pPr>
          </w:p>
          <w:p w14:paraId="2603320C" w14:textId="77777777" w:rsidR="00E310E9" w:rsidRDefault="00E310E9" w:rsidP="00491D76">
            <w:pPr>
              <w:spacing w:after="0" w:line="240" w:lineRule="auto"/>
              <w:rPr>
                <w:rFonts w:asciiTheme="minorHAnsi" w:hAnsiTheme="minorHAnsi" w:cstheme="minorHAnsi"/>
                <w:color w:val="A6A6A6" w:themeColor="background1" w:themeShade="A6"/>
                <w:sz w:val="20"/>
                <w:szCs w:val="20"/>
              </w:rPr>
            </w:pPr>
            <w:r>
              <w:rPr>
                <w:rFonts w:asciiTheme="minorHAnsi" w:hAnsiTheme="minorHAnsi" w:cstheme="minorHAnsi"/>
                <w:b/>
                <w:i/>
                <w:sz w:val="20"/>
                <w:szCs w:val="20"/>
              </w:rPr>
              <w:t xml:space="preserve">Podmínky jsou přímo podmínkami DNSH dle přílohy I a přílohy II nařízení </w:t>
            </w:r>
            <w:r>
              <w:rPr>
                <w:rFonts w:asciiTheme="minorHAnsi" w:hAnsiTheme="minorHAnsi" w:cstheme="minorHAnsi"/>
                <w:b/>
                <w:i/>
                <w:sz w:val="20"/>
                <w:szCs w:val="20"/>
              </w:rPr>
              <w:lastRenderedPageBreak/>
              <w:t>EU 2021/2139 a jsou tímto ve fondech splněny</w:t>
            </w:r>
          </w:p>
        </w:tc>
      </w:tr>
      <w:tr w:rsidR="00E310E9" w14:paraId="416D595C" w14:textId="77777777" w:rsidTr="00491D76">
        <w:tc>
          <w:tcPr>
            <w:tcW w:w="570" w:type="pct"/>
            <w:vMerge/>
            <w:shd w:val="clear" w:color="auto" w:fill="F7CAAC" w:themeFill="accent2" w:themeFillTint="66"/>
          </w:tcPr>
          <w:p w14:paraId="1C26E0D8" w14:textId="77777777" w:rsidR="00E310E9" w:rsidRDefault="00E310E9" w:rsidP="00491D76">
            <w:pPr>
              <w:spacing w:after="0" w:line="240" w:lineRule="auto"/>
              <w:rPr>
                <w:rFonts w:asciiTheme="minorHAnsi" w:hAnsiTheme="minorHAnsi" w:cstheme="minorHAnsi"/>
                <w:b/>
                <w:sz w:val="20"/>
                <w:szCs w:val="20"/>
              </w:rPr>
            </w:pPr>
          </w:p>
        </w:tc>
        <w:tc>
          <w:tcPr>
            <w:tcW w:w="1150" w:type="pct"/>
            <w:shd w:val="clear" w:color="auto" w:fill="F7CAAC" w:themeFill="accent2" w:themeFillTint="66"/>
          </w:tcPr>
          <w:p w14:paraId="1A8C7671" w14:textId="77777777" w:rsidR="00E310E9" w:rsidRDefault="00E310E9" w:rsidP="00491D76">
            <w:pPr>
              <w:spacing w:after="0" w:line="240" w:lineRule="auto"/>
              <w:rPr>
                <w:rFonts w:asciiTheme="minorHAnsi" w:hAnsiTheme="minorHAnsi" w:cstheme="minorHAnsi"/>
                <w:color w:val="A6A6A6" w:themeColor="background1" w:themeShade="A6"/>
                <w:sz w:val="20"/>
                <w:szCs w:val="20"/>
              </w:rPr>
            </w:pPr>
            <w:r>
              <w:rPr>
                <w:rFonts w:asciiTheme="minorHAnsi" w:hAnsiTheme="minorHAnsi" w:cstheme="minorHAnsi"/>
                <w:bCs/>
                <w:sz w:val="20"/>
                <w:szCs w:val="20"/>
              </w:rPr>
              <w:t>Minimalizace negativního dopadu světelného znečištění na životní prostředí</w:t>
            </w:r>
          </w:p>
        </w:tc>
        <w:tc>
          <w:tcPr>
            <w:tcW w:w="1114" w:type="pct"/>
            <w:shd w:val="clear" w:color="auto" w:fill="F7CAAC" w:themeFill="accent2" w:themeFillTint="66"/>
          </w:tcPr>
          <w:p w14:paraId="19A89AD4" w14:textId="77777777" w:rsidR="00E310E9" w:rsidRPr="00C35425" w:rsidRDefault="00E310E9" w:rsidP="00491D76">
            <w:pPr>
              <w:spacing w:after="0" w:line="240" w:lineRule="auto"/>
              <w:rPr>
                <w:rFonts w:asciiTheme="minorHAnsi" w:hAnsiTheme="minorHAnsi" w:cstheme="minorHAnsi"/>
                <w:sz w:val="20"/>
                <w:szCs w:val="20"/>
              </w:rPr>
            </w:pPr>
            <w:r w:rsidRPr="00C35425">
              <w:rPr>
                <w:rFonts w:asciiTheme="minorHAnsi" w:hAnsiTheme="minorHAnsi" w:cstheme="minorHAnsi"/>
                <w:sz w:val="20"/>
                <w:szCs w:val="20"/>
              </w:rPr>
              <w:t xml:space="preserve">Nastavení podmínek podpory. </w:t>
            </w:r>
          </w:p>
          <w:p w14:paraId="74487F52" w14:textId="77777777" w:rsidR="00E310E9" w:rsidRPr="00C35425" w:rsidRDefault="00E310E9" w:rsidP="00491D76">
            <w:pPr>
              <w:spacing w:after="0" w:line="240" w:lineRule="auto"/>
              <w:rPr>
                <w:rFonts w:asciiTheme="minorHAnsi" w:hAnsiTheme="minorHAnsi" w:cstheme="minorHAnsi"/>
                <w:sz w:val="20"/>
                <w:szCs w:val="20"/>
              </w:rPr>
            </w:pPr>
          </w:p>
          <w:p w14:paraId="1C49517F" w14:textId="77777777" w:rsidR="00E310E9" w:rsidRPr="00C35425" w:rsidRDefault="00E310E9" w:rsidP="00491D76">
            <w:pPr>
              <w:spacing w:after="0" w:line="240" w:lineRule="auto"/>
              <w:rPr>
                <w:rFonts w:asciiTheme="minorHAnsi" w:hAnsiTheme="minorHAnsi" w:cstheme="minorHAnsi"/>
                <w:sz w:val="20"/>
                <w:szCs w:val="20"/>
              </w:rPr>
            </w:pPr>
          </w:p>
          <w:p w14:paraId="43C82D68" w14:textId="77777777" w:rsidR="00E310E9" w:rsidRDefault="00E310E9" w:rsidP="00491D76">
            <w:pPr>
              <w:pStyle w:val="Odstavecseseznamem"/>
              <w:numPr>
                <w:ilvl w:val="0"/>
                <w:numId w:val="59"/>
              </w:numPr>
              <w:spacing w:after="0" w:line="240" w:lineRule="auto"/>
              <w:rPr>
                <w:rFonts w:asciiTheme="minorHAnsi" w:hAnsiTheme="minorHAnsi" w:cstheme="minorHAnsi"/>
                <w:sz w:val="20"/>
                <w:szCs w:val="20"/>
              </w:rPr>
            </w:pPr>
            <w:r>
              <w:rPr>
                <w:rFonts w:asciiTheme="minorHAnsi" w:hAnsiTheme="minorHAnsi" w:cstheme="minorHAnsi"/>
                <w:sz w:val="20"/>
                <w:szCs w:val="20"/>
              </w:rPr>
              <w:t>P</w:t>
            </w:r>
            <w:r w:rsidRPr="001A199F">
              <w:rPr>
                <w:rFonts w:asciiTheme="minorHAnsi" w:hAnsiTheme="minorHAnsi" w:cstheme="minorHAnsi"/>
                <w:sz w:val="20"/>
                <w:szCs w:val="20"/>
              </w:rPr>
              <w:t>ři výměně či nové instalaci</w:t>
            </w:r>
            <w:r>
              <w:rPr>
                <w:rFonts w:asciiTheme="minorHAnsi" w:hAnsiTheme="minorHAnsi" w:cstheme="minorHAnsi"/>
                <w:sz w:val="20"/>
                <w:szCs w:val="20"/>
              </w:rPr>
              <w:t xml:space="preserve"> osvětlení</w:t>
            </w:r>
            <w:r w:rsidRPr="001A199F">
              <w:rPr>
                <w:rFonts w:asciiTheme="minorHAnsi" w:hAnsiTheme="minorHAnsi" w:cstheme="minorHAnsi"/>
                <w:sz w:val="20"/>
                <w:szCs w:val="20"/>
              </w:rPr>
              <w:t xml:space="preserve"> </w:t>
            </w:r>
            <w:r>
              <w:rPr>
                <w:rFonts w:asciiTheme="minorHAnsi" w:hAnsiTheme="minorHAnsi" w:cstheme="minorHAnsi"/>
                <w:sz w:val="20"/>
                <w:szCs w:val="20"/>
              </w:rPr>
              <w:t xml:space="preserve">je nutné </w:t>
            </w:r>
            <w:r w:rsidRPr="001A199F">
              <w:rPr>
                <w:rFonts w:asciiTheme="minorHAnsi" w:hAnsiTheme="minorHAnsi" w:cstheme="minorHAnsi"/>
                <w:sz w:val="20"/>
                <w:szCs w:val="20"/>
              </w:rPr>
              <w:t>vycházet</w:t>
            </w:r>
            <w:r>
              <w:rPr>
                <w:rFonts w:asciiTheme="minorHAnsi" w:hAnsiTheme="minorHAnsi" w:cstheme="minorHAnsi"/>
                <w:sz w:val="20"/>
                <w:szCs w:val="20"/>
              </w:rPr>
              <w:t xml:space="preserve"> z 5 principů zodpovědného osvětlování dle asociace </w:t>
            </w:r>
            <w:hyperlink r:id="rId151" w:history="1">
              <w:proofErr w:type="spellStart"/>
              <w:r w:rsidRPr="0005304B">
                <w:rPr>
                  <w:rStyle w:val="Hypertextovodkaz"/>
                  <w:rFonts w:asciiTheme="minorHAnsi" w:hAnsiTheme="minorHAnsi" w:cstheme="minorHAnsi"/>
                  <w:sz w:val="20"/>
                  <w:szCs w:val="20"/>
                </w:rPr>
                <w:t>DarkSky</w:t>
              </w:r>
              <w:proofErr w:type="spellEnd"/>
              <w:r w:rsidRPr="0005304B">
                <w:rPr>
                  <w:rStyle w:val="Hypertextovodkaz"/>
                  <w:rFonts w:asciiTheme="minorHAnsi" w:hAnsiTheme="minorHAnsi" w:cstheme="minorHAnsi"/>
                  <w:sz w:val="20"/>
                  <w:szCs w:val="20"/>
                </w:rPr>
                <w:t xml:space="preserve"> International</w:t>
              </w:r>
            </w:hyperlink>
            <w:r>
              <w:rPr>
                <w:rFonts w:asciiTheme="minorHAnsi" w:hAnsiTheme="minorHAnsi" w:cstheme="minorHAnsi"/>
                <w:sz w:val="20"/>
                <w:szCs w:val="20"/>
              </w:rPr>
              <w:t xml:space="preserve">. </w:t>
            </w:r>
          </w:p>
          <w:p w14:paraId="7182D86D" w14:textId="77777777" w:rsidR="00E310E9" w:rsidRPr="001A199F" w:rsidRDefault="00E310E9" w:rsidP="00491D76">
            <w:pPr>
              <w:pStyle w:val="Odstavecseseznamem"/>
              <w:numPr>
                <w:ilvl w:val="0"/>
                <w:numId w:val="59"/>
              </w:numPr>
              <w:spacing w:after="0" w:line="240" w:lineRule="auto"/>
              <w:rPr>
                <w:rFonts w:asciiTheme="minorHAnsi" w:hAnsiTheme="minorHAnsi" w:cstheme="minorHAnsi"/>
                <w:color w:val="A6A6A6" w:themeColor="background1" w:themeShade="A6"/>
                <w:sz w:val="20"/>
                <w:szCs w:val="20"/>
              </w:rPr>
            </w:pPr>
            <w:r w:rsidRPr="009F131A">
              <w:rPr>
                <w:rFonts w:asciiTheme="minorHAnsi" w:hAnsiTheme="minorHAnsi" w:cstheme="minorHAnsi"/>
                <w:sz w:val="20"/>
                <w:szCs w:val="20"/>
              </w:rPr>
              <w:t>Pro snížení negativního dopadu na životní prostředí, je nezbytné postupovat v souladu s technickou normou ČSN 360459 Omezování nežádoucích dopadů venkovního osvětlení a omezovat využití zdrojů s vysokým podílem krátkovlnného záření (do 500nm).</w:t>
            </w:r>
          </w:p>
        </w:tc>
        <w:tc>
          <w:tcPr>
            <w:tcW w:w="1064" w:type="pct"/>
            <w:shd w:val="clear" w:color="auto" w:fill="F7CAAC" w:themeFill="accent2" w:themeFillTint="66"/>
          </w:tcPr>
          <w:p w14:paraId="43B5D225" w14:textId="77777777" w:rsidR="00E310E9" w:rsidRDefault="00E310E9" w:rsidP="00491D76">
            <w:pPr>
              <w:spacing w:after="0" w:line="240" w:lineRule="auto"/>
              <w:rPr>
                <w:rFonts w:asciiTheme="minorHAnsi" w:hAnsiTheme="minorHAnsi" w:cstheme="minorHAnsi"/>
                <w:color w:val="A6A6A6" w:themeColor="background1" w:themeShade="A6"/>
                <w:sz w:val="20"/>
                <w:szCs w:val="20"/>
              </w:rPr>
            </w:pPr>
            <w:r>
              <w:rPr>
                <w:rFonts w:asciiTheme="minorHAnsi" w:hAnsiTheme="minorHAnsi" w:cstheme="minorHAnsi"/>
                <w:sz w:val="20"/>
                <w:szCs w:val="20"/>
              </w:rPr>
              <w:t>V rámci žádosti o podporu vyžadovat čestné prohlášení o zapracování opatření k minimalizaci negativního dopadu světelného znečištění do projektové dokumentace a jejich provedení.</w:t>
            </w:r>
          </w:p>
        </w:tc>
        <w:tc>
          <w:tcPr>
            <w:tcW w:w="1102" w:type="pct"/>
            <w:shd w:val="clear" w:color="auto" w:fill="F7CAAC" w:themeFill="accent2" w:themeFillTint="66"/>
          </w:tcPr>
          <w:p w14:paraId="314BBBB8" w14:textId="77777777" w:rsidR="00E310E9" w:rsidRDefault="00E310E9" w:rsidP="00491D76">
            <w:pPr>
              <w:spacing w:after="0" w:line="240" w:lineRule="auto"/>
              <w:rPr>
                <w:rFonts w:asciiTheme="minorHAnsi" w:hAnsiTheme="minorHAnsi" w:cstheme="minorHAnsi"/>
                <w:sz w:val="20"/>
                <w:szCs w:val="20"/>
              </w:rPr>
            </w:pPr>
          </w:p>
        </w:tc>
      </w:tr>
      <w:tr w:rsidR="00E310E9" w14:paraId="50D612CB" w14:textId="77777777" w:rsidTr="00491D76">
        <w:tc>
          <w:tcPr>
            <w:tcW w:w="570" w:type="pct"/>
            <w:vMerge/>
            <w:shd w:val="clear" w:color="auto" w:fill="F7CAAC" w:themeFill="accent2" w:themeFillTint="66"/>
          </w:tcPr>
          <w:p w14:paraId="1B09FE42" w14:textId="77777777" w:rsidR="00E310E9" w:rsidRDefault="00E310E9" w:rsidP="00491D76">
            <w:pPr>
              <w:spacing w:after="0" w:line="240" w:lineRule="auto"/>
              <w:rPr>
                <w:rFonts w:asciiTheme="minorHAnsi" w:hAnsiTheme="minorHAnsi" w:cstheme="minorHAnsi"/>
                <w:b/>
                <w:sz w:val="20"/>
                <w:szCs w:val="20"/>
              </w:rPr>
            </w:pPr>
          </w:p>
        </w:tc>
        <w:tc>
          <w:tcPr>
            <w:tcW w:w="1150" w:type="pct"/>
            <w:shd w:val="clear" w:color="auto" w:fill="F7CAAC" w:themeFill="accent2" w:themeFillTint="66"/>
          </w:tcPr>
          <w:p w14:paraId="696BE9AA" w14:textId="77777777" w:rsidR="00E310E9" w:rsidRDefault="00E310E9" w:rsidP="00491D76">
            <w:pPr>
              <w:spacing w:after="0" w:line="240" w:lineRule="auto"/>
              <w:rPr>
                <w:rFonts w:asciiTheme="minorHAnsi" w:hAnsiTheme="minorHAnsi" w:cstheme="minorHAnsi"/>
                <w:bCs/>
                <w:sz w:val="20"/>
                <w:szCs w:val="20"/>
              </w:rPr>
            </w:pPr>
            <w:r w:rsidRPr="006A45B6">
              <w:rPr>
                <w:rFonts w:asciiTheme="minorHAnsi" w:hAnsiTheme="minorHAnsi" w:cstheme="minorHAnsi"/>
                <w:bCs/>
                <w:sz w:val="20"/>
                <w:szCs w:val="20"/>
              </w:rPr>
              <w:t xml:space="preserve">Omezení využívání látek vzbuzujících mimořádné obavy (SVHC) (viz </w:t>
            </w:r>
            <w:hyperlink r:id="rId152" w:history="1">
              <w:r w:rsidRPr="006A45B6">
                <w:rPr>
                  <w:rStyle w:val="Hypertextovodkaz"/>
                  <w:rFonts w:asciiTheme="minorHAnsi" w:hAnsiTheme="minorHAnsi" w:cstheme="minorHAnsi"/>
                  <w:bCs/>
                  <w:sz w:val="20"/>
                  <w:szCs w:val="20"/>
                </w:rPr>
                <w:t xml:space="preserve">Seznam látek vzbuzujících mimořádné obavy podléhajících </w:t>
              </w:r>
              <w:proofErr w:type="gramStart"/>
              <w:r w:rsidRPr="006A45B6">
                <w:rPr>
                  <w:rStyle w:val="Hypertextovodkaz"/>
                  <w:rFonts w:asciiTheme="minorHAnsi" w:hAnsiTheme="minorHAnsi" w:cstheme="minorHAnsi"/>
                  <w:bCs/>
                  <w:sz w:val="20"/>
                  <w:szCs w:val="20"/>
                </w:rPr>
                <w:t>povolení - ECHA</w:t>
              </w:r>
              <w:proofErr w:type="gramEnd"/>
            </w:hyperlink>
            <w:r w:rsidRPr="006A45B6">
              <w:rPr>
                <w:rFonts w:asciiTheme="minorHAnsi" w:hAnsiTheme="minorHAnsi" w:cstheme="minorHAnsi"/>
                <w:bCs/>
                <w:sz w:val="20"/>
                <w:szCs w:val="20"/>
              </w:rPr>
              <w:t xml:space="preserve">). Tyto látky jsou definovány nařízením Evropského </w:t>
            </w:r>
            <w:r w:rsidRPr="006A45B6">
              <w:rPr>
                <w:rFonts w:asciiTheme="minorHAnsi" w:hAnsiTheme="minorHAnsi" w:cstheme="minorHAnsi"/>
                <w:bCs/>
                <w:sz w:val="20"/>
                <w:szCs w:val="20"/>
              </w:rPr>
              <w:lastRenderedPageBreak/>
              <w:t>parlamentu a Rady (ES) č. 1907/2006 o registraci, hodnocení, povolování a omezování chemických látek (REACH) jako nebezpečné chemické látky</w:t>
            </w:r>
            <w:r w:rsidRPr="00A64A04">
              <w:rPr>
                <w:rFonts w:asciiTheme="minorHAnsi" w:hAnsiTheme="minorHAnsi" w:cstheme="minorHAnsi"/>
                <w:bCs/>
                <w:sz w:val="20"/>
                <w:szCs w:val="20"/>
              </w:rPr>
              <w:t>.</w:t>
            </w:r>
          </w:p>
        </w:tc>
        <w:tc>
          <w:tcPr>
            <w:tcW w:w="1114" w:type="pct"/>
            <w:shd w:val="clear" w:color="auto" w:fill="F7CAAC" w:themeFill="accent2" w:themeFillTint="66"/>
          </w:tcPr>
          <w:p w14:paraId="6BF007BB" w14:textId="77777777" w:rsidR="00E310E9" w:rsidRDefault="00E310E9" w:rsidP="00491D76">
            <w:pPr>
              <w:spacing w:after="0" w:line="240" w:lineRule="auto"/>
              <w:rPr>
                <w:rFonts w:asciiTheme="minorHAnsi" w:hAnsiTheme="minorHAnsi" w:cstheme="minorHAnsi"/>
                <w:sz w:val="20"/>
                <w:szCs w:val="20"/>
              </w:rPr>
            </w:pPr>
            <w:r>
              <w:rPr>
                <w:rFonts w:asciiTheme="minorHAnsi" w:hAnsiTheme="minorHAnsi" w:cstheme="minorHAnsi"/>
                <w:sz w:val="20"/>
                <w:szCs w:val="20"/>
              </w:rPr>
              <w:lastRenderedPageBreak/>
              <w:t>Nastavení podmínek podpory.</w:t>
            </w:r>
          </w:p>
          <w:p w14:paraId="72657D21" w14:textId="77777777" w:rsidR="00E310E9" w:rsidRDefault="00E310E9" w:rsidP="00491D76">
            <w:pPr>
              <w:spacing w:after="0" w:line="240" w:lineRule="auto"/>
              <w:rPr>
                <w:rFonts w:asciiTheme="minorHAnsi" w:hAnsiTheme="minorHAnsi" w:cstheme="minorHAnsi"/>
                <w:sz w:val="20"/>
                <w:szCs w:val="20"/>
              </w:rPr>
            </w:pPr>
          </w:p>
          <w:p w14:paraId="3A7E3FEB" w14:textId="77777777" w:rsidR="00E310E9" w:rsidRPr="00C35425" w:rsidRDefault="00E310E9" w:rsidP="00491D76">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Žadatel by měl prověřit, zda připravovaný projekt zahrnuje použití </w:t>
            </w:r>
            <w:r>
              <w:rPr>
                <w:rFonts w:asciiTheme="minorHAnsi" w:hAnsiTheme="minorHAnsi" w:cstheme="minorHAnsi"/>
                <w:sz w:val="20"/>
                <w:szCs w:val="20"/>
              </w:rPr>
              <w:lastRenderedPageBreak/>
              <w:t>SVHC látek</w:t>
            </w:r>
            <w:r>
              <w:rPr>
                <w:rStyle w:val="Znakapoznpodarou"/>
                <w:rFonts w:asciiTheme="minorHAnsi" w:hAnsiTheme="minorHAnsi" w:cstheme="minorHAnsi"/>
                <w:sz w:val="20"/>
                <w:szCs w:val="20"/>
              </w:rPr>
              <w:footnoteReference w:id="218"/>
            </w:r>
            <w:r>
              <w:rPr>
                <w:rFonts w:asciiTheme="minorHAnsi" w:hAnsiTheme="minorHAnsi" w:cstheme="minorHAnsi"/>
                <w:sz w:val="20"/>
                <w:szCs w:val="20"/>
              </w:rPr>
              <w:t xml:space="preserve"> a případně zvážit možnost jejich náhrady bezpečnějšími alternativami, pokud jsou dostupné. V případě, že není možné se látkám SVHC vyhnout, mělo by být součástí projektové dokumentace odůvodnění, proč není možné látky nahradit bezpečnější alternativou (např. technická nemožnost, neexistence alternativy)</w:t>
            </w:r>
          </w:p>
        </w:tc>
        <w:tc>
          <w:tcPr>
            <w:tcW w:w="1064" w:type="pct"/>
            <w:shd w:val="clear" w:color="auto" w:fill="F7CAAC" w:themeFill="accent2" w:themeFillTint="66"/>
          </w:tcPr>
          <w:p w14:paraId="1866E7A0" w14:textId="77777777" w:rsidR="00E310E9" w:rsidRDefault="00E310E9" w:rsidP="00491D76">
            <w:pPr>
              <w:spacing w:after="0" w:line="240" w:lineRule="auto"/>
              <w:rPr>
                <w:rFonts w:asciiTheme="minorHAnsi" w:hAnsiTheme="minorHAnsi" w:cstheme="minorHAnsi"/>
                <w:sz w:val="20"/>
                <w:szCs w:val="20"/>
              </w:rPr>
            </w:pPr>
            <w:r>
              <w:rPr>
                <w:rFonts w:asciiTheme="minorHAnsi" w:hAnsiTheme="minorHAnsi" w:cstheme="minorHAnsi"/>
                <w:sz w:val="20"/>
                <w:szCs w:val="20"/>
              </w:rPr>
              <w:lastRenderedPageBreak/>
              <w:t>Sledování plnění tohoto ustanovení při kontrole projektové dokumentace předkládané v rámci žádosti o podporu a dále v rámci kontrolní činnosti u realizovaných projektů.</w:t>
            </w:r>
          </w:p>
          <w:p w14:paraId="3ED0A304" w14:textId="77777777" w:rsidR="00E310E9" w:rsidRDefault="00E310E9" w:rsidP="00491D76">
            <w:pPr>
              <w:spacing w:after="0" w:line="240" w:lineRule="auto"/>
              <w:rPr>
                <w:rFonts w:asciiTheme="minorHAnsi" w:hAnsiTheme="minorHAnsi" w:cstheme="minorHAnsi"/>
                <w:sz w:val="20"/>
                <w:szCs w:val="20"/>
              </w:rPr>
            </w:pPr>
          </w:p>
          <w:p w14:paraId="650AABA4" w14:textId="77777777" w:rsidR="00E310E9" w:rsidRDefault="00E310E9" w:rsidP="00491D76">
            <w:pPr>
              <w:spacing w:after="0" w:line="240" w:lineRule="auto"/>
              <w:rPr>
                <w:rFonts w:asciiTheme="minorHAnsi" w:hAnsiTheme="minorHAnsi" w:cstheme="minorHAnsi"/>
                <w:sz w:val="20"/>
                <w:szCs w:val="20"/>
              </w:rPr>
            </w:pPr>
            <w:r>
              <w:rPr>
                <w:rFonts w:asciiTheme="minorHAnsi" w:hAnsiTheme="minorHAnsi" w:cstheme="minorHAnsi"/>
                <w:sz w:val="20"/>
                <w:szCs w:val="20"/>
              </w:rPr>
              <w:t>Alternativně se doporučuje vyžadovat čestné prohlášení žadatele, že při své činnosti nepoužívá látky SVHC. P</w:t>
            </w:r>
            <w:r w:rsidRPr="0089676B">
              <w:rPr>
                <w:rFonts w:asciiTheme="minorHAnsi" w:hAnsiTheme="minorHAnsi" w:cstheme="minorHAnsi"/>
                <w:sz w:val="20"/>
                <w:szCs w:val="20"/>
              </w:rPr>
              <w:t xml:space="preserve">ři fyzické kontrole stavby </w:t>
            </w:r>
            <w:r>
              <w:rPr>
                <w:rFonts w:asciiTheme="minorHAnsi" w:hAnsiTheme="minorHAnsi" w:cstheme="minorHAnsi"/>
                <w:sz w:val="20"/>
                <w:szCs w:val="20"/>
              </w:rPr>
              <w:t xml:space="preserve">pak </w:t>
            </w:r>
            <w:r w:rsidRPr="0089676B">
              <w:rPr>
                <w:rFonts w:asciiTheme="minorHAnsi" w:hAnsiTheme="minorHAnsi" w:cstheme="minorHAnsi"/>
                <w:sz w:val="20"/>
                <w:szCs w:val="20"/>
              </w:rPr>
              <w:t>mohou být ověřeny dodané materiály (štítky, označení CE, bezpečnostní listy).</w:t>
            </w:r>
          </w:p>
        </w:tc>
        <w:tc>
          <w:tcPr>
            <w:tcW w:w="1102" w:type="pct"/>
            <w:shd w:val="clear" w:color="auto" w:fill="F7CAAC" w:themeFill="accent2" w:themeFillTint="66"/>
          </w:tcPr>
          <w:p w14:paraId="65678E97" w14:textId="77777777" w:rsidR="00E310E9" w:rsidRDefault="00E310E9" w:rsidP="00491D76">
            <w:pPr>
              <w:spacing w:after="0" w:line="240" w:lineRule="auto"/>
              <w:rPr>
                <w:rFonts w:asciiTheme="minorHAnsi" w:hAnsiTheme="minorHAnsi" w:cstheme="minorHAnsi"/>
                <w:sz w:val="20"/>
                <w:szCs w:val="20"/>
              </w:rPr>
            </w:pPr>
          </w:p>
        </w:tc>
      </w:tr>
      <w:tr w:rsidR="00E310E9" w14:paraId="48BE80AA" w14:textId="77777777" w:rsidTr="00491D76">
        <w:tc>
          <w:tcPr>
            <w:tcW w:w="570" w:type="pct"/>
            <w:shd w:val="clear" w:color="auto" w:fill="C5E0B3" w:themeFill="accent6" w:themeFillTint="66"/>
          </w:tcPr>
          <w:p w14:paraId="3F9BCAB7" w14:textId="77777777" w:rsidR="00E310E9" w:rsidRDefault="00E310E9" w:rsidP="00491D76">
            <w:pPr>
              <w:spacing w:after="0" w:line="240" w:lineRule="auto"/>
              <w:rPr>
                <w:rFonts w:asciiTheme="minorHAnsi" w:hAnsiTheme="minorHAnsi" w:cstheme="minorHAnsi"/>
                <w:b/>
                <w:sz w:val="20"/>
                <w:szCs w:val="20"/>
              </w:rPr>
            </w:pPr>
            <w:r>
              <w:rPr>
                <w:rFonts w:asciiTheme="minorHAnsi" w:hAnsiTheme="minorHAnsi" w:cstheme="minorHAnsi"/>
                <w:b/>
                <w:sz w:val="20"/>
                <w:szCs w:val="20"/>
              </w:rPr>
              <w:t>Ochrana a obnova biologické rozmanitosti a ekosystémů</w:t>
            </w:r>
          </w:p>
        </w:tc>
        <w:tc>
          <w:tcPr>
            <w:tcW w:w="1150" w:type="pct"/>
            <w:shd w:val="clear" w:color="auto" w:fill="C5E0B3" w:themeFill="accent6" w:themeFillTint="66"/>
          </w:tcPr>
          <w:p w14:paraId="56BCA792" w14:textId="77777777" w:rsidR="00E310E9" w:rsidRDefault="00E310E9" w:rsidP="00491D76">
            <w:pPr>
              <w:spacing w:after="0" w:line="240" w:lineRule="auto"/>
              <w:rPr>
                <w:rFonts w:asciiTheme="minorHAnsi" w:hAnsiTheme="minorHAnsi" w:cstheme="minorHAnsi"/>
                <w:sz w:val="20"/>
                <w:szCs w:val="20"/>
              </w:rPr>
            </w:pPr>
            <w:r>
              <w:rPr>
                <w:rFonts w:asciiTheme="minorHAnsi" w:hAnsiTheme="minorHAnsi" w:cstheme="minorHAnsi"/>
                <w:sz w:val="20"/>
                <w:szCs w:val="20"/>
              </w:rPr>
              <w:t>Rekonstrukce</w:t>
            </w:r>
            <w:r w:rsidRPr="00927F0E">
              <w:rPr>
                <w:rFonts w:asciiTheme="minorHAnsi" w:hAnsiTheme="minorHAnsi" w:cstheme="minorHAnsi"/>
                <w:sz w:val="20"/>
                <w:szCs w:val="20"/>
              </w:rPr>
              <w:t xml:space="preserve"> budovy:</w:t>
            </w:r>
          </w:p>
          <w:p w14:paraId="1E7564C2" w14:textId="77777777" w:rsidR="00E310E9" w:rsidRPr="00927F0E" w:rsidRDefault="00E310E9" w:rsidP="00491D76">
            <w:pPr>
              <w:spacing w:after="0" w:line="240" w:lineRule="auto"/>
              <w:rPr>
                <w:rFonts w:asciiTheme="minorHAnsi" w:hAnsiTheme="minorHAnsi" w:cstheme="minorHAnsi"/>
                <w:sz w:val="20"/>
                <w:szCs w:val="20"/>
              </w:rPr>
            </w:pPr>
          </w:p>
          <w:p w14:paraId="18A71C5A" w14:textId="77777777" w:rsidR="00E310E9" w:rsidRDefault="00E310E9" w:rsidP="00491D76">
            <w:pPr>
              <w:spacing w:after="0" w:line="240" w:lineRule="auto"/>
              <w:rPr>
                <w:rFonts w:asciiTheme="minorHAnsi" w:hAnsiTheme="minorHAnsi" w:cstheme="minorHAnsi"/>
                <w:sz w:val="20"/>
                <w:szCs w:val="20"/>
              </w:rPr>
            </w:pPr>
            <w:r w:rsidRPr="00D77C59">
              <w:rPr>
                <w:rFonts w:asciiTheme="minorHAnsi" w:hAnsiTheme="minorHAnsi" w:cstheme="minorHAnsi"/>
                <w:sz w:val="20"/>
                <w:szCs w:val="20"/>
                <w:u w:val="single"/>
              </w:rPr>
              <w:t>a) v případě rozšíření budovy</w:t>
            </w:r>
            <w:r>
              <w:rPr>
                <w:rFonts w:asciiTheme="minorHAnsi" w:hAnsiTheme="minorHAnsi" w:cstheme="minorHAnsi"/>
                <w:sz w:val="20"/>
                <w:szCs w:val="20"/>
              </w:rPr>
              <w:t xml:space="preserve"> </w:t>
            </w:r>
            <w:r w:rsidRPr="00142A82">
              <w:rPr>
                <w:rFonts w:asciiTheme="minorHAnsi" w:hAnsiTheme="minorHAnsi" w:cstheme="minorHAnsi"/>
                <w:sz w:val="20"/>
                <w:szCs w:val="20"/>
              </w:rPr>
              <w:t>není realizována na zemědělské půdě zařazené do I. nebo II. třídy ochrany dle BPEJ, a současně pro III. – V. třídu před rozhodnutím o přidělení dotace již bylo posouzeno odnětí zemědělské půdy ze zemědělského půdního fondu, a to s kladným výsledkem;</w:t>
            </w:r>
          </w:p>
          <w:p w14:paraId="5DF7732C" w14:textId="77777777" w:rsidR="00E310E9" w:rsidRDefault="00E310E9" w:rsidP="00491D76">
            <w:pPr>
              <w:spacing w:after="0" w:line="240" w:lineRule="auto"/>
              <w:rPr>
                <w:rFonts w:asciiTheme="minorHAnsi" w:hAnsiTheme="minorHAnsi" w:cstheme="minorHAnsi"/>
                <w:sz w:val="20"/>
                <w:szCs w:val="20"/>
              </w:rPr>
            </w:pPr>
          </w:p>
          <w:p w14:paraId="790A4DF3" w14:textId="77777777" w:rsidR="00E310E9" w:rsidRDefault="00E310E9" w:rsidP="00491D76">
            <w:pPr>
              <w:spacing w:after="0" w:line="240" w:lineRule="auto"/>
              <w:rPr>
                <w:rFonts w:asciiTheme="minorHAnsi" w:hAnsiTheme="minorHAnsi" w:cstheme="minorHAnsi"/>
                <w:sz w:val="20"/>
                <w:szCs w:val="20"/>
              </w:rPr>
            </w:pPr>
          </w:p>
          <w:p w14:paraId="1B5D63DB" w14:textId="77777777" w:rsidR="00E310E9" w:rsidRDefault="00E310E9" w:rsidP="00491D76">
            <w:pPr>
              <w:spacing w:after="0" w:line="240" w:lineRule="auto"/>
              <w:rPr>
                <w:rFonts w:asciiTheme="minorHAnsi" w:hAnsiTheme="minorHAnsi" w:cstheme="minorHAnsi"/>
                <w:color w:val="808080" w:themeColor="background1" w:themeShade="80"/>
                <w:sz w:val="20"/>
                <w:szCs w:val="20"/>
              </w:rPr>
            </w:pPr>
            <w:r>
              <w:rPr>
                <w:rFonts w:asciiTheme="minorHAnsi" w:hAnsiTheme="minorHAnsi" w:cstheme="minorHAnsi"/>
                <w:color w:val="808080" w:themeColor="background1" w:themeShade="80"/>
                <w:sz w:val="20"/>
                <w:szCs w:val="20"/>
                <w:u w:val="single"/>
              </w:rPr>
              <w:t>b</w:t>
            </w:r>
            <w:r w:rsidRPr="00D77C59">
              <w:rPr>
                <w:rFonts w:asciiTheme="minorHAnsi" w:hAnsiTheme="minorHAnsi" w:cstheme="minorHAnsi"/>
                <w:color w:val="808080" w:themeColor="background1" w:themeShade="80"/>
                <w:sz w:val="20"/>
                <w:szCs w:val="20"/>
                <w:u w:val="single"/>
              </w:rPr>
              <w:t>) v případě rozšíření budovy</w:t>
            </w:r>
            <w:r>
              <w:rPr>
                <w:rFonts w:asciiTheme="minorHAnsi" w:hAnsiTheme="minorHAnsi" w:cstheme="minorHAnsi"/>
                <w:color w:val="808080" w:themeColor="background1" w:themeShade="80"/>
                <w:sz w:val="20"/>
                <w:szCs w:val="20"/>
              </w:rPr>
              <w:t xml:space="preserve"> nevede k záboru </w:t>
            </w:r>
            <w:r w:rsidRPr="00803E86">
              <w:rPr>
                <w:rFonts w:asciiTheme="minorHAnsi" w:hAnsiTheme="minorHAnsi" w:cstheme="minorHAnsi"/>
                <w:color w:val="808080" w:themeColor="background1" w:themeShade="80"/>
                <w:sz w:val="20"/>
                <w:szCs w:val="20"/>
              </w:rPr>
              <w:t>půd</w:t>
            </w:r>
            <w:r>
              <w:rPr>
                <w:rFonts w:asciiTheme="minorHAnsi" w:hAnsiTheme="minorHAnsi" w:cstheme="minorHAnsi"/>
                <w:color w:val="808080" w:themeColor="background1" w:themeShade="80"/>
                <w:sz w:val="20"/>
                <w:szCs w:val="20"/>
              </w:rPr>
              <w:t>y</w:t>
            </w:r>
            <w:r w:rsidRPr="00803E86">
              <w:rPr>
                <w:rFonts w:asciiTheme="minorHAnsi" w:hAnsiTheme="minorHAnsi" w:cstheme="minorHAnsi"/>
                <w:color w:val="808080" w:themeColor="background1" w:themeShade="80"/>
                <w:sz w:val="20"/>
                <w:szCs w:val="20"/>
              </w:rPr>
              <w:t>, která odpovídá definici lesa stanovené ve vnitrostátních právních předpisech nebo používané v národní inventuře skleníkových plynů, nebo pokud taková definice neexistuje, půdě, která je v souladu s definicí lesa podle FAO</w:t>
            </w:r>
            <w:r w:rsidRPr="00D77C59">
              <w:rPr>
                <w:rFonts w:asciiTheme="minorHAnsi" w:hAnsiTheme="minorHAnsi" w:cstheme="minorHAnsi"/>
                <w:color w:val="808080" w:themeColor="background1" w:themeShade="80"/>
                <w:sz w:val="20"/>
                <w:szCs w:val="20"/>
                <w:vertAlign w:val="superscript"/>
              </w:rPr>
              <w:footnoteReference w:id="219"/>
            </w:r>
            <w:r w:rsidRPr="00803E86">
              <w:rPr>
                <w:rFonts w:asciiTheme="minorHAnsi" w:hAnsiTheme="minorHAnsi" w:cstheme="minorHAnsi"/>
                <w:color w:val="808080" w:themeColor="background1" w:themeShade="80"/>
                <w:sz w:val="20"/>
                <w:szCs w:val="20"/>
              </w:rPr>
              <w:t>.</w:t>
            </w:r>
          </w:p>
          <w:p w14:paraId="68CC96B5" w14:textId="77777777" w:rsidR="00E310E9" w:rsidRDefault="00E310E9" w:rsidP="00491D76">
            <w:pPr>
              <w:keepNext/>
              <w:spacing w:after="0" w:line="240" w:lineRule="auto"/>
              <w:rPr>
                <w:rFonts w:asciiTheme="minorHAnsi" w:hAnsiTheme="minorHAnsi" w:cstheme="minorHAnsi"/>
                <w:color w:val="808080" w:themeColor="background1" w:themeShade="80"/>
                <w:sz w:val="20"/>
                <w:szCs w:val="20"/>
              </w:rPr>
            </w:pPr>
          </w:p>
          <w:p w14:paraId="0BBE88E8" w14:textId="77777777" w:rsidR="00E310E9" w:rsidRPr="00D77C59" w:rsidRDefault="00E310E9" w:rsidP="00491D76">
            <w:pPr>
              <w:spacing w:after="0" w:line="240" w:lineRule="auto"/>
              <w:rPr>
                <w:rFonts w:asciiTheme="minorHAnsi" w:hAnsiTheme="minorHAnsi" w:cstheme="minorHAnsi"/>
                <w:bCs/>
                <w:sz w:val="20"/>
                <w:szCs w:val="20"/>
              </w:rPr>
            </w:pPr>
            <w:r>
              <w:rPr>
                <w:rFonts w:asciiTheme="minorHAnsi" w:hAnsiTheme="minorHAnsi" w:cstheme="minorHAnsi"/>
                <w:sz w:val="20"/>
                <w:szCs w:val="20"/>
              </w:rPr>
              <w:t>c</w:t>
            </w:r>
            <w:r w:rsidRPr="00D77C59">
              <w:rPr>
                <w:rFonts w:asciiTheme="minorHAnsi" w:hAnsiTheme="minorHAnsi" w:cstheme="minorHAnsi"/>
                <w:sz w:val="20"/>
                <w:szCs w:val="20"/>
              </w:rPr>
              <w:t xml:space="preserve">) Realizace projektu ani nad rámec vlastního záboru nevede k šíření </w:t>
            </w:r>
            <w:r w:rsidRPr="00D77C59">
              <w:rPr>
                <w:rFonts w:asciiTheme="minorHAnsi" w:hAnsiTheme="minorHAnsi" w:cstheme="minorHAnsi"/>
                <w:sz w:val="20"/>
                <w:szCs w:val="20"/>
              </w:rPr>
              <w:lastRenderedPageBreak/>
              <w:t>invazních druhů a ke snížení biologické hodnoty území</w:t>
            </w:r>
            <w:r w:rsidRPr="00D77C59">
              <w:rPr>
                <w:rStyle w:val="Znakapoznpodarou"/>
                <w:rFonts w:asciiTheme="minorHAnsi" w:hAnsiTheme="minorHAnsi" w:cstheme="minorHAnsi"/>
                <w:sz w:val="20"/>
                <w:szCs w:val="20"/>
              </w:rPr>
              <w:footnoteReference w:id="220"/>
            </w:r>
          </w:p>
        </w:tc>
        <w:tc>
          <w:tcPr>
            <w:tcW w:w="1114" w:type="pct"/>
            <w:shd w:val="clear" w:color="auto" w:fill="C5E0B3" w:themeFill="accent6" w:themeFillTint="66"/>
          </w:tcPr>
          <w:p w14:paraId="2796D605" w14:textId="77777777" w:rsidR="00E310E9" w:rsidRDefault="00E310E9" w:rsidP="00491D76">
            <w:pPr>
              <w:spacing w:after="0" w:line="240" w:lineRule="auto"/>
              <w:rPr>
                <w:rFonts w:asciiTheme="minorHAnsi" w:hAnsiTheme="minorHAnsi" w:cstheme="minorHAnsi"/>
                <w:sz w:val="20"/>
                <w:szCs w:val="20"/>
              </w:rPr>
            </w:pPr>
            <w:r>
              <w:rPr>
                <w:rFonts w:asciiTheme="minorHAnsi" w:hAnsiTheme="minorHAnsi" w:cstheme="minorHAnsi"/>
                <w:sz w:val="20"/>
                <w:szCs w:val="20"/>
              </w:rPr>
              <w:lastRenderedPageBreak/>
              <w:t>Nastavení podmínek podpory:</w:t>
            </w:r>
          </w:p>
          <w:p w14:paraId="609D37F6" w14:textId="77777777" w:rsidR="00E310E9" w:rsidRDefault="00E310E9" w:rsidP="00491D76">
            <w:pPr>
              <w:spacing w:after="0" w:line="240" w:lineRule="auto"/>
              <w:rPr>
                <w:rFonts w:asciiTheme="minorHAnsi" w:hAnsiTheme="minorHAnsi" w:cstheme="minorHAnsi"/>
                <w:sz w:val="20"/>
                <w:szCs w:val="20"/>
              </w:rPr>
            </w:pPr>
          </w:p>
          <w:p w14:paraId="0A78B069" w14:textId="77777777" w:rsidR="00E310E9" w:rsidRPr="00DB1A0B" w:rsidRDefault="00E310E9" w:rsidP="00491D76">
            <w:pPr>
              <w:spacing w:after="0" w:line="240" w:lineRule="auto"/>
              <w:rPr>
                <w:rFonts w:asciiTheme="minorHAnsi" w:hAnsiTheme="minorHAnsi" w:cstheme="minorHAnsi"/>
                <w:color w:val="808080" w:themeColor="background1" w:themeShade="80"/>
                <w:sz w:val="20"/>
                <w:szCs w:val="20"/>
              </w:rPr>
            </w:pPr>
            <w:r w:rsidRPr="00D77C59">
              <w:rPr>
                <w:rFonts w:asciiTheme="minorHAnsi" w:hAnsiTheme="minorHAnsi" w:cstheme="minorHAnsi"/>
                <w:sz w:val="20"/>
                <w:szCs w:val="20"/>
              </w:rPr>
              <w:t xml:space="preserve">Ad a) </w:t>
            </w:r>
            <w:r w:rsidRPr="00AD236D">
              <w:rPr>
                <w:rFonts w:asciiTheme="minorHAnsi" w:hAnsiTheme="minorHAnsi" w:cstheme="minorHAnsi"/>
                <w:bCs/>
                <w:sz w:val="20"/>
                <w:szCs w:val="20"/>
              </w:rPr>
              <w:t xml:space="preserve">Nastavení podmínek podpory tak, aby se podpora nevztahovala na záměry umístěné na pozemcích, která jsou anebo před </w:t>
            </w:r>
            <w:r w:rsidRPr="009B6EBB">
              <w:rPr>
                <w:rFonts w:asciiTheme="minorHAnsi" w:hAnsiTheme="minorHAnsi" w:cstheme="minorHAnsi"/>
                <w:bCs/>
                <w:sz w:val="20"/>
                <w:szCs w:val="20"/>
              </w:rPr>
              <w:t>odnětím pro realizaci záměru byly zemědělskou půdou zařazenou do I. nebo II. třídy ochrany dle BPEJ. V případě III. až V. třídy ochrany je nutné požadovat, aby před rozhodnutím o přidělení dotace již bylo posouzeno odnětí zemědělské půdy ze zemědělského půdního fondu s kladným výsledkem, tj. aby byl pro záměr již vydán souhlas s odnětím zemědělské půdy ze zemědělského půdního fondu dle z. č. 334/1992 Sb., o ochraně zemědělského půdního fondu, resp. kladné JES, pokud se pro záměr má vydat.</w:t>
            </w:r>
          </w:p>
          <w:p w14:paraId="53147007" w14:textId="77777777" w:rsidR="00E310E9" w:rsidRDefault="00E310E9" w:rsidP="00491D76">
            <w:pPr>
              <w:spacing w:after="0" w:line="240" w:lineRule="auto"/>
              <w:rPr>
                <w:rFonts w:asciiTheme="minorHAnsi" w:hAnsiTheme="minorHAnsi" w:cstheme="minorHAnsi"/>
                <w:bCs/>
                <w:sz w:val="20"/>
                <w:szCs w:val="20"/>
              </w:rPr>
            </w:pPr>
          </w:p>
          <w:p w14:paraId="521AAC1C" w14:textId="77777777" w:rsidR="00E310E9" w:rsidRDefault="00E310E9" w:rsidP="00491D76">
            <w:pPr>
              <w:spacing w:after="0" w:line="240" w:lineRule="auto"/>
              <w:rPr>
                <w:rFonts w:asciiTheme="minorHAnsi" w:hAnsiTheme="minorHAnsi" w:cstheme="minorHAnsi"/>
                <w:bCs/>
                <w:sz w:val="20"/>
                <w:szCs w:val="20"/>
              </w:rPr>
            </w:pPr>
            <w:r>
              <w:rPr>
                <w:rFonts w:asciiTheme="minorHAnsi" w:hAnsiTheme="minorHAnsi" w:cstheme="minorHAnsi"/>
                <w:bCs/>
                <w:sz w:val="20"/>
                <w:szCs w:val="20"/>
              </w:rPr>
              <w:t xml:space="preserve">Pro tyto účely je k dispozici návod: </w:t>
            </w:r>
            <w:hyperlink r:id="rId153" w:history="1">
              <w:r w:rsidRPr="00561C98">
                <w:rPr>
                  <w:rStyle w:val="Hypertextovodkaz"/>
                  <w:rFonts w:asciiTheme="minorHAnsi" w:hAnsiTheme="minorHAnsi" w:cstheme="minorHAnsi"/>
                  <w:bCs/>
                  <w:sz w:val="20"/>
                  <w:szCs w:val="20"/>
                </w:rPr>
                <w:t>Postup pro žadatele pro účely doložení, že nová budova není postavena na „</w:t>
              </w:r>
              <w:r w:rsidRPr="00561C98">
                <w:rPr>
                  <w:rStyle w:val="Hypertextovodkaz"/>
                  <w:rFonts w:asciiTheme="minorHAnsi" w:hAnsiTheme="minorHAnsi" w:cstheme="minorHAnsi"/>
                  <w:bCs/>
                  <w:i/>
                  <w:iCs/>
                  <w:sz w:val="20"/>
                  <w:szCs w:val="20"/>
                </w:rPr>
                <w:t xml:space="preserve">zelené louce s uznávanou vysokou </w:t>
              </w:r>
              <w:r w:rsidRPr="00561C98">
                <w:rPr>
                  <w:rStyle w:val="Hypertextovodkaz"/>
                  <w:rFonts w:asciiTheme="minorHAnsi" w:hAnsiTheme="minorHAnsi" w:cstheme="minorHAnsi"/>
                  <w:bCs/>
                  <w:i/>
                  <w:iCs/>
                  <w:sz w:val="20"/>
                  <w:szCs w:val="20"/>
                </w:rPr>
                <w:lastRenderedPageBreak/>
                <w:t xml:space="preserve">hodnotou biologické rozmanitosti (pozn. interpretováno jako vymezená přírodní stanoviště přílohy č. I směrnice 92/43/EHS o stanovištích1) a půdě, která slouží jako stanoviště ohrožených druhů (flóry a fauny) uvedených </w:t>
              </w:r>
              <w:r>
                <w:rPr>
                  <w:rStyle w:val="Hypertextovodkaz"/>
                  <w:rFonts w:asciiTheme="minorHAnsi" w:hAnsiTheme="minorHAnsi" w:cstheme="minorHAnsi"/>
                  <w:bCs/>
                  <w:i/>
                  <w:iCs/>
                  <w:sz w:val="20"/>
                  <w:szCs w:val="20"/>
                </w:rPr>
                <w:t>n</w:t>
              </w:r>
              <w:r w:rsidRPr="00561C98">
                <w:rPr>
                  <w:rStyle w:val="Hypertextovodkaz"/>
                  <w:rFonts w:asciiTheme="minorHAnsi" w:hAnsiTheme="minorHAnsi" w:cstheme="minorHAnsi"/>
                  <w:bCs/>
                  <w:i/>
                  <w:iCs/>
                  <w:sz w:val="20"/>
                  <w:szCs w:val="20"/>
                </w:rPr>
                <w:t>a</w:t>
              </w:r>
              <w:r>
                <w:rPr>
                  <w:rStyle w:val="Hypertextovodkaz"/>
                  <w:rFonts w:asciiTheme="minorHAnsi" w:hAnsiTheme="minorHAnsi" w:cstheme="minorHAnsi"/>
                  <w:bCs/>
                  <w:i/>
                  <w:iCs/>
                  <w:sz w:val="20"/>
                  <w:szCs w:val="20"/>
                </w:rPr>
                <w:t xml:space="preserve"> </w:t>
              </w:r>
              <w:r>
                <w:rPr>
                  <w:rStyle w:val="Hypertextovodkaz"/>
                  <w:rFonts w:cstheme="minorHAnsi"/>
                  <w:bCs/>
                  <w:i/>
                  <w:iCs/>
                  <w:sz w:val="20"/>
                  <w:szCs w:val="20"/>
                </w:rPr>
                <w:t>národním</w:t>
              </w:r>
              <w:r w:rsidRPr="00561C98">
                <w:rPr>
                  <w:rStyle w:val="Hypertextovodkaz"/>
                  <w:rFonts w:asciiTheme="minorHAnsi" w:hAnsiTheme="minorHAnsi" w:cstheme="minorHAnsi"/>
                  <w:bCs/>
                  <w:i/>
                  <w:iCs/>
                  <w:sz w:val="20"/>
                  <w:szCs w:val="20"/>
                </w:rPr>
                <w:t xml:space="preserve"> Červeném seznamu ohrožených druhů</w:t>
              </w:r>
            </w:hyperlink>
            <w:r w:rsidRPr="00561C98">
              <w:rPr>
                <w:rFonts w:asciiTheme="minorHAnsi" w:hAnsiTheme="minorHAnsi" w:cstheme="minorHAnsi"/>
                <w:bCs/>
                <w:i/>
                <w:iCs/>
                <w:sz w:val="20"/>
                <w:szCs w:val="20"/>
              </w:rPr>
              <w:t>.</w:t>
            </w:r>
          </w:p>
          <w:p w14:paraId="644999C4" w14:textId="77777777" w:rsidR="00E310E9" w:rsidRDefault="00E310E9" w:rsidP="00491D76">
            <w:pPr>
              <w:spacing w:after="0" w:line="240" w:lineRule="auto"/>
              <w:rPr>
                <w:rFonts w:asciiTheme="minorHAnsi" w:hAnsiTheme="minorHAnsi" w:cstheme="minorHAnsi"/>
                <w:sz w:val="20"/>
                <w:szCs w:val="20"/>
              </w:rPr>
            </w:pPr>
          </w:p>
          <w:p w14:paraId="769CEE1C" w14:textId="77777777" w:rsidR="00E310E9" w:rsidRPr="00803E86" w:rsidRDefault="00E310E9" w:rsidP="00491D76">
            <w:pPr>
              <w:spacing w:after="0" w:line="240" w:lineRule="auto"/>
              <w:rPr>
                <w:rFonts w:asciiTheme="minorHAnsi" w:hAnsiTheme="minorHAnsi" w:cstheme="minorHAnsi"/>
                <w:color w:val="808080" w:themeColor="background1" w:themeShade="80"/>
                <w:sz w:val="20"/>
                <w:szCs w:val="20"/>
              </w:rPr>
            </w:pPr>
            <w:r w:rsidRPr="00803E86">
              <w:rPr>
                <w:rFonts w:asciiTheme="minorHAnsi" w:hAnsiTheme="minorHAnsi" w:cstheme="minorHAnsi"/>
                <w:color w:val="808080" w:themeColor="background1" w:themeShade="80"/>
                <w:sz w:val="20"/>
                <w:szCs w:val="20"/>
              </w:rPr>
              <w:t xml:space="preserve">Ad </w:t>
            </w:r>
            <w:r>
              <w:rPr>
                <w:rFonts w:asciiTheme="minorHAnsi" w:hAnsiTheme="minorHAnsi" w:cstheme="minorHAnsi"/>
                <w:color w:val="808080" w:themeColor="background1" w:themeShade="80"/>
                <w:sz w:val="20"/>
                <w:szCs w:val="20"/>
              </w:rPr>
              <w:t>b</w:t>
            </w:r>
            <w:r w:rsidRPr="00803E86">
              <w:rPr>
                <w:rFonts w:asciiTheme="minorHAnsi" w:hAnsiTheme="minorHAnsi" w:cstheme="minorHAnsi"/>
                <w:color w:val="808080" w:themeColor="background1" w:themeShade="80"/>
                <w:sz w:val="20"/>
                <w:szCs w:val="20"/>
              </w:rPr>
              <w:t>) legislativní požadavek.</w:t>
            </w:r>
          </w:p>
          <w:p w14:paraId="7D679650" w14:textId="77777777" w:rsidR="00E310E9" w:rsidRDefault="00E310E9" w:rsidP="00491D76">
            <w:pPr>
              <w:spacing w:after="0" w:line="240" w:lineRule="auto"/>
              <w:rPr>
                <w:rFonts w:asciiTheme="minorHAnsi" w:hAnsiTheme="minorHAnsi" w:cstheme="minorHAnsi"/>
                <w:bCs/>
                <w:color w:val="A6A6A6" w:themeColor="background1" w:themeShade="A6"/>
                <w:sz w:val="20"/>
                <w:szCs w:val="20"/>
              </w:rPr>
            </w:pPr>
          </w:p>
          <w:p w14:paraId="09FE7BDE" w14:textId="77777777" w:rsidR="00E310E9" w:rsidRPr="00431EA3" w:rsidRDefault="00E310E9" w:rsidP="00491D76">
            <w:pPr>
              <w:spacing w:after="0" w:line="240" w:lineRule="auto"/>
              <w:rPr>
                <w:rFonts w:asciiTheme="minorHAnsi" w:hAnsiTheme="minorHAnsi" w:cstheme="minorHAnsi"/>
                <w:sz w:val="20"/>
                <w:szCs w:val="20"/>
              </w:rPr>
            </w:pPr>
            <w:r w:rsidRPr="00D77C59">
              <w:rPr>
                <w:rFonts w:asciiTheme="minorHAnsi" w:hAnsiTheme="minorHAnsi" w:cstheme="minorHAnsi"/>
                <w:bCs/>
                <w:sz w:val="20"/>
                <w:szCs w:val="20"/>
              </w:rPr>
              <w:t xml:space="preserve">Ad </w:t>
            </w:r>
            <w:r>
              <w:rPr>
                <w:rFonts w:asciiTheme="minorHAnsi" w:hAnsiTheme="minorHAnsi" w:cstheme="minorHAnsi"/>
                <w:bCs/>
                <w:sz w:val="20"/>
                <w:szCs w:val="20"/>
              </w:rPr>
              <w:t>c</w:t>
            </w:r>
            <w:r w:rsidRPr="00D77C59">
              <w:rPr>
                <w:rFonts w:asciiTheme="minorHAnsi" w:hAnsiTheme="minorHAnsi" w:cstheme="minorHAnsi"/>
                <w:bCs/>
                <w:sz w:val="20"/>
                <w:szCs w:val="20"/>
              </w:rPr>
              <w:t xml:space="preserve">) </w:t>
            </w:r>
            <w:r w:rsidRPr="00AD236D">
              <w:rPr>
                <w:rFonts w:asciiTheme="minorHAnsi" w:hAnsiTheme="minorHAnsi" w:cstheme="minorHAnsi"/>
                <w:sz w:val="20"/>
                <w:szCs w:val="20"/>
              </w:rPr>
              <w:t>Zdů</w:t>
            </w:r>
            <w:r w:rsidRPr="00431EA3">
              <w:rPr>
                <w:rFonts w:asciiTheme="minorHAnsi" w:hAnsiTheme="minorHAnsi" w:cstheme="minorHAnsi"/>
                <w:sz w:val="20"/>
                <w:szCs w:val="20"/>
              </w:rPr>
              <w:t xml:space="preserve">vodnění, že </w:t>
            </w:r>
            <w:r>
              <w:rPr>
                <w:rFonts w:asciiTheme="minorHAnsi" w:hAnsiTheme="minorHAnsi" w:cstheme="minorHAnsi"/>
                <w:sz w:val="20"/>
                <w:szCs w:val="20"/>
              </w:rPr>
              <w:t xml:space="preserve">rekonstrukce </w:t>
            </w:r>
            <w:r w:rsidRPr="00431EA3">
              <w:rPr>
                <w:rFonts w:asciiTheme="minorHAnsi" w:hAnsiTheme="minorHAnsi" w:cstheme="minorHAnsi"/>
                <w:sz w:val="20"/>
                <w:szCs w:val="20"/>
              </w:rPr>
              <w:t>budovy nepovede k uvedeným skutečnostem, včetně popisu přijatých opatření (jako příklad je možné uvést opatření, která zamezí šíření invazních druhů a poškozování přírodních stanovišť při převážení zeminy mimo zábor projektu), bude povinnou součástí projektové dokumentace předkládané v rámci žádosti o podporu.</w:t>
            </w:r>
          </w:p>
          <w:p w14:paraId="02E2B06B" w14:textId="77777777" w:rsidR="00E310E9" w:rsidRDefault="00E310E9" w:rsidP="00491D76">
            <w:pPr>
              <w:spacing w:after="0" w:line="240" w:lineRule="auto"/>
              <w:rPr>
                <w:rFonts w:asciiTheme="minorHAnsi" w:hAnsiTheme="minorHAnsi" w:cstheme="minorHAnsi"/>
                <w:sz w:val="20"/>
                <w:szCs w:val="20"/>
              </w:rPr>
            </w:pPr>
          </w:p>
          <w:p w14:paraId="4D96B843" w14:textId="77777777" w:rsidR="00E310E9" w:rsidRDefault="00E310E9" w:rsidP="00491D76">
            <w:pPr>
              <w:spacing w:after="0" w:line="240" w:lineRule="auto"/>
              <w:rPr>
                <w:rFonts w:asciiTheme="minorHAnsi" w:hAnsiTheme="minorHAnsi" w:cstheme="minorHAnsi"/>
                <w:bCs/>
                <w:sz w:val="20"/>
                <w:szCs w:val="20"/>
              </w:rPr>
            </w:pPr>
            <w:r w:rsidRPr="00E909F0">
              <w:rPr>
                <w:rFonts w:asciiTheme="minorHAnsi" w:hAnsiTheme="minorHAnsi" w:cstheme="minorHAnsi"/>
                <w:sz w:val="20"/>
                <w:szCs w:val="20"/>
              </w:rPr>
              <w:t>Zhodnocení dopadu na biologickou hodnotu území bude povinnou součástí projektové dokumentace předkládané v rámci žádosti o podporu.</w:t>
            </w:r>
          </w:p>
          <w:p w14:paraId="2A27AF72" w14:textId="77777777" w:rsidR="00E310E9" w:rsidRDefault="00E310E9" w:rsidP="00491D76">
            <w:pPr>
              <w:spacing w:after="0" w:line="240" w:lineRule="auto"/>
              <w:rPr>
                <w:rFonts w:asciiTheme="minorHAnsi" w:hAnsiTheme="minorHAnsi" w:cstheme="minorHAnsi"/>
                <w:bCs/>
                <w:sz w:val="20"/>
                <w:szCs w:val="20"/>
              </w:rPr>
            </w:pPr>
          </w:p>
          <w:p w14:paraId="4F826F5F" w14:textId="77777777" w:rsidR="00E310E9" w:rsidRPr="00E909F0" w:rsidRDefault="00E310E9" w:rsidP="00491D76">
            <w:pPr>
              <w:rPr>
                <w:color w:val="A6A6A6" w:themeColor="background1" w:themeShade="A6"/>
              </w:rPr>
            </w:pPr>
            <w:r w:rsidRPr="00A12FEB">
              <w:rPr>
                <w:rFonts w:asciiTheme="minorHAnsi" w:hAnsiTheme="minorHAnsi" w:cstheme="minorHAnsi"/>
                <w:bCs/>
                <w:sz w:val="20"/>
                <w:szCs w:val="20"/>
              </w:rPr>
              <w:t>Požadování dokládání uvedené podmínky ze strany administrátorů EU fondů se nevztahuje na jednoduché stavby dle přílohy 2 stavebního zákona č. 283/2021 Sb.</w:t>
            </w:r>
          </w:p>
        </w:tc>
        <w:tc>
          <w:tcPr>
            <w:tcW w:w="1064" w:type="pct"/>
            <w:shd w:val="clear" w:color="auto" w:fill="C5E0B3" w:themeFill="accent6" w:themeFillTint="66"/>
          </w:tcPr>
          <w:p w14:paraId="59F769E0" w14:textId="77777777" w:rsidR="00E310E9" w:rsidRDefault="00E310E9" w:rsidP="00491D76">
            <w:pPr>
              <w:spacing w:after="0" w:line="240" w:lineRule="auto"/>
              <w:rPr>
                <w:rFonts w:asciiTheme="minorHAnsi" w:hAnsiTheme="minorHAnsi" w:cstheme="minorHAnsi"/>
                <w:sz w:val="20"/>
                <w:szCs w:val="20"/>
              </w:rPr>
            </w:pPr>
            <w:r>
              <w:rPr>
                <w:rFonts w:asciiTheme="minorHAnsi" w:hAnsiTheme="minorHAnsi" w:cstheme="minorHAnsi"/>
                <w:sz w:val="20"/>
                <w:szCs w:val="20"/>
              </w:rPr>
              <w:lastRenderedPageBreak/>
              <w:t xml:space="preserve">Ad a) </w:t>
            </w:r>
            <w:r w:rsidRPr="009B6EBB">
              <w:rPr>
                <w:rFonts w:asciiTheme="minorHAnsi" w:hAnsiTheme="minorHAnsi" w:cstheme="minorHAnsi"/>
                <w:sz w:val="20"/>
                <w:szCs w:val="20"/>
              </w:rPr>
              <w:t>Podkladem pro prokázání splnění podmínky je souhlas s odnětím zemědělské půdy ze zemědělského půdního fondu, resp. souhlasné stanovisko JES, které uvádí, zda záměr byl dotčen ochranou dle z. č. 334/1992 Sb., o ochraně zemědělského půdního fondu a v jaké třídě ochrany (tzn. pro kontrolu vyloučení I. a II. třídy). V případě záměrů, pro které se nevydává souhlas s odnětím zemědělské půdy ze zemědělského půdního fondu, resp. JES, lze provést kontrolu skrze katastr nemovitostí pro ujištění, zda a v jaké třídě ochrany zemědělské půdy se záměr nachází.</w:t>
            </w:r>
          </w:p>
          <w:p w14:paraId="03A59277" w14:textId="77777777" w:rsidR="00E310E9" w:rsidRDefault="00E310E9" w:rsidP="00491D76">
            <w:pPr>
              <w:spacing w:after="0" w:line="240" w:lineRule="auto"/>
              <w:rPr>
                <w:rFonts w:asciiTheme="minorHAnsi" w:hAnsiTheme="minorHAnsi" w:cstheme="minorHAnsi"/>
                <w:sz w:val="20"/>
                <w:szCs w:val="20"/>
              </w:rPr>
            </w:pPr>
          </w:p>
          <w:p w14:paraId="01F09BC7" w14:textId="77777777" w:rsidR="00E310E9" w:rsidRDefault="00E310E9" w:rsidP="00491D76">
            <w:pPr>
              <w:spacing w:after="0" w:line="240" w:lineRule="auto"/>
              <w:rPr>
                <w:rFonts w:asciiTheme="minorHAnsi" w:hAnsiTheme="minorHAnsi" w:cstheme="minorHAnsi"/>
                <w:sz w:val="20"/>
                <w:szCs w:val="20"/>
              </w:rPr>
            </w:pPr>
            <w:r>
              <w:rPr>
                <w:rFonts w:asciiTheme="minorHAnsi" w:hAnsiTheme="minorHAnsi" w:cstheme="minorHAnsi"/>
                <w:sz w:val="20"/>
                <w:szCs w:val="20"/>
              </w:rPr>
              <w:t>Ad c) V rámci žádosti o podporu vyžadovat čestné prohlášení o zpracování posouzení a provedení přijatých opatření.</w:t>
            </w:r>
          </w:p>
          <w:p w14:paraId="0694CBC8" w14:textId="77777777" w:rsidR="00E310E9" w:rsidRDefault="00E310E9" w:rsidP="00491D76">
            <w:pPr>
              <w:spacing w:after="0" w:line="240" w:lineRule="auto"/>
              <w:rPr>
                <w:rFonts w:asciiTheme="minorHAnsi" w:hAnsiTheme="minorHAnsi" w:cstheme="minorHAnsi"/>
                <w:sz w:val="20"/>
                <w:szCs w:val="20"/>
              </w:rPr>
            </w:pPr>
          </w:p>
        </w:tc>
        <w:tc>
          <w:tcPr>
            <w:tcW w:w="1102" w:type="pct"/>
            <w:shd w:val="clear" w:color="auto" w:fill="C5E0B3" w:themeFill="accent6" w:themeFillTint="66"/>
          </w:tcPr>
          <w:p w14:paraId="155A6AC3" w14:textId="77777777" w:rsidR="00E310E9" w:rsidRDefault="00E310E9" w:rsidP="00491D76">
            <w:pPr>
              <w:spacing w:after="0" w:line="240" w:lineRule="auto"/>
              <w:rPr>
                <w:rFonts w:asciiTheme="minorHAnsi" w:hAnsiTheme="minorHAnsi" w:cstheme="minorHAnsi"/>
                <w:sz w:val="20"/>
                <w:szCs w:val="20"/>
              </w:rPr>
            </w:pPr>
          </w:p>
        </w:tc>
      </w:tr>
      <w:tr w:rsidR="00E310E9" w14:paraId="0026F07F" w14:textId="77777777" w:rsidTr="00491D76">
        <w:tc>
          <w:tcPr>
            <w:tcW w:w="570" w:type="pct"/>
            <w:shd w:val="clear" w:color="auto" w:fill="E7E6E6" w:themeFill="background2"/>
          </w:tcPr>
          <w:p w14:paraId="4F5ACF70" w14:textId="77777777" w:rsidR="00E310E9" w:rsidRDefault="00E310E9" w:rsidP="00491D76">
            <w:pPr>
              <w:spacing w:after="0" w:line="240" w:lineRule="auto"/>
              <w:rPr>
                <w:rFonts w:asciiTheme="minorHAnsi" w:hAnsiTheme="minorHAnsi" w:cstheme="minorHAnsi"/>
                <w:b/>
                <w:sz w:val="20"/>
                <w:szCs w:val="20"/>
              </w:rPr>
            </w:pPr>
            <w:r>
              <w:rPr>
                <w:rFonts w:asciiTheme="minorHAnsi" w:hAnsiTheme="minorHAnsi" w:cstheme="minorHAnsi"/>
                <w:b/>
                <w:sz w:val="20"/>
                <w:szCs w:val="20"/>
              </w:rPr>
              <w:t xml:space="preserve">Průřezová podmínka relevantní ke všem cílům (zejm. vůči ochraně vod, omezování </w:t>
            </w:r>
            <w:r>
              <w:rPr>
                <w:rFonts w:asciiTheme="minorHAnsi" w:hAnsiTheme="minorHAnsi" w:cstheme="minorHAnsi"/>
                <w:b/>
                <w:sz w:val="20"/>
                <w:szCs w:val="20"/>
              </w:rPr>
              <w:lastRenderedPageBreak/>
              <w:t>znečištění a biodiverzitě)</w:t>
            </w:r>
          </w:p>
        </w:tc>
        <w:tc>
          <w:tcPr>
            <w:tcW w:w="1150" w:type="pct"/>
            <w:shd w:val="clear" w:color="auto" w:fill="E7E6E6" w:themeFill="background2"/>
          </w:tcPr>
          <w:p w14:paraId="69D4DD64" w14:textId="77777777" w:rsidR="00E310E9" w:rsidRPr="001A199F" w:rsidRDefault="00E310E9" w:rsidP="00491D76">
            <w:pPr>
              <w:spacing w:after="0" w:line="240" w:lineRule="auto"/>
              <w:rPr>
                <w:rFonts w:asciiTheme="minorHAnsi" w:hAnsiTheme="minorHAnsi" w:cstheme="minorHAnsi"/>
                <w:bCs/>
                <w:color w:val="808080" w:themeColor="background1" w:themeShade="80"/>
                <w:sz w:val="20"/>
                <w:szCs w:val="20"/>
              </w:rPr>
            </w:pPr>
            <w:r>
              <w:rPr>
                <w:rFonts w:asciiTheme="minorHAnsi" w:hAnsiTheme="minorHAnsi" w:cstheme="minorHAnsi"/>
                <w:sz w:val="20"/>
                <w:szCs w:val="20"/>
              </w:rPr>
              <w:lastRenderedPageBreak/>
              <w:t>Soulad s legislativou a zajištění p</w:t>
            </w:r>
            <w:r w:rsidRPr="00F003F8">
              <w:rPr>
                <w:rFonts w:asciiTheme="minorHAnsi" w:hAnsiTheme="minorHAnsi" w:cstheme="minorHAnsi"/>
                <w:sz w:val="20"/>
                <w:szCs w:val="20"/>
              </w:rPr>
              <w:t>rovedení opatření vzešlých z posuzování vlivů na životní prostředí (EIA), z jednotného environmentálního stanoviska nebo společného rozhodnutí dle ustanovení § 83 ZOPK</w:t>
            </w:r>
            <w:r>
              <w:rPr>
                <w:rFonts w:asciiTheme="minorHAnsi" w:hAnsiTheme="minorHAnsi" w:cstheme="minorHAnsi"/>
                <w:sz w:val="20"/>
                <w:szCs w:val="20"/>
              </w:rPr>
              <w:t>. R</w:t>
            </w:r>
            <w:r w:rsidRPr="0037631F">
              <w:rPr>
                <w:rFonts w:asciiTheme="minorHAnsi" w:hAnsiTheme="minorHAnsi" w:cstheme="minorHAnsi"/>
                <w:sz w:val="20"/>
                <w:szCs w:val="20"/>
              </w:rPr>
              <w:t>espektová</w:t>
            </w:r>
            <w:r>
              <w:rPr>
                <w:rFonts w:asciiTheme="minorHAnsi" w:hAnsiTheme="minorHAnsi" w:cstheme="minorHAnsi"/>
                <w:sz w:val="20"/>
                <w:szCs w:val="20"/>
              </w:rPr>
              <w:t>ní</w:t>
            </w:r>
            <w:r w:rsidRPr="0037631F">
              <w:rPr>
                <w:rFonts w:asciiTheme="minorHAnsi" w:hAnsiTheme="minorHAnsi" w:cstheme="minorHAnsi"/>
                <w:sz w:val="20"/>
                <w:szCs w:val="20"/>
              </w:rPr>
              <w:t xml:space="preserve"> limit</w:t>
            </w:r>
            <w:r>
              <w:rPr>
                <w:rFonts w:asciiTheme="minorHAnsi" w:hAnsiTheme="minorHAnsi" w:cstheme="minorHAnsi"/>
                <w:sz w:val="20"/>
                <w:szCs w:val="20"/>
              </w:rPr>
              <w:t>ů</w:t>
            </w:r>
            <w:r w:rsidRPr="0037631F">
              <w:rPr>
                <w:rFonts w:asciiTheme="minorHAnsi" w:hAnsiTheme="minorHAnsi" w:cstheme="minorHAnsi"/>
                <w:sz w:val="20"/>
                <w:szCs w:val="20"/>
              </w:rPr>
              <w:t xml:space="preserve"> zákona č. </w:t>
            </w:r>
            <w:r w:rsidRPr="0037631F">
              <w:rPr>
                <w:rFonts w:asciiTheme="minorHAnsi" w:hAnsiTheme="minorHAnsi" w:cstheme="minorHAnsi"/>
                <w:sz w:val="20"/>
                <w:szCs w:val="20"/>
              </w:rPr>
              <w:lastRenderedPageBreak/>
              <w:t>114/1992 Sb.</w:t>
            </w:r>
            <w:r>
              <w:rPr>
                <w:rFonts w:asciiTheme="minorHAnsi" w:hAnsiTheme="minorHAnsi" w:cstheme="minorHAnsi"/>
                <w:sz w:val="20"/>
                <w:szCs w:val="20"/>
              </w:rPr>
              <w:t>,</w:t>
            </w:r>
            <w:r w:rsidRPr="0037631F">
              <w:rPr>
                <w:rFonts w:asciiTheme="minorHAnsi" w:hAnsiTheme="minorHAnsi" w:cstheme="minorHAnsi"/>
                <w:sz w:val="20"/>
                <w:szCs w:val="20"/>
              </w:rPr>
              <w:t xml:space="preserve"> o ochraně přírody a krajiny.</w:t>
            </w:r>
          </w:p>
        </w:tc>
        <w:tc>
          <w:tcPr>
            <w:tcW w:w="1114" w:type="pct"/>
            <w:shd w:val="clear" w:color="auto" w:fill="E7E6E6" w:themeFill="background2"/>
          </w:tcPr>
          <w:p w14:paraId="263E4023" w14:textId="77777777" w:rsidR="00E310E9" w:rsidRPr="002A79F8" w:rsidRDefault="00E310E9" w:rsidP="00491D76">
            <w:pPr>
              <w:spacing w:after="0" w:line="240" w:lineRule="auto"/>
              <w:rPr>
                <w:rFonts w:asciiTheme="minorHAnsi" w:hAnsiTheme="minorHAnsi" w:cstheme="minorHAnsi"/>
                <w:sz w:val="20"/>
                <w:szCs w:val="20"/>
              </w:rPr>
            </w:pPr>
            <w:r w:rsidRPr="002A79F8">
              <w:rPr>
                <w:rFonts w:asciiTheme="minorHAnsi" w:hAnsiTheme="minorHAnsi" w:cstheme="minorHAnsi"/>
                <w:sz w:val="20"/>
                <w:szCs w:val="20"/>
              </w:rPr>
              <w:lastRenderedPageBreak/>
              <w:t>Nastavení podmínek podpory.</w:t>
            </w:r>
          </w:p>
          <w:p w14:paraId="3D2F4D64" w14:textId="77777777" w:rsidR="00E310E9" w:rsidRPr="00CB10CF" w:rsidRDefault="00E310E9" w:rsidP="00491D76">
            <w:pPr>
              <w:spacing w:after="0" w:line="240" w:lineRule="auto"/>
              <w:rPr>
                <w:rFonts w:asciiTheme="minorHAnsi" w:hAnsiTheme="minorHAnsi" w:cstheme="minorHAnsi"/>
                <w:sz w:val="20"/>
                <w:szCs w:val="20"/>
              </w:rPr>
            </w:pPr>
          </w:p>
          <w:p w14:paraId="5AB8C487" w14:textId="77777777" w:rsidR="00E310E9" w:rsidRPr="00CB10CF" w:rsidRDefault="00E310E9" w:rsidP="00491D76">
            <w:pPr>
              <w:spacing w:after="0" w:line="240" w:lineRule="auto"/>
              <w:rPr>
                <w:rFonts w:asciiTheme="minorHAnsi" w:hAnsiTheme="minorHAnsi" w:cstheme="minorHAnsi"/>
                <w:sz w:val="20"/>
                <w:szCs w:val="20"/>
              </w:rPr>
            </w:pPr>
            <w:r w:rsidRPr="00CB10CF">
              <w:rPr>
                <w:rFonts w:asciiTheme="minorHAnsi" w:hAnsiTheme="minorHAnsi" w:cstheme="minorHAnsi"/>
                <w:sz w:val="20"/>
                <w:szCs w:val="20"/>
              </w:rPr>
              <w:t xml:space="preserve">V případě, že bylo provedeno posuzování vlivů na životní prostředí (EIA), screening v souladu se směrnicí 2011/92/EU, nebo spadá záměr </w:t>
            </w:r>
            <w:r w:rsidRPr="00CB10CF">
              <w:rPr>
                <w:rFonts w:asciiTheme="minorHAnsi" w:hAnsiTheme="minorHAnsi" w:cstheme="minorHAnsi"/>
                <w:sz w:val="20"/>
                <w:szCs w:val="20"/>
              </w:rPr>
              <w:lastRenderedPageBreak/>
              <w:t>opatření pod složkovou environmentální legislativu integrovanou do jednotného environmentálního stanoviska</w:t>
            </w:r>
            <w:r>
              <w:rPr>
                <w:rFonts w:asciiTheme="minorHAnsi" w:hAnsiTheme="minorHAnsi" w:cstheme="minorHAnsi"/>
                <w:sz w:val="20"/>
                <w:szCs w:val="20"/>
              </w:rPr>
              <w:t xml:space="preserve"> (případně do společného rozhodnutí dle § 83 ZOPK)</w:t>
            </w:r>
            <w:r w:rsidRPr="00CB10CF">
              <w:rPr>
                <w:rFonts w:asciiTheme="minorHAnsi" w:hAnsiTheme="minorHAnsi" w:cstheme="minorHAnsi"/>
                <w:sz w:val="20"/>
                <w:szCs w:val="20"/>
              </w:rPr>
              <w:t>, je nutné zajistit, že byla provedena požadovaná zmírňující a kompenzační opatření na ochranu životního prostředí.</w:t>
            </w:r>
          </w:p>
          <w:p w14:paraId="7D5848A7" w14:textId="77777777" w:rsidR="00E310E9" w:rsidRPr="00CB10CF" w:rsidRDefault="00E310E9" w:rsidP="00491D76">
            <w:pPr>
              <w:spacing w:after="0" w:line="240" w:lineRule="auto"/>
              <w:rPr>
                <w:rFonts w:asciiTheme="minorHAnsi" w:hAnsiTheme="minorHAnsi" w:cstheme="minorHAnsi"/>
                <w:sz w:val="20"/>
                <w:szCs w:val="20"/>
              </w:rPr>
            </w:pPr>
          </w:p>
          <w:p w14:paraId="3EE83829" w14:textId="77777777" w:rsidR="00E310E9" w:rsidRPr="00CB10CF" w:rsidRDefault="00E310E9" w:rsidP="00491D76">
            <w:pPr>
              <w:spacing w:after="0" w:line="240" w:lineRule="auto"/>
              <w:rPr>
                <w:rFonts w:asciiTheme="minorHAnsi" w:hAnsiTheme="minorHAnsi" w:cstheme="minorHAnsi"/>
                <w:sz w:val="20"/>
                <w:szCs w:val="20"/>
              </w:rPr>
            </w:pPr>
            <w:r w:rsidRPr="00CB10CF">
              <w:rPr>
                <w:rFonts w:asciiTheme="minorHAnsi" w:hAnsiTheme="minorHAnsi" w:cstheme="minorHAnsi"/>
                <w:sz w:val="20"/>
                <w:szCs w:val="20"/>
              </w:rPr>
              <w:t xml:space="preserve">Zmírňující a kompenzační opatření na ochranu životního prostředí by měla být součástí </w:t>
            </w:r>
            <w:r>
              <w:rPr>
                <w:rFonts w:asciiTheme="minorHAnsi" w:hAnsiTheme="minorHAnsi" w:cstheme="minorHAnsi"/>
                <w:sz w:val="20"/>
                <w:szCs w:val="20"/>
              </w:rPr>
              <w:t>souhrnné technické zprávy projektu</w:t>
            </w:r>
            <w:r w:rsidRPr="00CB10CF">
              <w:rPr>
                <w:rFonts w:asciiTheme="minorHAnsi" w:hAnsiTheme="minorHAnsi" w:cstheme="minorHAnsi"/>
                <w:sz w:val="20"/>
                <w:szCs w:val="20"/>
              </w:rPr>
              <w:t>. Tyto jsou poté kontrolovány v rámci stavebního řízení, finálně však ve smyslu, že byla provedena zmírňující a kompenzační opatření až při kolaudaci.</w:t>
            </w:r>
          </w:p>
          <w:p w14:paraId="6DBF62B8" w14:textId="77777777" w:rsidR="00E310E9" w:rsidRPr="00CB10CF" w:rsidRDefault="00E310E9" w:rsidP="00491D76">
            <w:pPr>
              <w:spacing w:after="0" w:line="240" w:lineRule="auto"/>
              <w:rPr>
                <w:rFonts w:asciiTheme="minorHAnsi" w:hAnsiTheme="minorHAnsi" w:cstheme="minorHAnsi"/>
                <w:sz w:val="20"/>
                <w:szCs w:val="20"/>
              </w:rPr>
            </w:pPr>
          </w:p>
          <w:p w14:paraId="623B2746" w14:textId="77777777" w:rsidR="00E310E9" w:rsidRDefault="00E310E9" w:rsidP="00491D76">
            <w:pPr>
              <w:spacing w:after="0" w:line="240" w:lineRule="auto"/>
              <w:rPr>
                <w:rFonts w:asciiTheme="minorHAnsi" w:hAnsiTheme="minorHAnsi" w:cstheme="minorHAnsi"/>
                <w:sz w:val="20"/>
                <w:szCs w:val="20"/>
              </w:rPr>
            </w:pPr>
            <w:r w:rsidRPr="00F003F8">
              <w:rPr>
                <w:rFonts w:asciiTheme="minorHAnsi" w:hAnsiTheme="minorHAnsi" w:cstheme="minorHAnsi"/>
                <w:sz w:val="20"/>
                <w:szCs w:val="20"/>
              </w:rPr>
              <w:t>Uzavření stavebního řízení se však nemusí setkat v čase s rozhodnutím o poskytnutí dotace, proto je potřeba požadovat čestné prohlášení ohledně provedení zmírňujících a kompenzačních opatření na ochranu životního prostředí vyplývajících z uvedených řízení.</w:t>
            </w:r>
          </w:p>
          <w:p w14:paraId="125EA124" w14:textId="77777777" w:rsidR="00E310E9" w:rsidRDefault="00E310E9" w:rsidP="00491D76">
            <w:pPr>
              <w:spacing w:after="0" w:line="240" w:lineRule="auto"/>
              <w:rPr>
                <w:rFonts w:asciiTheme="minorHAnsi" w:hAnsiTheme="minorHAnsi" w:cstheme="minorHAnsi"/>
                <w:sz w:val="20"/>
                <w:szCs w:val="20"/>
              </w:rPr>
            </w:pPr>
          </w:p>
          <w:p w14:paraId="5358AD75" w14:textId="77777777" w:rsidR="00E310E9" w:rsidRPr="001A199F" w:rsidRDefault="00E310E9" w:rsidP="00491D76">
            <w:pPr>
              <w:spacing w:after="0" w:line="240" w:lineRule="auto"/>
              <w:rPr>
                <w:rFonts w:asciiTheme="minorHAnsi" w:hAnsiTheme="minorHAnsi" w:cstheme="minorHAnsi"/>
                <w:color w:val="808080" w:themeColor="background1" w:themeShade="80"/>
                <w:sz w:val="20"/>
                <w:szCs w:val="20"/>
              </w:rPr>
            </w:pPr>
            <w:r w:rsidRPr="0040694E">
              <w:rPr>
                <w:rFonts w:asciiTheme="minorHAnsi" w:hAnsiTheme="minorHAnsi" w:cstheme="minorHAnsi"/>
                <w:sz w:val="20"/>
                <w:szCs w:val="20"/>
              </w:rPr>
              <w:t xml:space="preserve">Pokud je jedním z opatření projektu zlepšení tepelně technických vlastností obvodových konstrukcí budovy, musí být na objektu proveden zoologický průzkum a na jeho základě zpracovaný odborný posudek k možnému výskytu synantropních zvláště chráněných druhů živočichů. Pokud je výskyt synantropních zvláště chráněných druhů živočichů prokázán, je nezbytné jejich sídla (hnízdiště, sezónní úkryty atp.) zachovat v původní nebo modifikované podobě, případně, pokud charakter stavebních úprav jejich </w:t>
            </w:r>
            <w:r w:rsidRPr="0040694E">
              <w:rPr>
                <w:rFonts w:asciiTheme="minorHAnsi" w:hAnsiTheme="minorHAnsi" w:cstheme="minorHAnsi"/>
                <w:sz w:val="20"/>
                <w:szCs w:val="20"/>
              </w:rPr>
              <w:lastRenderedPageBreak/>
              <w:t>zachování vylučuje, zajistit v odpovídajícím rozsahu jejich náhradu v souladu s ustanoveními zákona č. 114/1992 Sb., o ochraně přírody a krajiny, ve znění pozdějších předpisů a obecně postupovat v souladu s „</w:t>
            </w:r>
            <w:hyperlink r:id="rId154" w:history="1">
              <w:r w:rsidRPr="0040694E">
                <w:rPr>
                  <w:rStyle w:val="Hypertextovodkaz"/>
                  <w:rFonts w:asciiTheme="minorHAnsi" w:hAnsiTheme="minorHAnsi" w:cstheme="minorHAnsi"/>
                  <w:sz w:val="20"/>
                  <w:szCs w:val="20"/>
                </w:rPr>
                <w:t>Metodikou posuzování staveb z hlediska výskytu obecně a zvláště chráněných synantropních druhů živočichů</w:t>
              </w:r>
            </w:hyperlink>
            <w:r w:rsidRPr="0040694E">
              <w:rPr>
                <w:rFonts w:asciiTheme="minorHAnsi" w:hAnsiTheme="minorHAnsi" w:cstheme="minorHAnsi"/>
                <w:sz w:val="20"/>
                <w:szCs w:val="20"/>
              </w:rPr>
              <w:t>“.</w:t>
            </w:r>
          </w:p>
        </w:tc>
        <w:tc>
          <w:tcPr>
            <w:tcW w:w="1064" w:type="pct"/>
            <w:shd w:val="clear" w:color="auto" w:fill="E7E6E6" w:themeFill="background2"/>
          </w:tcPr>
          <w:p w14:paraId="0C033102" w14:textId="77777777" w:rsidR="00E310E9" w:rsidRDefault="00E310E9" w:rsidP="00491D76">
            <w:pPr>
              <w:spacing w:after="0" w:line="240" w:lineRule="auto"/>
              <w:rPr>
                <w:rFonts w:asciiTheme="minorHAnsi" w:hAnsiTheme="minorHAnsi" w:cstheme="minorHAnsi"/>
                <w:sz w:val="20"/>
                <w:szCs w:val="20"/>
              </w:rPr>
            </w:pPr>
            <w:r w:rsidRPr="00CB10CF">
              <w:rPr>
                <w:rFonts w:asciiTheme="minorHAnsi" w:hAnsiTheme="minorHAnsi" w:cstheme="minorHAnsi"/>
                <w:sz w:val="20"/>
                <w:szCs w:val="20"/>
              </w:rPr>
              <w:lastRenderedPageBreak/>
              <w:t>Požadavek na čestné prohlášení ohledně plného zohlednění doporučení stanoviska EIA v projektu (v rámci projektů podléhajících EIA) nebo jednotného environmentálního stanoviska</w:t>
            </w:r>
            <w:r>
              <w:rPr>
                <w:rFonts w:asciiTheme="minorHAnsi" w:hAnsiTheme="minorHAnsi" w:cstheme="minorHAnsi"/>
                <w:sz w:val="20"/>
                <w:szCs w:val="20"/>
              </w:rPr>
              <w:t xml:space="preserve"> (případně společného </w:t>
            </w:r>
            <w:r>
              <w:rPr>
                <w:rFonts w:asciiTheme="minorHAnsi" w:hAnsiTheme="minorHAnsi" w:cstheme="minorHAnsi"/>
                <w:sz w:val="20"/>
                <w:szCs w:val="20"/>
              </w:rPr>
              <w:lastRenderedPageBreak/>
              <w:t>rozhodnutí dle § 83 ZOPK)</w:t>
            </w:r>
            <w:r w:rsidRPr="00CB10CF">
              <w:rPr>
                <w:rFonts w:asciiTheme="minorHAnsi" w:hAnsiTheme="minorHAnsi" w:cstheme="minorHAnsi"/>
                <w:sz w:val="20"/>
                <w:szCs w:val="20"/>
              </w:rPr>
              <w:t>, pokud již nebyla provedena kolaudace v průběhu řízení o přidělení dotace.</w:t>
            </w:r>
          </w:p>
          <w:p w14:paraId="717BC27C" w14:textId="77777777" w:rsidR="00E310E9" w:rsidRDefault="00E310E9" w:rsidP="00491D76">
            <w:pPr>
              <w:spacing w:after="0" w:line="240" w:lineRule="auto"/>
              <w:rPr>
                <w:rFonts w:asciiTheme="minorHAnsi" w:hAnsiTheme="minorHAnsi" w:cstheme="minorHAnsi"/>
                <w:sz w:val="20"/>
                <w:szCs w:val="20"/>
              </w:rPr>
            </w:pPr>
          </w:p>
          <w:p w14:paraId="33E1080F" w14:textId="77777777" w:rsidR="00E310E9" w:rsidRPr="001A199F" w:rsidRDefault="00E310E9" w:rsidP="00491D76">
            <w:pPr>
              <w:spacing w:after="0" w:line="240" w:lineRule="auto"/>
              <w:rPr>
                <w:rFonts w:asciiTheme="minorHAnsi" w:hAnsiTheme="minorHAnsi" w:cstheme="minorHAnsi"/>
                <w:color w:val="808080" w:themeColor="background1" w:themeShade="80"/>
                <w:sz w:val="20"/>
                <w:szCs w:val="20"/>
              </w:rPr>
            </w:pPr>
            <w:r w:rsidRPr="0037631F">
              <w:rPr>
                <w:rFonts w:asciiTheme="minorHAnsi" w:hAnsiTheme="minorHAnsi" w:cstheme="minorHAnsi"/>
                <w:sz w:val="20"/>
                <w:szCs w:val="20"/>
              </w:rPr>
              <w:t>Alternativně by bylo nutné kontrolovat ze strany administrátora EU fondů projektovou dokumentaci, zda jsou zapracovány podmínky z jednotného environmentálního stanoviska (popř. společného rozhodnutí) a následně i realizovány</w:t>
            </w:r>
            <w:r>
              <w:rPr>
                <w:rFonts w:asciiTheme="minorHAnsi" w:hAnsiTheme="minorHAnsi" w:cstheme="minorHAnsi"/>
                <w:sz w:val="20"/>
                <w:szCs w:val="20"/>
              </w:rPr>
              <w:t>.</w:t>
            </w:r>
          </w:p>
        </w:tc>
        <w:tc>
          <w:tcPr>
            <w:tcW w:w="1102" w:type="pct"/>
            <w:shd w:val="clear" w:color="auto" w:fill="E7E6E6" w:themeFill="background2"/>
          </w:tcPr>
          <w:p w14:paraId="5AFEE869" w14:textId="77777777" w:rsidR="00E310E9" w:rsidRDefault="00E310E9" w:rsidP="00491D76">
            <w:pPr>
              <w:spacing w:after="0" w:line="240" w:lineRule="auto"/>
              <w:rPr>
                <w:rFonts w:asciiTheme="minorHAnsi" w:hAnsiTheme="minorHAnsi" w:cstheme="minorHAnsi"/>
                <w:sz w:val="20"/>
                <w:szCs w:val="20"/>
              </w:rPr>
            </w:pPr>
          </w:p>
        </w:tc>
      </w:tr>
    </w:tbl>
    <w:p w14:paraId="70E4DE46" w14:textId="77777777" w:rsidR="00E310E9" w:rsidRDefault="00E310E9" w:rsidP="00E310E9"/>
    <w:p w14:paraId="17300EBB" w14:textId="77777777" w:rsidR="00E310E9" w:rsidRDefault="00E310E9" w:rsidP="00E310E9">
      <w:pPr>
        <w:sectPr w:rsidR="00E310E9" w:rsidSect="00E310E9">
          <w:pgSz w:w="16838" w:h="11906" w:orient="landscape"/>
          <w:pgMar w:top="720" w:right="720" w:bottom="720" w:left="720" w:header="708" w:footer="708" w:gutter="0"/>
          <w:cols w:space="708"/>
          <w:docGrid w:linePitch="299"/>
        </w:sectPr>
      </w:pPr>
    </w:p>
    <w:p w14:paraId="30E02E68" w14:textId="1C53AA81" w:rsidR="00602DCA" w:rsidRDefault="00C5530C">
      <w:pPr>
        <w:pStyle w:val="Nadpis2"/>
      </w:pPr>
      <w:bookmarkStart w:id="154" w:name="_Tabulka_podmínek_DNSH_1"/>
      <w:bookmarkStart w:id="155" w:name="_Toc194393057"/>
      <w:bookmarkStart w:id="156" w:name="_Toc194394231"/>
      <w:bookmarkStart w:id="157" w:name="_Připravenost_ke_znovuvyužití"/>
      <w:bookmarkStart w:id="158" w:name="_Připravenost_k_opětovnému"/>
      <w:bookmarkStart w:id="159" w:name="_Hlk114931504"/>
      <w:bookmarkStart w:id="160" w:name="_Toc116428063"/>
      <w:bookmarkStart w:id="161" w:name="_Toc210046041"/>
      <w:bookmarkEnd w:id="154"/>
      <w:bookmarkEnd w:id="155"/>
      <w:bookmarkEnd w:id="156"/>
      <w:bookmarkEnd w:id="157"/>
      <w:bookmarkEnd w:id="158"/>
      <w:r>
        <w:lastRenderedPageBreak/>
        <w:t>Připravenost k</w:t>
      </w:r>
      <w:r w:rsidR="00BA4D71">
        <w:t xml:space="preserve"> opětovnému použití </w:t>
      </w:r>
      <w:r>
        <w:t>nebo recyklaci 70 % stavebních odpadů a stavebního materiálu</w:t>
      </w:r>
      <w:bookmarkEnd w:id="159"/>
      <w:bookmarkEnd w:id="160"/>
      <w:bookmarkEnd w:id="161"/>
    </w:p>
    <w:p w14:paraId="236115AA" w14:textId="797ADFB6" w:rsidR="00602DCA" w:rsidRDefault="00C5530C">
      <w:r>
        <w:t xml:space="preserve">Se stavebním odpadem včetně použitých obalů je nutné </w:t>
      </w:r>
      <w:r w:rsidR="00A20B43">
        <w:t xml:space="preserve">nakládat </w:t>
      </w:r>
      <w:r>
        <w:t>dle hierarchie odpadového hospodářství zejména ve smyslu zákona č. 541/2020 Sb., o odpadech, v platném znění a přílohy č. 24 k vyhlášce č. 273/2021 Sb., o podrobnostech nakládání s odpady, v platném znění. Prioritou je předcházení vzniku odpadu. Jestliže nelze vzniku odpadu předejít, pak musí do</w:t>
      </w:r>
      <w:r w:rsidR="00A34042">
        <w:t>cházet</w:t>
      </w:r>
      <w:r>
        <w:t xml:space="preserve"> k přípravě k</w:t>
      </w:r>
      <w:r w:rsidR="00A34042">
        <w:t xml:space="preserve"> jeho </w:t>
      </w:r>
      <w:r>
        <w:t>opětovnému použití</w:t>
      </w:r>
      <w:r w:rsidR="00A34042">
        <w:t xml:space="preserve"> nebo</w:t>
      </w:r>
      <w:r>
        <w:t xml:space="preserve"> recyklaci, a to v úrovni nejméně 70 % (hmotnostních) stavebního a demoličního odpadu neklasifikovaného jako nebezpečný.</w:t>
      </w:r>
    </w:p>
    <w:p w14:paraId="5E88D1FA" w14:textId="63A91C26" w:rsidR="00602DCA" w:rsidRDefault="007F68AD">
      <w:r>
        <w:t xml:space="preserve">Administrátoři zdrojů EU </w:t>
      </w:r>
      <w:r w:rsidR="00C5530C">
        <w:t>by měly v případě jakéhokoliv opatření se stavební činností na úrovni projektu vyžadovat a kontrolovat podklady prokazující, že odpad a stavební materiál byl znovu použit, připraven k znovupoužití nebo recyklován nebo zlikvidován způsobem šetrným k životnímu prostředí v souladu s hierarchií nakládání s</w:t>
      </w:r>
      <w:r w:rsidR="00A34042">
        <w:t> </w:t>
      </w:r>
      <w:r w:rsidR="00C5530C">
        <w:t>odpady</w:t>
      </w:r>
      <w:r w:rsidR="00A34042">
        <w:t>, Metodickým návodem MŽP pro řízení vzniku stavebních a demoličních odpadů a pro nakládání s nimi</w:t>
      </w:r>
      <w:r w:rsidR="00C5530C">
        <w:t xml:space="preserve"> a Protokolem EU o nakládání se stavebními a demoličními odpady. Provozovatelé by měli omezit vznik odpadu během výstavby v souladu s </w:t>
      </w:r>
      <w:r w:rsidR="00A34042">
        <w:t xml:space="preserve">Metodickým návodem MŽP pro řízení vzniku stavebních a demoličních odpadů a pro nakládání s nimi a </w:t>
      </w:r>
      <w:r w:rsidR="00C5530C">
        <w:t>Protokolem EU o nakládání se stavebními a demoličními odpady, zohlednit nejlepší dostupné techniky a usnadnit opětovné použití a vysoce kvalitní recyklaci selektivním odstraňováním materiálů s využitím dostupných systémů třídění stavebního odpadu.</w:t>
      </w:r>
    </w:p>
    <w:p w14:paraId="41EC5F01" w14:textId="23EEFD2B" w:rsidR="00602DCA" w:rsidRDefault="00C5530C" w:rsidP="00A32A7E">
      <w:pPr>
        <w:pStyle w:val="Odstavecseseznamem"/>
        <w:numPr>
          <w:ilvl w:val="0"/>
          <w:numId w:val="12"/>
        </w:numPr>
      </w:pPr>
      <w:r>
        <w:t xml:space="preserve">Opatření zejména vyžaduje, aby hospodářské subjekty provádějící stavební práce zajistily, aby nejméně 70 % (hmotnostních) stavebních a demoličních materiálů či odpadů neklasifikovaných jako nebezpečné (s výjimkou přirozeně se vyskytujících materiálů uvedených v kategorii 17 05 04 na Evropském seznamu odpadů vytvořeném rozhodnutím 2000/532/ES ze dne 3. května 2000, kterým se nahrazuje rozhodnutí 94/3/ES, kterým se stanoví seznam odpadů podle čl. 1 písm. a) směrnice Rady 75/442/EHS o odpadech a rozhodnutí Rady 94/904/ES, kterým se stanoví seznam nebezpečných odpadů ve smyslu čl. 1 odst. 4 směrnice Rady 91/689/EHS o nebezpečných odpadech (oznámeno pod číslem dokumentu K(2000) 1147)) </w:t>
      </w:r>
      <w:r w:rsidR="00184F1B" w:rsidRPr="00184F1B">
        <w:t>vzniklých na staveništi bylo připraveno</w:t>
      </w:r>
      <w:r w:rsidR="00184F1B">
        <w:t xml:space="preserve"> </w:t>
      </w:r>
      <w:r>
        <w:t>k opětovnému použití, recyklaci v souladu s hierarchií způsobů nakládání s</w:t>
      </w:r>
      <w:r w:rsidR="00A34042">
        <w:t> </w:t>
      </w:r>
      <w:r>
        <w:t>odpady</w:t>
      </w:r>
      <w:r w:rsidR="00A34042">
        <w:t>, Metodickým návodem MŽP pro řízení vzniku stavebních a demoličních odpadů a pro nakládání s nimi</w:t>
      </w:r>
      <w:r>
        <w:t xml:space="preserve"> a protokolem EU pro nakládání se </w:t>
      </w:r>
      <w:r>
        <w:lastRenderedPageBreak/>
        <w:t>stavebním a demoličním odpadem</w:t>
      </w:r>
      <w:r w:rsidR="00CE132A">
        <w:t>.</w:t>
      </w:r>
      <w:r w:rsidR="00FC7D7E">
        <w:rPr>
          <w:rStyle w:val="Znakapoznpodarou"/>
        </w:rPr>
        <w:footnoteReference w:id="221"/>
      </w:r>
      <w:r>
        <w:t>.</w:t>
      </w:r>
      <w:r w:rsidR="00C85D77" w:rsidRPr="00C85D77">
        <w:t xml:space="preserve"> </w:t>
      </w:r>
      <w:r w:rsidR="00A34042" w:rsidRPr="00C85D77">
        <w:t xml:space="preserve">Zasypávání </w:t>
      </w:r>
      <w:r w:rsidR="00A34042">
        <w:t xml:space="preserve">nelze považovat za způsob využití odpadu ve smyslu: </w:t>
      </w:r>
      <w:r w:rsidR="00A34042" w:rsidRPr="00D25996">
        <w:rPr>
          <w:b/>
          <w:bCs/>
        </w:rPr>
        <w:t>přípravy k opětovnému použití nebo recyklac</w:t>
      </w:r>
      <w:r w:rsidR="00A34042">
        <w:rPr>
          <w:b/>
          <w:bCs/>
        </w:rPr>
        <w:t>e</w:t>
      </w:r>
      <w:r w:rsidR="00A34042" w:rsidRPr="00D25996">
        <w:rPr>
          <w:b/>
          <w:bCs/>
        </w:rPr>
        <w:t>.</w:t>
      </w:r>
      <w:r w:rsidR="00A34042">
        <w:rPr>
          <w:b/>
          <w:bCs/>
        </w:rPr>
        <w:t xml:space="preserve"> </w:t>
      </w:r>
    </w:p>
    <w:p w14:paraId="24057485" w14:textId="77777777" w:rsidR="00602DCA" w:rsidRDefault="00C5530C" w:rsidP="00A32A7E">
      <w:pPr>
        <w:pStyle w:val="Odstavecseseznamem"/>
        <w:numPr>
          <w:ilvl w:val="0"/>
          <w:numId w:val="12"/>
        </w:numPr>
      </w:pPr>
      <w:r>
        <w:t>Podmínka platí pro všechny stavební práce – nové budovy i renovace, jiné stavební práce.</w:t>
      </w:r>
    </w:p>
    <w:p w14:paraId="0053CCEA" w14:textId="22730D93" w:rsidR="00602DCA" w:rsidRDefault="00C5530C" w:rsidP="00A32A7E">
      <w:pPr>
        <w:pStyle w:val="Odstavecseseznamem"/>
        <w:numPr>
          <w:ilvl w:val="0"/>
          <w:numId w:val="12"/>
        </w:numPr>
      </w:pPr>
      <w:r>
        <w:t xml:space="preserve">Nutné důkladně přečíst </w:t>
      </w:r>
      <w:r w:rsidR="00BA4D71">
        <w:t>podmínku – pouze</w:t>
      </w:r>
      <w:r>
        <w:t xml:space="preserve"> relevantní v podmínce vymezený stavební odpad a materiál (nezahrnovat ostatní skupiny odpadů a materiálů).</w:t>
      </w:r>
    </w:p>
    <w:p w14:paraId="29E8E222" w14:textId="32DC87A9" w:rsidR="00602DCA" w:rsidRDefault="00C5530C" w:rsidP="00A32A7E">
      <w:pPr>
        <w:pStyle w:val="Odstavecseseznamem"/>
        <w:numPr>
          <w:ilvl w:val="0"/>
          <w:numId w:val="12"/>
        </w:numPr>
      </w:pPr>
      <w:r>
        <w:t xml:space="preserve">Podmínku je nutné plnit na každý </w:t>
      </w:r>
      <w:r w:rsidR="00BA4D71">
        <w:t>projekt – pakliže</w:t>
      </w:r>
      <w:r>
        <w:t xml:space="preserve"> jsou opatření, kde skutečně splnit nelze, je nutné výjimku</w:t>
      </w:r>
      <w:r w:rsidR="00BC495B">
        <w:t xml:space="preserve"> odůvodnit a dokumentovat</w:t>
      </w:r>
      <w:r>
        <w:t>.</w:t>
      </w:r>
    </w:p>
    <w:p w14:paraId="4E646017" w14:textId="7446D294" w:rsidR="00BC495B" w:rsidRDefault="00C5530C" w:rsidP="00A32A7E">
      <w:pPr>
        <w:pStyle w:val="Odstavecseseznamem"/>
        <w:numPr>
          <w:ilvl w:val="0"/>
          <w:numId w:val="12"/>
        </w:numPr>
        <w:rPr>
          <w:b/>
        </w:rPr>
      </w:pPr>
      <w:r>
        <w:rPr>
          <w:b/>
        </w:rPr>
        <w:t>Skládkování včetně technického zajištění skládky</w:t>
      </w:r>
      <w:r w:rsidR="00522759">
        <w:rPr>
          <w:b/>
        </w:rPr>
        <w:t xml:space="preserve">, </w:t>
      </w:r>
      <w:r w:rsidR="00C85D77">
        <w:rPr>
          <w:b/>
        </w:rPr>
        <w:t xml:space="preserve">zasypávání, </w:t>
      </w:r>
      <w:r w:rsidR="00522759">
        <w:rPr>
          <w:b/>
        </w:rPr>
        <w:t xml:space="preserve">spalování a energetické využití odpadu kromě nebezpečného odpadu </w:t>
      </w:r>
      <w:r w:rsidR="00BC495B">
        <w:rPr>
          <w:b/>
        </w:rPr>
        <w:t>nelze započíst jako udržitelné naložení s odpadem v rámci podmínky 70 %.</w:t>
      </w:r>
    </w:p>
    <w:p w14:paraId="0DF98238" w14:textId="4397871A" w:rsidR="00602DCA" w:rsidRDefault="00BC495B" w:rsidP="00A32A7E">
      <w:pPr>
        <w:pStyle w:val="Odstavecseseznamem"/>
        <w:numPr>
          <w:ilvl w:val="0"/>
          <w:numId w:val="12"/>
        </w:numPr>
        <w:rPr>
          <w:b/>
        </w:rPr>
      </w:pPr>
      <w:r>
        <w:rPr>
          <w:b/>
        </w:rPr>
        <w:t xml:space="preserve">Podpora provozovatelů skládek </w:t>
      </w:r>
      <w:r w:rsidR="00C5530C">
        <w:rPr>
          <w:b/>
        </w:rPr>
        <w:t>je explicitně vyloučen</w:t>
      </w:r>
      <w:r>
        <w:rPr>
          <w:b/>
        </w:rPr>
        <w:t>a</w:t>
      </w:r>
      <w:r w:rsidR="00C5530C">
        <w:rPr>
          <w:b/>
        </w:rPr>
        <w:t xml:space="preserve"> dle čl. 17 nařízení 852/2020, na který se legislativa EU fondů z pohledu zásady DNSH odkazuje.</w:t>
      </w:r>
    </w:p>
    <w:p w14:paraId="380549A7" w14:textId="77777777" w:rsidR="00602DCA" w:rsidRDefault="00602DCA">
      <w:pPr>
        <w:rPr>
          <w:b/>
        </w:rPr>
      </w:pPr>
    </w:p>
    <w:p w14:paraId="3DE7650F" w14:textId="36F13764" w:rsidR="00602DCA" w:rsidRDefault="007F68AD" w:rsidP="00EA4CB0">
      <w:pPr>
        <w:keepNext/>
        <w:rPr>
          <w:b/>
        </w:rPr>
      </w:pPr>
      <w:r>
        <w:rPr>
          <w:b/>
        </w:rPr>
        <w:t xml:space="preserve">Administrátor zdrojů EU </w:t>
      </w:r>
      <w:r w:rsidR="00C5530C">
        <w:rPr>
          <w:b/>
        </w:rPr>
        <w:t>podmínku nakládání s odpady zavede do podmínek výzvy a pravidel pro žadatele, s tím, že její plnění lze dokládat následovně:</w:t>
      </w:r>
    </w:p>
    <w:p w14:paraId="711CBEAC" w14:textId="0143028E" w:rsidR="00602DCA" w:rsidRDefault="00C5530C" w:rsidP="00A32A7E">
      <w:pPr>
        <w:pStyle w:val="Odstavecseseznamem"/>
        <w:numPr>
          <w:ilvl w:val="0"/>
          <w:numId w:val="18"/>
        </w:numPr>
      </w:pPr>
      <w:r>
        <w:t xml:space="preserve">plnění této povinnosti u stavebních úprav pro malé projekty, zejm. kde jsou příjemci domácnosti (dle stavebního zákona </w:t>
      </w:r>
      <w:r w:rsidR="00EF0537" w:rsidRPr="00EF0537">
        <w:t>283/2021</w:t>
      </w:r>
      <w:r>
        <w:t>) je doloženo dokumentem Závěrečná zpráva odborného technického dozoru (formou čestného prohlášení).</w:t>
      </w:r>
    </w:p>
    <w:p w14:paraId="76CBBE99" w14:textId="02C5AC99" w:rsidR="00602DCA" w:rsidRDefault="00C5530C" w:rsidP="00A32A7E">
      <w:pPr>
        <w:pStyle w:val="Odstavecseseznamem"/>
        <w:numPr>
          <w:ilvl w:val="0"/>
          <w:numId w:val="18"/>
        </w:numPr>
      </w:pPr>
      <w:r>
        <w:t xml:space="preserve">plnění této povinnosti u staveb (dle stavebního zákona </w:t>
      </w:r>
      <w:r w:rsidR="00EF0537" w:rsidRPr="00EF0537">
        <w:t>283/2021</w:t>
      </w:r>
      <w:r>
        <w:t xml:space="preserve">) je doloženo kopií smlouvy o zajištění předání produkovaných stavebních a demoličních odpadů do </w:t>
      </w:r>
      <w:r>
        <w:lastRenderedPageBreak/>
        <w:t>zařízení určeného pro nakládání s daným druhem a kategorií odpadu dle § 15 odst. 2 písm. c) zákona č. 541/2020 Sb., o odpadech; a dokladem o převzetí odpadů od provozovatele zařízení dle § 17 odst. 1 písm. c) zákona č. 541/2020 Sb., o odpadech.</w:t>
      </w:r>
    </w:p>
    <w:p w14:paraId="015BE600" w14:textId="77777777" w:rsidR="00602DCA" w:rsidRDefault="00C5530C" w:rsidP="00A32A7E">
      <w:pPr>
        <w:pStyle w:val="Odstavecseseznamem"/>
        <w:numPr>
          <w:ilvl w:val="0"/>
          <w:numId w:val="18"/>
        </w:numPr>
      </w:pPr>
      <w:r>
        <w:t>Pozn.: Smlouvu dle zákona musí mít původce odpadu ještě před vznikem odpadu – doporučuje se proto dokládání smlouvy již při žádosti o podporu; doklad o převzetí – doloží žadatel po realizaci opatření.</w:t>
      </w:r>
    </w:p>
    <w:p w14:paraId="3D934F90" w14:textId="3397D44B" w:rsidR="00602DCA" w:rsidRDefault="00C5530C">
      <w:r>
        <w:t xml:space="preserve">Dále se doporučuje odkázat žadatele na </w:t>
      </w:r>
      <w:hyperlink r:id="rId155" w:history="1">
        <w:r w:rsidRPr="00C96855">
          <w:rPr>
            <w:rStyle w:val="Hypertextovodkaz"/>
          </w:rPr>
          <w:t>metodický návod pro řízení vzniku stavebních a demoličních odpadů (SDO) a pro nakládání s nimi</w:t>
        </w:r>
      </w:hyperlink>
      <w:r w:rsidR="00124164">
        <w:t>, který</w:t>
      </w:r>
      <w:r>
        <w:t xml:space="preserve"> je zaměřen zejména na problematiku vzniku odpadů z údržby, změn dokončených staveb a odstraňování staveb budov a staveb dopravní infrastruktury a stanovuje postupy, které směřují k vysoké úrovni ochrany zdraví lidí při nakládání s odpady a ke snížení rizika znečišťování nebo ohrožení životního prostředí.</w:t>
      </w:r>
    </w:p>
    <w:p w14:paraId="57601EAE" w14:textId="77777777" w:rsidR="00602DCA" w:rsidRDefault="00602DCA"/>
    <w:p w14:paraId="1D85D693" w14:textId="77777777" w:rsidR="00602DCA" w:rsidRDefault="00C5530C">
      <w:pPr>
        <w:pStyle w:val="Nadpis3"/>
      </w:pPr>
      <w:r>
        <w:t xml:space="preserve">Vzorová pravidla pro žadatele </w:t>
      </w:r>
    </w:p>
    <w:p w14:paraId="32858551" w14:textId="77777777" w:rsidR="00602DCA" w:rsidRDefault="00C5530C">
      <w:pPr>
        <w:pStyle w:val="normlntun"/>
        <w:rPr>
          <w:sz w:val="22"/>
          <w:szCs w:val="20"/>
          <w:shd w:val="clear" w:color="auto" w:fill="FFFFFF"/>
        </w:rPr>
      </w:pPr>
      <w:r>
        <w:rPr>
          <w:sz w:val="22"/>
          <w:szCs w:val="20"/>
          <w:shd w:val="clear" w:color="auto" w:fill="FFFFFF"/>
        </w:rPr>
        <w:t>Odpadové hospodářství je založeno na </w:t>
      </w:r>
      <w:r>
        <w:rPr>
          <w:sz w:val="22"/>
          <w:szCs w:val="20"/>
        </w:rPr>
        <w:t>hierarchii</w:t>
      </w:r>
      <w:r>
        <w:rPr>
          <w:sz w:val="22"/>
          <w:szCs w:val="20"/>
          <w:shd w:val="clear" w:color="auto" w:fill="FFFFFF"/>
        </w:rPr>
        <w:t xml:space="preserve"> odpadového hospodářství, podle níž je </w:t>
      </w:r>
    </w:p>
    <w:p w14:paraId="47584BF1" w14:textId="77777777" w:rsidR="00602DCA" w:rsidRDefault="00C5530C" w:rsidP="00A32A7E">
      <w:pPr>
        <w:pStyle w:val="normlntun"/>
        <w:numPr>
          <w:ilvl w:val="0"/>
          <w:numId w:val="15"/>
        </w:numPr>
        <w:rPr>
          <w:sz w:val="22"/>
          <w:szCs w:val="20"/>
          <w:shd w:val="clear" w:color="auto" w:fill="FFFFFF"/>
        </w:rPr>
      </w:pPr>
      <w:r>
        <w:rPr>
          <w:sz w:val="22"/>
          <w:szCs w:val="20"/>
          <w:shd w:val="clear" w:color="auto" w:fill="FFFFFF"/>
        </w:rPr>
        <w:t>prioritou</w:t>
      </w:r>
      <w:r>
        <w:rPr>
          <w:b/>
          <w:sz w:val="22"/>
          <w:szCs w:val="20"/>
          <w:shd w:val="clear" w:color="auto" w:fill="FFFFFF"/>
        </w:rPr>
        <w:t xml:space="preserve"> předcházení vzniku odpadu</w:t>
      </w:r>
      <w:r>
        <w:rPr>
          <w:sz w:val="22"/>
          <w:szCs w:val="20"/>
          <w:shd w:val="clear" w:color="auto" w:fill="FFFFFF"/>
        </w:rPr>
        <w:t xml:space="preserve">, </w:t>
      </w:r>
    </w:p>
    <w:p w14:paraId="21663C63" w14:textId="77777777" w:rsidR="00602DCA" w:rsidRDefault="00C5530C" w:rsidP="00A32A7E">
      <w:pPr>
        <w:pStyle w:val="normlntun"/>
        <w:numPr>
          <w:ilvl w:val="0"/>
          <w:numId w:val="15"/>
        </w:numPr>
        <w:rPr>
          <w:b/>
          <w:sz w:val="22"/>
          <w:szCs w:val="20"/>
          <w:shd w:val="clear" w:color="auto" w:fill="FFFFFF"/>
        </w:rPr>
      </w:pPr>
      <w:r>
        <w:rPr>
          <w:sz w:val="22"/>
          <w:szCs w:val="20"/>
          <w:shd w:val="clear" w:color="auto" w:fill="FFFFFF"/>
        </w:rPr>
        <w:t xml:space="preserve">a nelze-li vzniku odpadu předejít, pak v následujícím pořadí jeho </w:t>
      </w:r>
      <w:r>
        <w:rPr>
          <w:b/>
          <w:sz w:val="22"/>
          <w:szCs w:val="20"/>
          <w:shd w:val="clear" w:color="auto" w:fill="FFFFFF"/>
        </w:rPr>
        <w:t xml:space="preserve">příprava k opětovnému použití, </w:t>
      </w:r>
    </w:p>
    <w:p w14:paraId="6A2761A7" w14:textId="77777777" w:rsidR="00602DCA" w:rsidRDefault="00C5530C" w:rsidP="00A32A7E">
      <w:pPr>
        <w:pStyle w:val="normlntun"/>
        <w:numPr>
          <w:ilvl w:val="0"/>
          <w:numId w:val="15"/>
        </w:numPr>
        <w:rPr>
          <w:sz w:val="22"/>
          <w:szCs w:val="20"/>
          <w:shd w:val="clear" w:color="auto" w:fill="FFFFFF"/>
        </w:rPr>
      </w:pPr>
      <w:r>
        <w:rPr>
          <w:b/>
          <w:sz w:val="22"/>
          <w:szCs w:val="20"/>
          <w:shd w:val="clear" w:color="auto" w:fill="FFFFFF"/>
        </w:rPr>
        <w:t xml:space="preserve">recyklace, </w:t>
      </w:r>
    </w:p>
    <w:p w14:paraId="03DA2CA6" w14:textId="708B67EB" w:rsidR="00602DCA" w:rsidRDefault="00C5530C" w:rsidP="00A32A7E">
      <w:pPr>
        <w:pStyle w:val="normlntun"/>
        <w:numPr>
          <w:ilvl w:val="0"/>
          <w:numId w:val="15"/>
        </w:numPr>
        <w:rPr>
          <w:sz w:val="22"/>
          <w:szCs w:val="20"/>
          <w:shd w:val="clear" w:color="auto" w:fill="FFFFFF"/>
        </w:rPr>
      </w:pPr>
      <w:r>
        <w:rPr>
          <w:b/>
          <w:sz w:val="22"/>
          <w:szCs w:val="20"/>
          <w:shd w:val="clear" w:color="auto" w:fill="FFFFFF"/>
        </w:rPr>
        <w:t>jiné využití</w:t>
      </w:r>
      <w:r w:rsidR="00AB2D04">
        <w:rPr>
          <w:b/>
          <w:sz w:val="22"/>
          <w:szCs w:val="20"/>
          <w:shd w:val="clear" w:color="auto" w:fill="FFFFFF"/>
        </w:rPr>
        <w:t xml:space="preserve"> (např. energetické využití)</w:t>
      </w:r>
      <w:r>
        <w:rPr>
          <w:sz w:val="22"/>
          <w:szCs w:val="20"/>
          <w:shd w:val="clear" w:color="auto" w:fill="FFFFFF"/>
        </w:rPr>
        <w:t xml:space="preserve">, </w:t>
      </w:r>
    </w:p>
    <w:p w14:paraId="63EF7BC6" w14:textId="77777777" w:rsidR="00602DCA" w:rsidRDefault="00C5530C" w:rsidP="00A32A7E">
      <w:pPr>
        <w:pStyle w:val="normlntun"/>
        <w:numPr>
          <w:ilvl w:val="0"/>
          <w:numId w:val="15"/>
        </w:numPr>
        <w:rPr>
          <w:sz w:val="22"/>
          <w:szCs w:val="20"/>
        </w:rPr>
      </w:pPr>
      <w:r>
        <w:rPr>
          <w:sz w:val="22"/>
          <w:szCs w:val="20"/>
          <w:shd w:val="clear" w:color="auto" w:fill="FFFFFF"/>
        </w:rPr>
        <w:t xml:space="preserve">a není-li možné ani to, jeho </w:t>
      </w:r>
      <w:r>
        <w:rPr>
          <w:b/>
          <w:sz w:val="22"/>
          <w:szCs w:val="20"/>
          <w:shd w:val="clear" w:color="auto" w:fill="FFFFFF"/>
        </w:rPr>
        <w:t>odstranění</w:t>
      </w:r>
      <w:r>
        <w:rPr>
          <w:sz w:val="22"/>
          <w:szCs w:val="20"/>
          <w:shd w:val="clear" w:color="auto" w:fill="FFFFFF"/>
        </w:rPr>
        <w:t>.</w:t>
      </w:r>
      <w:r>
        <w:rPr>
          <w:sz w:val="22"/>
          <w:szCs w:val="20"/>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978"/>
        <w:gridCol w:w="3260"/>
        <w:gridCol w:w="4802"/>
      </w:tblGrid>
      <w:tr w:rsidR="00602DCA" w14:paraId="4D074933" w14:textId="77777777">
        <w:trPr>
          <w:trHeight w:val="741"/>
          <w:jc w:val="center"/>
        </w:trPr>
        <w:tc>
          <w:tcPr>
            <w:tcW w:w="541" w:type="pct"/>
            <w:shd w:val="clear" w:color="auto" w:fill="B5CD00"/>
            <w:tcMar>
              <w:top w:w="0" w:type="dxa"/>
              <w:left w:w="70" w:type="dxa"/>
              <w:bottom w:w="0" w:type="dxa"/>
              <w:right w:w="70" w:type="dxa"/>
            </w:tcMar>
            <w:vAlign w:val="center"/>
          </w:tcPr>
          <w:p w14:paraId="756C3FDB" w14:textId="77777777" w:rsidR="00602DCA" w:rsidRDefault="00C5530C">
            <w:pPr>
              <w:pStyle w:val="Textnadpisvtabulce"/>
              <w:rPr>
                <w:szCs w:val="20"/>
              </w:rPr>
            </w:pPr>
            <w:r>
              <w:rPr>
                <w:szCs w:val="20"/>
              </w:rPr>
              <w:t>označení</w:t>
            </w:r>
          </w:p>
        </w:tc>
        <w:tc>
          <w:tcPr>
            <w:tcW w:w="1803" w:type="pct"/>
            <w:shd w:val="clear" w:color="auto" w:fill="B5CD00"/>
            <w:tcMar>
              <w:top w:w="0" w:type="dxa"/>
              <w:left w:w="70" w:type="dxa"/>
              <w:bottom w:w="0" w:type="dxa"/>
              <w:right w:w="70" w:type="dxa"/>
            </w:tcMar>
            <w:vAlign w:val="center"/>
          </w:tcPr>
          <w:p w14:paraId="54DAA819" w14:textId="77777777" w:rsidR="00602DCA" w:rsidRDefault="00C5530C">
            <w:pPr>
              <w:pStyle w:val="Textnadpisvtabulce"/>
              <w:rPr>
                <w:szCs w:val="20"/>
              </w:rPr>
            </w:pPr>
            <w:r>
              <w:rPr>
                <w:color w:val="000000"/>
                <w:szCs w:val="20"/>
              </w:rPr>
              <w:t>stavební a demoliční odpady</w:t>
            </w:r>
          </w:p>
        </w:tc>
        <w:tc>
          <w:tcPr>
            <w:tcW w:w="2656" w:type="pct"/>
            <w:shd w:val="clear" w:color="auto" w:fill="B5CD00"/>
            <w:tcMar>
              <w:top w:w="0" w:type="dxa"/>
              <w:left w:w="70" w:type="dxa"/>
              <w:bottom w:w="0" w:type="dxa"/>
              <w:right w:w="70" w:type="dxa"/>
            </w:tcMar>
            <w:vAlign w:val="center"/>
          </w:tcPr>
          <w:p w14:paraId="636FA484" w14:textId="77777777" w:rsidR="00602DCA" w:rsidRDefault="00C5530C">
            <w:pPr>
              <w:pStyle w:val="Textnadpisvtabulce"/>
              <w:rPr>
                <w:szCs w:val="20"/>
              </w:rPr>
            </w:pPr>
            <w:r>
              <w:rPr>
                <w:szCs w:val="20"/>
              </w:rPr>
              <w:t>využití</w:t>
            </w:r>
          </w:p>
        </w:tc>
      </w:tr>
      <w:tr w:rsidR="00602DCA" w14:paraId="52F986B5" w14:textId="77777777">
        <w:trPr>
          <w:trHeight w:val="570"/>
          <w:jc w:val="center"/>
        </w:trPr>
        <w:tc>
          <w:tcPr>
            <w:tcW w:w="541" w:type="pct"/>
            <w:tcMar>
              <w:top w:w="0" w:type="dxa"/>
              <w:left w:w="70" w:type="dxa"/>
              <w:bottom w:w="0" w:type="dxa"/>
              <w:right w:w="70" w:type="dxa"/>
            </w:tcMar>
            <w:vAlign w:val="center"/>
          </w:tcPr>
          <w:p w14:paraId="2B8FFCED" w14:textId="77777777" w:rsidR="00602DCA" w:rsidRDefault="00C5530C">
            <w:pPr>
              <w:pStyle w:val="Textnadpisvtabulce"/>
              <w:rPr>
                <w:b w:val="0"/>
                <w:szCs w:val="20"/>
              </w:rPr>
            </w:pPr>
            <w:r>
              <w:rPr>
                <w:b w:val="0"/>
                <w:color w:val="000000"/>
                <w:szCs w:val="20"/>
              </w:rPr>
              <w:t>17 01</w:t>
            </w:r>
          </w:p>
        </w:tc>
        <w:tc>
          <w:tcPr>
            <w:tcW w:w="1803" w:type="pct"/>
            <w:tcMar>
              <w:top w:w="0" w:type="dxa"/>
              <w:left w:w="70" w:type="dxa"/>
              <w:bottom w:w="0" w:type="dxa"/>
              <w:right w:w="70" w:type="dxa"/>
            </w:tcMar>
            <w:vAlign w:val="center"/>
          </w:tcPr>
          <w:p w14:paraId="4DE6C9F1" w14:textId="77777777" w:rsidR="00602DCA" w:rsidRDefault="00C5530C">
            <w:pPr>
              <w:pStyle w:val="Textvtabulce"/>
              <w:contextualSpacing w:val="0"/>
              <w:rPr>
                <w:szCs w:val="20"/>
              </w:rPr>
            </w:pPr>
            <w:r>
              <w:rPr>
                <w:color w:val="000000"/>
                <w:szCs w:val="20"/>
              </w:rPr>
              <w:t>BETON, CIHLY, TAŠKY A KERAMIKA</w:t>
            </w:r>
          </w:p>
        </w:tc>
        <w:tc>
          <w:tcPr>
            <w:tcW w:w="2656" w:type="pct"/>
            <w:tcMar>
              <w:top w:w="0" w:type="dxa"/>
              <w:left w:w="70" w:type="dxa"/>
              <w:bottom w:w="0" w:type="dxa"/>
              <w:right w:w="70" w:type="dxa"/>
            </w:tcMar>
            <w:vAlign w:val="center"/>
          </w:tcPr>
          <w:p w14:paraId="29DE0515" w14:textId="77777777" w:rsidR="00602DCA" w:rsidRDefault="00C5530C">
            <w:pPr>
              <w:pStyle w:val="Textvtabulce"/>
              <w:rPr>
                <w:szCs w:val="20"/>
              </w:rPr>
            </w:pPr>
            <w:r>
              <w:rPr>
                <w:szCs w:val="20"/>
              </w:rPr>
              <w:t>Odpady jako jsou betonové a železobetonové konstrukce, tvárnice, cihly) je vhodné použít buď jako celek k jejich původnímu účelu (cihly, železobetonové nosníky apod.), nebo je předat k úpravě (drcení, třídění) a recyklaci do zařízení k tomu určených (recyklační linky). Recyklované odpady pak mohou být následně využity jinde.</w:t>
            </w:r>
          </w:p>
          <w:p w14:paraId="4575CB00" w14:textId="77777777" w:rsidR="00602DCA" w:rsidRDefault="00C5530C">
            <w:pPr>
              <w:pStyle w:val="Textvtabulce"/>
              <w:rPr>
                <w:szCs w:val="20"/>
                <w:highlight w:val="yellow"/>
              </w:rPr>
            </w:pPr>
            <w:r>
              <w:rPr>
                <w:szCs w:val="20"/>
              </w:rPr>
              <w:t>Pokud nelze odpady opětovně použít, recyklovat ani jinak využít, lze je předat k odstranění na skládku odpadů. V některých obcích je možné za stanovených podmínek předání do sběrného dvora.</w:t>
            </w:r>
          </w:p>
        </w:tc>
      </w:tr>
      <w:tr w:rsidR="00602DCA" w14:paraId="7476FFDC" w14:textId="77777777">
        <w:trPr>
          <w:trHeight w:val="589"/>
          <w:jc w:val="center"/>
        </w:trPr>
        <w:tc>
          <w:tcPr>
            <w:tcW w:w="541" w:type="pct"/>
            <w:tcMar>
              <w:top w:w="0" w:type="dxa"/>
              <w:left w:w="70" w:type="dxa"/>
              <w:bottom w:w="0" w:type="dxa"/>
              <w:right w:w="70" w:type="dxa"/>
            </w:tcMar>
            <w:vAlign w:val="center"/>
          </w:tcPr>
          <w:p w14:paraId="49B1A113" w14:textId="77777777" w:rsidR="00602DCA" w:rsidRDefault="00C5530C">
            <w:pPr>
              <w:pStyle w:val="Textnadpisvtabulce"/>
              <w:rPr>
                <w:b w:val="0"/>
                <w:szCs w:val="20"/>
              </w:rPr>
            </w:pPr>
            <w:r>
              <w:rPr>
                <w:b w:val="0"/>
                <w:color w:val="000000"/>
                <w:szCs w:val="20"/>
              </w:rPr>
              <w:t>17 02</w:t>
            </w:r>
          </w:p>
        </w:tc>
        <w:tc>
          <w:tcPr>
            <w:tcW w:w="1803" w:type="pct"/>
            <w:tcMar>
              <w:top w:w="0" w:type="dxa"/>
              <w:left w:w="70" w:type="dxa"/>
              <w:bottom w:w="0" w:type="dxa"/>
              <w:right w:w="70" w:type="dxa"/>
            </w:tcMar>
            <w:vAlign w:val="center"/>
          </w:tcPr>
          <w:p w14:paraId="3E7D2F24" w14:textId="77777777" w:rsidR="00602DCA" w:rsidRDefault="00C5530C">
            <w:pPr>
              <w:pStyle w:val="Textvtabulce"/>
              <w:contextualSpacing w:val="0"/>
              <w:rPr>
                <w:szCs w:val="20"/>
              </w:rPr>
            </w:pPr>
            <w:r>
              <w:rPr>
                <w:color w:val="000000"/>
                <w:szCs w:val="20"/>
              </w:rPr>
              <w:t>DŘEVO, SKLO A PLASTY</w:t>
            </w:r>
          </w:p>
        </w:tc>
        <w:tc>
          <w:tcPr>
            <w:tcW w:w="2656" w:type="pct"/>
            <w:tcMar>
              <w:top w:w="0" w:type="dxa"/>
              <w:left w:w="70" w:type="dxa"/>
              <w:bottom w:w="0" w:type="dxa"/>
              <w:right w:w="70" w:type="dxa"/>
            </w:tcMar>
            <w:vAlign w:val="center"/>
          </w:tcPr>
          <w:p w14:paraId="63865EBA" w14:textId="77777777" w:rsidR="00602DCA" w:rsidRDefault="00C5530C" w:rsidP="006A45B6">
            <w:pPr>
              <w:pStyle w:val="Textvtabulce"/>
              <w:contextualSpacing w:val="0"/>
              <w:rPr>
                <w:szCs w:val="20"/>
              </w:rPr>
            </w:pPr>
            <w:r>
              <w:rPr>
                <w:szCs w:val="20"/>
              </w:rPr>
              <w:t xml:space="preserve">Dřevěné části staveb neobsahující nebezpečné látky (bez nátěrů apod.) je možné opětovně použít nebo materiálově využít (např. opětovné použití trámu, </w:t>
            </w:r>
            <w:r>
              <w:rPr>
                <w:szCs w:val="20"/>
              </w:rPr>
              <w:lastRenderedPageBreak/>
              <w:t>dřevo jako surovina pro výrobu dřevotřískových desek). Pokud to není možné, doporučuje se jejich energetické využití nebo odstranění spálením v příslušném zařízení k odstraňování odpadů. Jako paliva nemohou být spalovány dřevěné prvky stavby, které mohou obsahovat halogenované organické sloučeniny nebo těžké kovy v důsledku ošetření látkami na ochranu dřeva (např. železniční pražce, krovy) nebo nátěrovými hmotami (např. rámy oken).</w:t>
            </w:r>
          </w:p>
          <w:p w14:paraId="34ECFFEE" w14:textId="77777777" w:rsidR="00602DCA" w:rsidRPr="006A45B6" w:rsidRDefault="00602DCA" w:rsidP="006A45B6">
            <w:pPr>
              <w:pStyle w:val="Textvtabulce"/>
              <w:contextualSpacing w:val="0"/>
              <w:rPr>
                <w:szCs w:val="20"/>
              </w:rPr>
            </w:pPr>
          </w:p>
          <w:p w14:paraId="032318B1" w14:textId="77777777" w:rsidR="00602DCA" w:rsidRDefault="00C5530C" w:rsidP="006A45B6">
            <w:pPr>
              <w:pStyle w:val="Textvtabulce"/>
              <w:contextualSpacing w:val="0"/>
              <w:rPr>
                <w:szCs w:val="20"/>
                <w:highlight w:val="yellow"/>
              </w:rPr>
            </w:pPr>
            <w:r>
              <w:rPr>
                <w:szCs w:val="20"/>
              </w:rPr>
              <w:t>Skleněné a plastové odpady je nejvhodnější předat k recyklaci. V některých obcích je možné za stanovených podmínek předání do sběrného dvora.</w:t>
            </w:r>
          </w:p>
        </w:tc>
      </w:tr>
      <w:tr w:rsidR="00602DCA" w14:paraId="5FEC52DB" w14:textId="77777777">
        <w:trPr>
          <w:trHeight w:val="400"/>
          <w:jc w:val="center"/>
        </w:trPr>
        <w:tc>
          <w:tcPr>
            <w:tcW w:w="541" w:type="pct"/>
            <w:tcMar>
              <w:top w:w="0" w:type="dxa"/>
              <w:left w:w="70" w:type="dxa"/>
              <w:bottom w:w="0" w:type="dxa"/>
              <w:right w:w="70" w:type="dxa"/>
            </w:tcMar>
            <w:vAlign w:val="center"/>
          </w:tcPr>
          <w:p w14:paraId="144298A8" w14:textId="77777777" w:rsidR="00602DCA" w:rsidRDefault="00C5530C">
            <w:pPr>
              <w:pStyle w:val="Textnadpisvtabulce"/>
              <w:rPr>
                <w:b w:val="0"/>
                <w:szCs w:val="20"/>
              </w:rPr>
            </w:pPr>
            <w:r>
              <w:rPr>
                <w:b w:val="0"/>
                <w:color w:val="000000"/>
                <w:szCs w:val="20"/>
              </w:rPr>
              <w:lastRenderedPageBreak/>
              <w:t>17 03</w:t>
            </w:r>
          </w:p>
        </w:tc>
        <w:tc>
          <w:tcPr>
            <w:tcW w:w="1803" w:type="pct"/>
            <w:tcMar>
              <w:top w:w="0" w:type="dxa"/>
              <w:left w:w="70" w:type="dxa"/>
              <w:bottom w:w="0" w:type="dxa"/>
              <w:right w:w="70" w:type="dxa"/>
            </w:tcMar>
            <w:vAlign w:val="center"/>
          </w:tcPr>
          <w:p w14:paraId="59E727A4" w14:textId="77777777" w:rsidR="00602DCA" w:rsidRDefault="00C5530C">
            <w:pPr>
              <w:pStyle w:val="l2"/>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sz w:val="20"/>
                <w:szCs w:val="20"/>
              </w:rPr>
              <w:t>ASFALTOVÉ SMĚSI, DEHET A VÝROBKY Z DEHTU</w:t>
            </w:r>
          </w:p>
        </w:tc>
        <w:tc>
          <w:tcPr>
            <w:tcW w:w="2656" w:type="pct"/>
            <w:tcMar>
              <w:top w:w="0" w:type="dxa"/>
              <w:left w:w="70" w:type="dxa"/>
              <w:bottom w:w="0" w:type="dxa"/>
              <w:right w:w="70" w:type="dxa"/>
            </w:tcMar>
            <w:vAlign w:val="center"/>
          </w:tcPr>
          <w:p w14:paraId="13E8AAC7" w14:textId="77777777" w:rsidR="00602DCA" w:rsidRDefault="00C5530C">
            <w:pPr>
              <w:pStyle w:val="Textvtabulce"/>
              <w:contextualSpacing w:val="0"/>
              <w:rPr>
                <w:szCs w:val="20"/>
                <w:highlight w:val="yellow"/>
              </w:rPr>
            </w:pPr>
            <w:r>
              <w:rPr>
                <w:szCs w:val="20"/>
              </w:rPr>
              <w:t>Pokud odpad obsahuje dehet, jedná se o nebezpečný odpad. Asfaltové zpevněné povrchy jsou využívány až po jejich úpravě (drcení, třídění) v zařízeních k tomu určených (recyklačních linkách).</w:t>
            </w:r>
          </w:p>
        </w:tc>
      </w:tr>
      <w:tr w:rsidR="00602DCA" w14:paraId="2937AC25" w14:textId="77777777">
        <w:trPr>
          <w:trHeight w:val="400"/>
          <w:jc w:val="center"/>
        </w:trPr>
        <w:tc>
          <w:tcPr>
            <w:tcW w:w="541" w:type="pct"/>
            <w:tcMar>
              <w:top w:w="0" w:type="dxa"/>
              <w:left w:w="70" w:type="dxa"/>
              <w:bottom w:w="0" w:type="dxa"/>
              <w:right w:w="70" w:type="dxa"/>
            </w:tcMar>
            <w:vAlign w:val="center"/>
          </w:tcPr>
          <w:p w14:paraId="08338F1A" w14:textId="77777777" w:rsidR="00602DCA" w:rsidRDefault="00C5530C">
            <w:pPr>
              <w:pStyle w:val="Textnadpisvtabulce"/>
              <w:rPr>
                <w:b w:val="0"/>
                <w:szCs w:val="20"/>
              </w:rPr>
            </w:pPr>
            <w:r>
              <w:rPr>
                <w:b w:val="0"/>
                <w:color w:val="000000"/>
                <w:szCs w:val="20"/>
              </w:rPr>
              <w:t>17 04</w:t>
            </w:r>
          </w:p>
        </w:tc>
        <w:tc>
          <w:tcPr>
            <w:tcW w:w="1803" w:type="pct"/>
            <w:tcMar>
              <w:top w:w="0" w:type="dxa"/>
              <w:left w:w="70" w:type="dxa"/>
              <w:bottom w:w="0" w:type="dxa"/>
              <w:right w:w="70" w:type="dxa"/>
            </w:tcMar>
            <w:vAlign w:val="center"/>
          </w:tcPr>
          <w:p w14:paraId="3D058F5E" w14:textId="77777777" w:rsidR="00602DCA" w:rsidRDefault="00C5530C">
            <w:pPr>
              <w:pStyle w:val="l2"/>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sz w:val="20"/>
                <w:szCs w:val="20"/>
              </w:rPr>
              <w:t>KOVY</w:t>
            </w:r>
          </w:p>
        </w:tc>
        <w:tc>
          <w:tcPr>
            <w:tcW w:w="2656" w:type="pct"/>
            <w:tcMar>
              <w:top w:w="0" w:type="dxa"/>
              <w:left w:w="70" w:type="dxa"/>
              <w:bottom w:w="0" w:type="dxa"/>
              <w:right w:w="70" w:type="dxa"/>
            </w:tcMar>
            <w:vAlign w:val="center"/>
          </w:tcPr>
          <w:p w14:paraId="1959E876" w14:textId="77777777" w:rsidR="00602DCA" w:rsidRDefault="00C5530C">
            <w:pPr>
              <w:pStyle w:val="Textvtabulce"/>
              <w:contextualSpacing w:val="0"/>
              <w:rPr>
                <w:szCs w:val="20"/>
                <w:highlight w:val="yellow"/>
              </w:rPr>
            </w:pPr>
            <w:r>
              <w:rPr>
                <w:szCs w:val="20"/>
              </w:rPr>
              <w:t>Kovové stavební prvky ze staveb je možné opětovně použít (např. plechy, pásy, profily, výztuž do betonu, dráty) nebo předat k recyklaci. V některých obcích je možné za stanovených podmínek předání do sběrného dvora.</w:t>
            </w:r>
          </w:p>
        </w:tc>
      </w:tr>
      <w:tr w:rsidR="00602DCA" w14:paraId="16570E6C" w14:textId="77777777">
        <w:trPr>
          <w:trHeight w:val="400"/>
          <w:jc w:val="center"/>
        </w:trPr>
        <w:tc>
          <w:tcPr>
            <w:tcW w:w="541" w:type="pct"/>
            <w:tcMar>
              <w:top w:w="0" w:type="dxa"/>
              <w:left w:w="70" w:type="dxa"/>
              <w:bottom w:w="0" w:type="dxa"/>
              <w:right w:w="70" w:type="dxa"/>
            </w:tcMar>
            <w:vAlign w:val="center"/>
          </w:tcPr>
          <w:p w14:paraId="57D3C089" w14:textId="77777777" w:rsidR="00602DCA" w:rsidRDefault="00C5530C">
            <w:pPr>
              <w:pStyle w:val="Textnadpisvtabulce"/>
              <w:rPr>
                <w:b w:val="0"/>
                <w:szCs w:val="20"/>
              </w:rPr>
            </w:pPr>
            <w:r>
              <w:rPr>
                <w:b w:val="0"/>
                <w:color w:val="000000"/>
                <w:szCs w:val="20"/>
              </w:rPr>
              <w:t>17 05</w:t>
            </w:r>
          </w:p>
        </w:tc>
        <w:tc>
          <w:tcPr>
            <w:tcW w:w="1803" w:type="pct"/>
            <w:tcMar>
              <w:top w:w="0" w:type="dxa"/>
              <w:left w:w="70" w:type="dxa"/>
              <w:bottom w:w="0" w:type="dxa"/>
              <w:right w:w="70" w:type="dxa"/>
            </w:tcMar>
            <w:vAlign w:val="center"/>
          </w:tcPr>
          <w:p w14:paraId="718E3157" w14:textId="77777777" w:rsidR="00602DCA" w:rsidRDefault="00C5530C">
            <w:pPr>
              <w:pStyle w:val="l2"/>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sz w:val="20"/>
                <w:szCs w:val="20"/>
              </w:rPr>
              <w:t>ZEMINA, KAMENÍ, VYTĚŽENÁ JALOVÁ HORNINA A HLUŠINA</w:t>
            </w:r>
          </w:p>
        </w:tc>
        <w:tc>
          <w:tcPr>
            <w:tcW w:w="2656" w:type="pct"/>
            <w:tcMar>
              <w:top w:w="0" w:type="dxa"/>
              <w:left w:w="70" w:type="dxa"/>
              <w:bottom w:w="0" w:type="dxa"/>
              <w:right w:w="70" w:type="dxa"/>
            </w:tcMar>
            <w:vAlign w:val="center"/>
          </w:tcPr>
          <w:p w14:paraId="7707D42F" w14:textId="77777777" w:rsidR="00602DCA" w:rsidRDefault="00C5530C">
            <w:pPr>
              <w:pStyle w:val="Textvtabulce"/>
              <w:contextualSpacing w:val="0"/>
              <w:rPr>
                <w:szCs w:val="20"/>
              </w:rPr>
            </w:pPr>
            <w:r>
              <w:rPr>
                <w:szCs w:val="20"/>
              </w:rPr>
              <w:t>Zeminu se doporučuje opětovně použít přímo v místě vzniku (na dané stavbě) k terénním úpravám na vlastním pozemku, pokud je to možné. Lze ji také předat k opětovnému použití na jiném místě, pokud ji původce není schopný sám použít (pozor, pak je nutné mít uzavřenou smlouvu o tom, že zemina bude využita a jakým způsobem). Při manipulaci a přesunech zemin a štěrků jsou realizována opatření k zamezení šíření invazních druhů.</w:t>
            </w:r>
          </w:p>
          <w:p w14:paraId="0263F967" w14:textId="77777777" w:rsidR="00602DCA" w:rsidRDefault="00C5530C">
            <w:pPr>
              <w:pStyle w:val="Textvtabulce"/>
              <w:contextualSpacing w:val="0"/>
              <w:rPr>
                <w:szCs w:val="20"/>
              </w:rPr>
            </w:pPr>
            <w:r>
              <w:rPr>
                <w:szCs w:val="20"/>
              </w:rPr>
              <w:t>Případně lze zeminu předat k recyklaci. V některých obcích je možné za stanovených podmínek předání do sběrného dvora.</w:t>
            </w:r>
          </w:p>
          <w:p w14:paraId="50638E4D" w14:textId="77777777" w:rsidR="00602DCA" w:rsidRDefault="00C5530C">
            <w:pPr>
              <w:pStyle w:val="Textkomente"/>
            </w:pPr>
            <w:r>
              <w:t xml:space="preserve">Pozn.: Podmínka plnění se nevtahuje na kat. č. 17 05 04 </w:t>
            </w:r>
          </w:p>
        </w:tc>
      </w:tr>
      <w:tr w:rsidR="00602DCA" w14:paraId="3F723720" w14:textId="77777777">
        <w:trPr>
          <w:trHeight w:val="400"/>
          <w:jc w:val="center"/>
        </w:trPr>
        <w:tc>
          <w:tcPr>
            <w:tcW w:w="541" w:type="pct"/>
            <w:tcMar>
              <w:top w:w="0" w:type="dxa"/>
              <w:left w:w="70" w:type="dxa"/>
              <w:bottom w:w="0" w:type="dxa"/>
              <w:right w:w="70" w:type="dxa"/>
            </w:tcMar>
            <w:vAlign w:val="center"/>
          </w:tcPr>
          <w:p w14:paraId="24D105AD" w14:textId="77777777" w:rsidR="00602DCA" w:rsidRDefault="00C5530C">
            <w:pPr>
              <w:pStyle w:val="Textnadpisvtabulce"/>
              <w:rPr>
                <w:b w:val="0"/>
                <w:szCs w:val="20"/>
              </w:rPr>
            </w:pPr>
            <w:r>
              <w:rPr>
                <w:b w:val="0"/>
                <w:color w:val="000000"/>
                <w:szCs w:val="20"/>
              </w:rPr>
              <w:t>17 06</w:t>
            </w:r>
          </w:p>
        </w:tc>
        <w:tc>
          <w:tcPr>
            <w:tcW w:w="1803" w:type="pct"/>
            <w:tcMar>
              <w:top w:w="0" w:type="dxa"/>
              <w:left w:w="70" w:type="dxa"/>
              <w:bottom w:w="0" w:type="dxa"/>
              <w:right w:w="70" w:type="dxa"/>
            </w:tcMar>
            <w:vAlign w:val="center"/>
          </w:tcPr>
          <w:p w14:paraId="01D3796B" w14:textId="77777777" w:rsidR="00602DCA" w:rsidRDefault="00C5530C">
            <w:pPr>
              <w:pStyle w:val="l2"/>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sz w:val="20"/>
                <w:szCs w:val="20"/>
              </w:rPr>
              <w:t>IZOLAČNÍ MATERIÁLY A STAVEBNÍ MATERIÁLY S OBSAHEM AZBESTU</w:t>
            </w:r>
          </w:p>
        </w:tc>
        <w:tc>
          <w:tcPr>
            <w:tcW w:w="2656" w:type="pct"/>
            <w:tcMar>
              <w:top w:w="0" w:type="dxa"/>
              <w:left w:w="70" w:type="dxa"/>
              <w:bottom w:w="0" w:type="dxa"/>
              <w:right w:w="70" w:type="dxa"/>
            </w:tcMar>
            <w:vAlign w:val="center"/>
          </w:tcPr>
          <w:p w14:paraId="28E5C0DC" w14:textId="77777777" w:rsidR="00602DCA" w:rsidRDefault="00C5530C">
            <w:pPr>
              <w:pStyle w:val="Textvtabulce"/>
              <w:contextualSpacing w:val="0"/>
              <w:rPr>
                <w:szCs w:val="20"/>
              </w:rPr>
            </w:pPr>
            <w:r>
              <w:rPr>
                <w:szCs w:val="20"/>
              </w:rPr>
              <w:t xml:space="preserve">Jelikož azbest je vysoce nebezpečný (karcinogenní) materiál, není možné materiály a výrobky, které jej obsahují opětovně použít nebo dále využívat. Materiály a výrobky s obsahem azbestu se tak ihned </w:t>
            </w:r>
            <w:r>
              <w:rPr>
                <w:szCs w:val="20"/>
              </w:rPr>
              <w:lastRenderedPageBreak/>
              <w:t>po odejmutí ze stavby stávají nebezpečným odpadem a je nutné je předat k odstranění na příslušnou skládku nebezpečného odpadu.</w:t>
            </w:r>
          </w:p>
          <w:p w14:paraId="11247A3D" w14:textId="77777777" w:rsidR="00602DCA" w:rsidRDefault="00C5530C">
            <w:pPr>
              <w:pStyle w:val="Textvtabulce"/>
              <w:contextualSpacing w:val="0"/>
              <w:rPr>
                <w:szCs w:val="20"/>
                <w:highlight w:val="yellow"/>
              </w:rPr>
            </w:pPr>
            <w:r>
              <w:rPr>
                <w:szCs w:val="20"/>
              </w:rPr>
              <w:t>Samotné odstraňování těchto materiálů ze staveb vyžaduje specifické podmínky a postupy (pro zabezpečení zdraví osob, které je odstraňují) a stejně tak následné nakládání se vzniklými odpady.</w:t>
            </w:r>
          </w:p>
        </w:tc>
      </w:tr>
      <w:tr w:rsidR="00602DCA" w14:paraId="08514012" w14:textId="77777777">
        <w:trPr>
          <w:trHeight w:val="400"/>
          <w:jc w:val="center"/>
        </w:trPr>
        <w:tc>
          <w:tcPr>
            <w:tcW w:w="541" w:type="pct"/>
            <w:tcMar>
              <w:top w:w="0" w:type="dxa"/>
              <w:left w:w="70" w:type="dxa"/>
              <w:bottom w:w="0" w:type="dxa"/>
              <w:right w:w="70" w:type="dxa"/>
            </w:tcMar>
            <w:vAlign w:val="center"/>
          </w:tcPr>
          <w:p w14:paraId="1BB98C9C" w14:textId="77777777" w:rsidR="00602DCA" w:rsidRDefault="00C5530C">
            <w:pPr>
              <w:pStyle w:val="Textnadpisvtabulce"/>
              <w:rPr>
                <w:b w:val="0"/>
                <w:szCs w:val="20"/>
              </w:rPr>
            </w:pPr>
            <w:r>
              <w:rPr>
                <w:b w:val="0"/>
                <w:color w:val="000000"/>
                <w:szCs w:val="20"/>
              </w:rPr>
              <w:lastRenderedPageBreak/>
              <w:t>17 08</w:t>
            </w:r>
          </w:p>
        </w:tc>
        <w:tc>
          <w:tcPr>
            <w:tcW w:w="1803" w:type="pct"/>
            <w:tcMar>
              <w:top w:w="0" w:type="dxa"/>
              <w:left w:w="70" w:type="dxa"/>
              <w:bottom w:w="0" w:type="dxa"/>
              <w:right w:w="70" w:type="dxa"/>
            </w:tcMar>
            <w:vAlign w:val="center"/>
          </w:tcPr>
          <w:p w14:paraId="3854092D" w14:textId="77777777" w:rsidR="00602DCA" w:rsidRDefault="00C5530C">
            <w:pPr>
              <w:pStyle w:val="l2"/>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sz w:val="20"/>
                <w:szCs w:val="20"/>
              </w:rPr>
              <w:t>STAVEBNÍ MATERIÁL NA BÁZI SÁDRY</w:t>
            </w:r>
          </w:p>
        </w:tc>
        <w:tc>
          <w:tcPr>
            <w:tcW w:w="2656" w:type="pct"/>
            <w:tcMar>
              <w:top w:w="0" w:type="dxa"/>
              <w:left w:w="70" w:type="dxa"/>
              <w:bottom w:w="0" w:type="dxa"/>
              <w:right w:w="70" w:type="dxa"/>
            </w:tcMar>
            <w:vAlign w:val="center"/>
          </w:tcPr>
          <w:p w14:paraId="0AF0C849" w14:textId="77777777" w:rsidR="00602DCA" w:rsidRDefault="00C5530C">
            <w:pPr>
              <w:pStyle w:val="Textvtabulce"/>
              <w:rPr>
                <w:szCs w:val="20"/>
              </w:rPr>
            </w:pPr>
            <w:r>
              <w:rPr>
                <w:szCs w:val="20"/>
              </w:rPr>
              <w:t xml:space="preserve">Sádrokartonové desky a stavební materiály na bázi sádry, které neobsahují nebezpečné látky, je možné opětovně použít. </w:t>
            </w:r>
          </w:p>
          <w:p w14:paraId="52405031" w14:textId="5EE6C720" w:rsidR="00602DCA" w:rsidRDefault="00C5530C">
            <w:pPr>
              <w:pStyle w:val="Textvtabulce"/>
              <w:rPr>
                <w:szCs w:val="20"/>
                <w:highlight w:val="yellow"/>
              </w:rPr>
            </w:pPr>
            <w:r>
              <w:rPr>
                <w:szCs w:val="20"/>
              </w:rPr>
              <w:t>Odpady na bázi sádry je také vhodné předat k recyklaci. Naopak není možné jejich využití pro účely k zasypávání.</w:t>
            </w:r>
            <w:r w:rsidR="00FB2A0F">
              <w:rPr>
                <w:szCs w:val="20"/>
              </w:rPr>
              <w:t xml:space="preserve"> </w:t>
            </w:r>
            <w:r>
              <w:rPr>
                <w:szCs w:val="20"/>
              </w:rPr>
              <w:t>Odstranění uložením na skládku je možné, ale pouze na určitých typech skládek. V některých obcích je možné za stanovených podmínek předání do sběrného dvora.</w:t>
            </w:r>
          </w:p>
        </w:tc>
      </w:tr>
      <w:tr w:rsidR="00602DCA" w14:paraId="0DE18CBF" w14:textId="77777777">
        <w:trPr>
          <w:trHeight w:val="400"/>
          <w:jc w:val="center"/>
        </w:trPr>
        <w:tc>
          <w:tcPr>
            <w:tcW w:w="541" w:type="pct"/>
            <w:tcMar>
              <w:top w:w="0" w:type="dxa"/>
              <w:left w:w="70" w:type="dxa"/>
              <w:bottom w:w="0" w:type="dxa"/>
              <w:right w:w="70" w:type="dxa"/>
            </w:tcMar>
            <w:vAlign w:val="center"/>
          </w:tcPr>
          <w:p w14:paraId="3013A4F8" w14:textId="77777777" w:rsidR="00602DCA" w:rsidRDefault="00C5530C">
            <w:pPr>
              <w:pStyle w:val="Textnadpisvtabulce"/>
              <w:rPr>
                <w:b w:val="0"/>
                <w:color w:val="000000"/>
                <w:szCs w:val="20"/>
              </w:rPr>
            </w:pPr>
            <w:r>
              <w:rPr>
                <w:b w:val="0"/>
                <w:color w:val="000000"/>
                <w:szCs w:val="20"/>
              </w:rPr>
              <w:t>17 09</w:t>
            </w:r>
          </w:p>
        </w:tc>
        <w:tc>
          <w:tcPr>
            <w:tcW w:w="1803" w:type="pct"/>
            <w:tcMar>
              <w:top w:w="0" w:type="dxa"/>
              <w:left w:w="70" w:type="dxa"/>
              <w:bottom w:w="0" w:type="dxa"/>
              <w:right w:w="70" w:type="dxa"/>
            </w:tcMar>
            <w:vAlign w:val="center"/>
          </w:tcPr>
          <w:p w14:paraId="7CAC7AEF" w14:textId="77777777" w:rsidR="00602DCA" w:rsidRDefault="00C5530C">
            <w:pPr>
              <w:pStyle w:val="l2"/>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sz w:val="20"/>
                <w:szCs w:val="20"/>
              </w:rPr>
              <w:t>JINÉ STAVEBNÍ A DEMOLIČNÍ ODPADY</w:t>
            </w:r>
          </w:p>
        </w:tc>
        <w:tc>
          <w:tcPr>
            <w:tcW w:w="2656" w:type="pct"/>
            <w:tcMar>
              <w:top w:w="0" w:type="dxa"/>
              <w:left w:w="70" w:type="dxa"/>
              <w:bottom w:w="0" w:type="dxa"/>
              <w:right w:w="70" w:type="dxa"/>
            </w:tcMar>
            <w:vAlign w:val="center"/>
          </w:tcPr>
          <w:p w14:paraId="7FF50F8B" w14:textId="77777777" w:rsidR="00602DCA" w:rsidRDefault="00C5530C">
            <w:pPr>
              <w:pStyle w:val="Textvtabulce"/>
              <w:contextualSpacing w:val="0"/>
              <w:rPr>
                <w:szCs w:val="20"/>
              </w:rPr>
            </w:pPr>
            <w:r>
              <w:rPr>
                <w:szCs w:val="20"/>
              </w:rPr>
              <w:t xml:space="preserve">Obecně platí, že pokud je to možné, je vhodné vybourané stavební materiály a prvky opětovně použít. </w:t>
            </w:r>
          </w:p>
          <w:p w14:paraId="776236E9" w14:textId="77777777" w:rsidR="00602DCA" w:rsidRDefault="00C5530C">
            <w:pPr>
              <w:pStyle w:val="Textvtabulce"/>
              <w:contextualSpacing w:val="0"/>
              <w:rPr>
                <w:szCs w:val="20"/>
              </w:rPr>
            </w:pPr>
            <w:r>
              <w:rPr>
                <w:szCs w:val="20"/>
              </w:rPr>
              <w:t>Následuje recyklace a jiné způsoby využití. V některých obcích je možné za stanovených podmínek předání do sběrného dvora.</w:t>
            </w:r>
          </w:p>
        </w:tc>
      </w:tr>
    </w:tbl>
    <w:p w14:paraId="20E137DB" w14:textId="77777777" w:rsidR="00602DCA" w:rsidRDefault="00602DCA">
      <w:pPr>
        <w:rPr>
          <w:color w:val="FF0000"/>
        </w:rPr>
      </w:pPr>
    </w:p>
    <w:p w14:paraId="7B28966F" w14:textId="297082E7" w:rsidR="00602DCA" w:rsidRDefault="00C5530C">
      <w:r>
        <w:rPr>
          <w:b/>
        </w:rPr>
        <w:t>VYUŽITÍ ODSTRANĚNÝCH STAVEBNÍCH PRVKŮ</w:t>
      </w:r>
      <w:r>
        <w:t xml:space="preserve">, se kterými může vlastník svobodně nakládat (mimo režim zákona o odpadech) - Předcházení vzniku odpadu zahrnuje </w:t>
      </w:r>
      <w:r>
        <w:rPr>
          <w:b/>
        </w:rPr>
        <w:t>opětovné použití</w:t>
      </w:r>
      <w:r>
        <w:t>. Stavební prvek (výrobek nebo materiál) se pak nestává odpadem, ale je stále výrobkem a vztahuje se na něj výrobková legislativa. Stavební prvky lze opětovně využít buď přímo na místě v rámci nové stavby, případně je lze nabídnout například na internetové burze.</w:t>
      </w:r>
      <w:r w:rsidR="00CE132A">
        <w:t xml:space="preserve"> Opětovné použití je v případě implementace DNSH žádoucí</w:t>
      </w:r>
      <w:r w:rsidR="007557A5">
        <w:t>,</w:t>
      </w:r>
      <w:r w:rsidR="00CE132A">
        <w:t xml:space="preserve"> a proto je doporučeno započítat takový stavební prvek v rámci plnění podmínky připravenosti</w:t>
      </w:r>
      <w:r w:rsidR="00CE132A" w:rsidRPr="00CE132A">
        <w:t xml:space="preserve"> ke znovuvyužití nebo recyklaci 70 % stavebních odpadů a stavebního materiálu</w:t>
      </w:r>
      <w:r w:rsidR="00CE132A">
        <w:t>.</w:t>
      </w:r>
    </w:p>
    <w:p w14:paraId="5F202445" w14:textId="4861D5CA" w:rsidR="00602DCA" w:rsidRDefault="008E59D0">
      <w:pPr>
        <w:rPr>
          <w:b/>
        </w:rPr>
      </w:pPr>
      <w:r>
        <w:rPr>
          <w:b/>
          <w:color w:val="70AD47" w:themeColor="accent6"/>
        </w:rPr>
        <w:t xml:space="preserve">Způsoby </w:t>
      </w:r>
      <w:r w:rsidR="00C5530C" w:rsidRPr="00BF3921">
        <w:rPr>
          <w:b/>
          <w:color w:val="70AD47" w:themeColor="accent6"/>
        </w:rPr>
        <w:t>NAKLÁDÁNÍ SE STAVEBNÍMI A DEMOLIČNÍMI ODPADY</w:t>
      </w:r>
      <w:r w:rsidR="00C5530C" w:rsidRPr="00BF3921">
        <w:rPr>
          <w:color w:val="70AD47" w:themeColor="accent6"/>
        </w:rPr>
        <w:t>,</w:t>
      </w:r>
      <w:r w:rsidR="00D878A3" w:rsidRPr="00BF3921">
        <w:rPr>
          <w:color w:val="70AD47" w:themeColor="accent6"/>
        </w:rPr>
        <w:t xml:space="preserve"> </w:t>
      </w:r>
      <w:r w:rsidRPr="008E59D0">
        <w:t xml:space="preserve">které je možné započíst </w:t>
      </w:r>
      <w:r>
        <w:t>v rámci podmínky připravenosti k opětovnému použití</w:t>
      </w:r>
      <w:r w:rsidR="00AB2D04">
        <w:t xml:space="preserve"> a</w:t>
      </w:r>
      <w:r>
        <w:t xml:space="preserve"> recyklaci </w:t>
      </w:r>
      <w:r w:rsidRPr="008E59D0">
        <w:t>70 % odpadu vzniklého na staveništi</w:t>
      </w:r>
      <w:r w:rsidR="00C5530C">
        <w:t xml:space="preserve">: </w:t>
      </w:r>
    </w:p>
    <w:p w14:paraId="6F1C6652" w14:textId="77777777" w:rsidR="00602DCA" w:rsidRDefault="00C5530C" w:rsidP="00A32A7E">
      <w:pPr>
        <w:pStyle w:val="Odstavecseseznamem"/>
        <w:numPr>
          <w:ilvl w:val="0"/>
          <w:numId w:val="14"/>
        </w:numPr>
        <w:spacing w:after="100" w:line="276" w:lineRule="auto"/>
        <w:contextualSpacing/>
      </w:pPr>
      <w:r>
        <w:t xml:space="preserve">Pokud vybourané materiály a prvky ze staveb není možné přímo opětovně použít k původnímu účelu, ale je nutné je před použitím nějakým způsobem upravit (např. opravit, vyčistit, vytřídit), bude se jednat o </w:t>
      </w:r>
      <w:r>
        <w:rPr>
          <w:b/>
        </w:rPr>
        <w:t>přípravu k opětovnému použití</w:t>
      </w:r>
      <w:r>
        <w:t xml:space="preserve"> a takový prvek nebo materiál vybouraný ze stavby je odpadem. Na přípravu k opětovnému použití už je třeba mít povolení pro nakládání s odpady. Proto, pokud jej původce </w:t>
      </w:r>
      <w:r>
        <w:lastRenderedPageBreak/>
        <w:t>odpadů nemá, musí odpad předat pouze osobě (firmě), která má povolení odpad převzít.</w:t>
      </w:r>
    </w:p>
    <w:p w14:paraId="2F8E5046" w14:textId="77777777" w:rsidR="00602DCA" w:rsidRDefault="00C5530C" w:rsidP="00A32A7E">
      <w:pPr>
        <w:pStyle w:val="Odstavecseseznamem"/>
        <w:numPr>
          <w:ilvl w:val="0"/>
          <w:numId w:val="14"/>
        </w:numPr>
        <w:spacing w:after="100" w:line="276" w:lineRule="auto"/>
        <w:contextualSpacing/>
      </w:pPr>
      <w:r>
        <w:rPr>
          <w:b/>
        </w:rPr>
        <w:t>Recyklací odpadu</w:t>
      </w:r>
      <w:r>
        <w:t xml:space="preserve"> se myslí způsob využití odpadu, kdy je odpad </w:t>
      </w:r>
      <w:r>
        <w:rPr>
          <w:b/>
        </w:rPr>
        <w:t>znovu zpracován na výrobky, materiály nebo látky</w:t>
      </w:r>
      <w:r>
        <w:t>, ať pro původní nebo pro jiné účely. Opět platí, že pro recyklaci odpadů je třeba mít povolení pro nakládání s odpady nebo je nutné odpad předat oprávněné osobě.</w:t>
      </w:r>
    </w:p>
    <w:p w14:paraId="2F3B5A35" w14:textId="7FB80390" w:rsidR="00A568A1" w:rsidRPr="00D87BD1" w:rsidRDefault="00D878A3" w:rsidP="00A568A1">
      <w:pPr>
        <w:pStyle w:val="Textpoznpodarou"/>
        <w:rPr>
          <w:b/>
          <w:bCs/>
          <w:sz w:val="22"/>
          <w:szCs w:val="22"/>
        </w:rPr>
      </w:pPr>
      <w:r w:rsidRPr="00D878A3">
        <w:rPr>
          <w:b/>
          <w:bCs/>
          <w:sz w:val="22"/>
          <w:szCs w:val="22"/>
        </w:rPr>
        <w:t xml:space="preserve">Pro splnění podmínky je možno využít následující typová zařízení pro nakládání s </w:t>
      </w:r>
      <w:r w:rsidRPr="00D87BD1">
        <w:rPr>
          <w:b/>
          <w:bCs/>
          <w:sz w:val="22"/>
          <w:szCs w:val="22"/>
        </w:rPr>
        <w:t xml:space="preserve">odpadem dle Příloha č. 2 k zákonu č. 541/2020 Sb.: </w:t>
      </w:r>
    </w:p>
    <w:p w14:paraId="1300772D" w14:textId="77777777" w:rsidR="00A568A1" w:rsidRPr="00D87BD1" w:rsidRDefault="00A568A1" w:rsidP="00A32A7E">
      <w:pPr>
        <w:pStyle w:val="Textpoznpodarou"/>
        <w:numPr>
          <w:ilvl w:val="0"/>
          <w:numId w:val="55"/>
        </w:numPr>
        <w:spacing w:after="240"/>
        <w:rPr>
          <w:sz w:val="22"/>
          <w:szCs w:val="22"/>
        </w:rPr>
      </w:pPr>
      <w:r w:rsidRPr="00D87BD1">
        <w:rPr>
          <w:b/>
          <w:bCs/>
          <w:sz w:val="22"/>
          <w:szCs w:val="22"/>
        </w:rPr>
        <w:t>Typ zařízení (název technologie / činnosti):</w:t>
      </w:r>
      <w:r w:rsidRPr="00D87BD1">
        <w:rPr>
          <w:sz w:val="22"/>
          <w:szCs w:val="22"/>
        </w:rPr>
        <w:t xml:space="preserve"> drcení odpadu; </w:t>
      </w:r>
      <w:r w:rsidRPr="00D87BD1">
        <w:rPr>
          <w:b/>
          <w:bCs/>
          <w:sz w:val="22"/>
          <w:szCs w:val="22"/>
        </w:rPr>
        <w:t>činnost:</w:t>
      </w:r>
      <w:r w:rsidRPr="00D87BD1">
        <w:rPr>
          <w:sz w:val="22"/>
          <w:szCs w:val="22"/>
        </w:rPr>
        <w:t xml:space="preserve"> 3.2.0; </w:t>
      </w:r>
      <w:r w:rsidRPr="00D87BD1">
        <w:rPr>
          <w:b/>
          <w:bCs/>
          <w:sz w:val="22"/>
          <w:szCs w:val="22"/>
        </w:rPr>
        <w:t>způsob nakládání:</w:t>
      </w:r>
      <w:r w:rsidRPr="00D87BD1">
        <w:rPr>
          <w:sz w:val="22"/>
          <w:szCs w:val="22"/>
        </w:rPr>
        <w:t xml:space="preserve"> R12a</w:t>
      </w:r>
    </w:p>
    <w:p w14:paraId="13E8BD9C" w14:textId="77777777" w:rsidR="00A568A1" w:rsidRPr="00D87BD1" w:rsidRDefault="00A568A1" w:rsidP="00A32A7E">
      <w:pPr>
        <w:pStyle w:val="Textpoznpodarou"/>
        <w:numPr>
          <w:ilvl w:val="0"/>
          <w:numId w:val="55"/>
        </w:numPr>
        <w:spacing w:after="240"/>
        <w:rPr>
          <w:sz w:val="22"/>
          <w:szCs w:val="22"/>
        </w:rPr>
      </w:pPr>
      <w:r w:rsidRPr="00D87BD1">
        <w:rPr>
          <w:b/>
          <w:bCs/>
          <w:sz w:val="22"/>
          <w:szCs w:val="22"/>
        </w:rPr>
        <w:t>Typ zařízení (název technologie / činnosti):</w:t>
      </w:r>
      <w:r w:rsidRPr="00D87BD1">
        <w:rPr>
          <w:sz w:val="22"/>
          <w:szCs w:val="22"/>
        </w:rPr>
        <w:t xml:space="preserve"> třídění, dotřídění odpadu; </w:t>
      </w:r>
      <w:r w:rsidRPr="00D87BD1">
        <w:rPr>
          <w:b/>
          <w:bCs/>
          <w:sz w:val="22"/>
          <w:szCs w:val="22"/>
        </w:rPr>
        <w:t>činnost:</w:t>
      </w:r>
      <w:r w:rsidRPr="00D87BD1">
        <w:rPr>
          <w:sz w:val="22"/>
          <w:szCs w:val="22"/>
        </w:rPr>
        <w:t xml:space="preserve"> 3.4.0; </w:t>
      </w:r>
      <w:r w:rsidRPr="00D87BD1">
        <w:rPr>
          <w:b/>
          <w:bCs/>
          <w:sz w:val="22"/>
          <w:szCs w:val="22"/>
        </w:rPr>
        <w:t>způsob nakládání:</w:t>
      </w:r>
      <w:r w:rsidRPr="00D87BD1">
        <w:rPr>
          <w:sz w:val="22"/>
          <w:szCs w:val="22"/>
        </w:rPr>
        <w:t xml:space="preserve"> R12</w:t>
      </w:r>
      <w:proofErr w:type="gramStart"/>
      <w:r w:rsidRPr="00D87BD1">
        <w:rPr>
          <w:sz w:val="22"/>
          <w:szCs w:val="22"/>
        </w:rPr>
        <w:t>a,e</w:t>
      </w:r>
      <w:proofErr w:type="gramEnd"/>
    </w:p>
    <w:p w14:paraId="62BECF5A" w14:textId="77777777" w:rsidR="00A568A1" w:rsidRPr="00D87BD1" w:rsidRDefault="00A568A1" w:rsidP="00A32A7E">
      <w:pPr>
        <w:pStyle w:val="Textpoznpodarou"/>
        <w:numPr>
          <w:ilvl w:val="0"/>
          <w:numId w:val="55"/>
        </w:numPr>
        <w:spacing w:after="240"/>
        <w:rPr>
          <w:sz w:val="22"/>
          <w:szCs w:val="22"/>
        </w:rPr>
      </w:pPr>
      <w:r w:rsidRPr="00D87BD1">
        <w:rPr>
          <w:b/>
          <w:bCs/>
          <w:sz w:val="22"/>
          <w:szCs w:val="22"/>
        </w:rPr>
        <w:t>Typ zařízení (název technologie / činnosti):</w:t>
      </w:r>
      <w:r w:rsidRPr="00D87BD1">
        <w:rPr>
          <w:sz w:val="22"/>
          <w:szCs w:val="22"/>
        </w:rPr>
        <w:t xml:space="preserve"> zařízení k přípravě pro opětovné použití; </w:t>
      </w:r>
      <w:r w:rsidRPr="00D87BD1">
        <w:rPr>
          <w:b/>
          <w:bCs/>
          <w:sz w:val="22"/>
          <w:szCs w:val="22"/>
        </w:rPr>
        <w:t>činnost:</w:t>
      </w:r>
      <w:r w:rsidRPr="00D87BD1">
        <w:rPr>
          <w:sz w:val="22"/>
          <w:szCs w:val="22"/>
        </w:rPr>
        <w:t xml:space="preserve"> 5.17.0; </w:t>
      </w:r>
      <w:r w:rsidRPr="00D87BD1">
        <w:rPr>
          <w:b/>
          <w:bCs/>
          <w:sz w:val="22"/>
          <w:szCs w:val="22"/>
        </w:rPr>
        <w:t>způsob nakládání:</w:t>
      </w:r>
      <w:r w:rsidRPr="00D87BD1">
        <w:rPr>
          <w:sz w:val="22"/>
          <w:szCs w:val="22"/>
        </w:rPr>
        <w:t xml:space="preserve"> R5c</w:t>
      </w:r>
    </w:p>
    <w:p w14:paraId="4D25AD0D" w14:textId="77777777" w:rsidR="00A568A1" w:rsidRPr="00D87BD1" w:rsidRDefault="00A568A1" w:rsidP="00A32A7E">
      <w:pPr>
        <w:pStyle w:val="Textpoznpodarou"/>
        <w:numPr>
          <w:ilvl w:val="0"/>
          <w:numId w:val="55"/>
        </w:numPr>
        <w:spacing w:after="240"/>
        <w:rPr>
          <w:sz w:val="22"/>
          <w:szCs w:val="22"/>
        </w:rPr>
      </w:pPr>
      <w:r w:rsidRPr="00D87BD1">
        <w:rPr>
          <w:b/>
          <w:bCs/>
          <w:sz w:val="22"/>
          <w:szCs w:val="22"/>
        </w:rPr>
        <w:t>Typ zařízení (název technologie / činnosti):</w:t>
      </w:r>
      <w:r w:rsidRPr="00D87BD1">
        <w:rPr>
          <w:sz w:val="22"/>
          <w:szCs w:val="22"/>
        </w:rPr>
        <w:t xml:space="preserve"> výroba recyklátu ze stavebních a demoličních odpadů; </w:t>
      </w:r>
      <w:r w:rsidRPr="00D87BD1">
        <w:rPr>
          <w:b/>
          <w:bCs/>
          <w:sz w:val="22"/>
          <w:szCs w:val="22"/>
        </w:rPr>
        <w:t>činnost:</w:t>
      </w:r>
      <w:r w:rsidRPr="00D87BD1">
        <w:rPr>
          <w:sz w:val="22"/>
          <w:szCs w:val="22"/>
        </w:rPr>
        <w:t xml:space="preserve"> 5.10.2; </w:t>
      </w:r>
      <w:r w:rsidRPr="00D87BD1">
        <w:rPr>
          <w:b/>
          <w:bCs/>
          <w:sz w:val="22"/>
          <w:szCs w:val="22"/>
        </w:rPr>
        <w:t>způsob nakládání:</w:t>
      </w:r>
      <w:r w:rsidRPr="00D87BD1">
        <w:rPr>
          <w:sz w:val="22"/>
          <w:szCs w:val="22"/>
        </w:rPr>
        <w:t xml:space="preserve"> R5d</w:t>
      </w:r>
    </w:p>
    <w:p w14:paraId="79426EDF" w14:textId="77777777" w:rsidR="00A568A1" w:rsidRPr="00D87BD1" w:rsidRDefault="00A568A1" w:rsidP="00A32A7E">
      <w:pPr>
        <w:pStyle w:val="Textpoznpodarou"/>
        <w:numPr>
          <w:ilvl w:val="0"/>
          <w:numId w:val="55"/>
        </w:numPr>
        <w:rPr>
          <w:sz w:val="22"/>
          <w:szCs w:val="22"/>
        </w:rPr>
      </w:pPr>
      <w:r w:rsidRPr="00D87BD1">
        <w:rPr>
          <w:b/>
          <w:bCs/>
          <w:sz w:val="22"/>
          <w:szCs w:val="22"/>
        </w:rPr>
        <w:t>Typ zařízení (název technologie / činnosti):</w:t>
      </w:r>
      <w:r w:rsidRPr="00D87BD1">
        <w:rPr>
          <w:sz w:val="22"/>
          <w:szCs w:val="22"/>
        </w:rPr>
        <w:t xml:space="preserve"> sběr odpadů; </w:t>
      </w:r>
      <w:r w:rsidRPr="00D87BD1">
        <w:rPr>
          <w:b/>
          <w:bCs/>
          <w:sz w:val="22"/>
          <w:szCs w:val="22"/>
        </w:rPr>
        <w:t>činnost:</w:t>
      </w:r>
      <w:r w:rsidRPr="00D87BD1">
        <w:rPr>
          <w:sz w:val="22"/>
          <w:szCs w:val="22"/>
        </w:rPr>
        <w:t xml:space="preserve"> 11.1.0; (v případě, že zařízení ke sběru odpadů na základě interní smlouvy zpětně doloží žadateli vážní lístek o předání odpadu do zařízení k recyklaci dle § 17 odst. 1 písm. c)</w:t>
      </w:r>
      <w:r w:rsidR="00E15FF5" w:rsidRPr="00D87BD1">
        <w:rPr>
          <w:sz w:val="22"/>
          <w:szCs w:val="22"/>
        </w:rPr>
        <w:t xml:space="preserve"> zákona č. </w:t>
      </w:r>
      <w:r w:rsidRPr="00D87BD1">
        <w:rPr>
          <w:sz w:val="22"/>
          <w:szCs w:val="22"/>
        </w:rPr>
        <w:t>541/2020 Sb., o odpadech.</w:t>
      </w:r>
    </w:p>
    <w:p w14:paraId="04A467D0" w14:textId="77777777" w:rsidR="00A568A1" w:rsidRDefault="00A568A1" w:rsidP="001A199F">
      <w:pPr>
        <w:pStyle w:val="Textpoznpodarou"/>
        <w:ind w:left="720"/>
      </w:pPr>
    </w:p>
    <w:p w14:paraId="4722104D" w14:textId="1915D264" w:rsidR="00D878A3" w:rsidRDefault="008E59D0" w:rsidP="00EA4CB0">
      <w:pPr>
        <w:keepNext/>
        <w:rPr>
          <w:b/>
        </w:rPr>
      </w:pPr>
      <w:r>
        <w:rPr>
          <w:b/>
          <w:color w:val="FF0000"/>
        </w:rPr>
        <w:t xml:space="preserve">Způsoby </w:t>
      </w:r>
      <w:r w:rsidR="00D878A3" w:rsidRPr="00BF3921">
        <w:rPr>
          <w:b/>
          <w:color w:val="FF0000"/>
        </w:rPr>
        <w:t>NAKLÁDÁNÍ SE STAVEBNÍMI A DEMOLIČNÍMI ODPADY</w:t>
      </w:r>
      <w:r w:rsidR="00D878A3" w:rsidRPr="00BF3921">
        <w:rPr>
          <w:color w:val="FF0000"/>
        </w:rPr>
        <w:t xml:space="preserve">, </w:t>
      </w:r>
      <w:r w:rsidRPr="008E59D0">
        <w:t>které</w:t>
      </w:r>
      <w:r>
        <w:t xml:space="preserve"> není</w:t>
      </w:r>
      <w:r w:rsidRPr="008E59D0">
        <w:t xml:space="preserve"> možné započíst </w:t>
      </w:r>
      <w:r>
        <w:t xml:space="preserve">v rámci podmínky připravenosti k opětovnému použití, recyklaci a k jiným druhům materiálové využití </w:t>
      </w:r>
      <w:r w:rsidRPr="008E59D0">
        <w:t>70 % odpadu vzniklého na staveništi</w:t>
      </w:r>
      <w:r>
        <w:t xml:space="preserve"> (a mohou proto představovat pouze 30 % odpadu vzniklého na staveništi)</w:t>
      </w:r>
      <w:r w:rsidR="00D878A3">
        <w:t xml:space="preserve">: </w:t>
      </w:r>
    </w:p>
    <w:p w14:paraId="00318F2E" w14:textId="42693547" w:rsidR="00D87BD1" w:rsidRDefault="00C85D77" w:rsidP="00A32A7E">
      <w:pPr>
        <w:pStyle w:val="Odstavecseseznamem"/>
        <w:numPr>
          <w:ilvl w:val="0"/>
          <w:numId w:val="64"/>
        </w:numPr>
        <w:spacing w:after="100" w:line="276" w:lineRule="auto"/>
        <w:contextualSpacing/>
      </w:pPr>
      <w:r>
        <w:rPr>
          <w:b/>
        </w:rPr>
        <w:t>Z</w:t>
      </w:r>
      <w:r w:rsidR="00D87BD1">
        <w:rPr>
          <w:b/>
        </w:rPr>
        <w:t>asypávání</w:t>
      </w:r>
      <w:r w:rsidR="00AB2D04">
        <w:rPr>
          <w:b/>
        </w:rPr>
        <w:t xml:space="preserve">m </w:t>
      </w:r>
      <w:r w:rsidR="00AB2D04" w:rsidRPr="00DB1A0B">
        <w:rPr>
          <w:bCs/>
        </w:rPr>
        <w:t>je jakýkoliv způsob využití</w:t>
      </w:r>
      <w:r w:rsidR="00D87BD1" w:rsidRPr="00AB2D04">
        <w:rPr>
          <w:bCs/>
        </w:rPr>
        <w:t>,</w:t>
      </w:r>
      <w:r w:rsidR="00D87BD1">
        <w:t xml:space="preserve"> při kterém je vhodný odpad (který není nebezpečný) použit </w:t>
      </w:r>
      <w:r w:rsidR="00AB2D04">
        <w:t xml:space="preserve">pro účely </w:t>
      </w:r>
      <w:r w:rsidR="00D87BD1">
        <w:t>rekultivac</w:t>
      </w:r>
      <w:r w:rsidR="00AB2D04">
        <w:t>e</w:t>
      </w:r>
      <w:r w:rsidR="00D87BD1">
        <w:t xml:space="preserve"> vytěžených oblastí nebo pro technické účely při terénních úpravách.</w:t>
      </w:r>
      <w:r w:rsidR="00522759">
        <w:rPr>
          <w:rStyle w:val="Znakapoznpodarou"/>
        </w:rPr>
        <w:footnoteReference w:id="222"/>
      </w:r>
    </w:p>
    <w:p w14:paraId="4F7B7441" w14:textId="7122E6E1" w:rsidR="00522759" w:rsidRPr="00D87BD1" w:rsidRDefault="00522759" w:rsidP="00A32A7E">
      <w:pPr>
        <w:pStyle w:val="Odstavecseseznamem"/>
        <w:numPr>
          <w:ilvl w:val="0"/>
          <w:numId w:val="64"/>
        </w:numPr>
        <w:spacing w:after="100" w:line="276" w:lineRule="auto"/>
        <w:contextualSpacing/>
      </w:pPr>
      <w:r>
        <w:rPr>
          <w:b/>
        </w:rPr>
        <w:t xml:space="preserve">Jiným využitím </w:t>
      </w:r>
      <w:r>
        <w:rPr>
          <w:bCs/>
        </w:rPr>
        <w:t xml:space="preserve">je dále </w:t>
      </w:r>
      <w:r w:rsidRPr="00EA4CB0">
        <w:rPr>
          <w:b/>
        </w:rPr>
        <w:t>energetické využití odpadu</w:t>
      </w:r>
      <w:r>
        <w:rPr>
          <w:bCs/>
        </w:rPr>
        <w:t>, tedy přeměna odpadu na energii.</w:t>
      </w:r>
    </w:p>
    <w:p w14:paraId="172ED321" w14:textId="7BECEE3D" w:rsidR="00D878A3" w:rsidRPr="00D878A3" w:rsidRDefault="00D878A3" w:rsidP="00A32A7E">
      <w:pPr>
        <w:pStyle w:val="Odstavecseseznamem"/>
        <w:numPr>
          <w:ilvl w:val="0"/>
          <w:numId w:val="64"/>
        </w:numPr>
        <w:spacing w:after="100" w:line="276" w:lineRule="auto"/>
        <w:contextualSpacing/>
      </w:pPr>
      <w:r>
        <w:rPr>
          <w:b/>
        </w:rPr>
        <w:t>Odstraněním odpad</w:t>
      </w:r>
      <w:r w:rsidR="00C85D77">
        <w:rPr>
          <w:b/>
        </w:rPr>
        <w:t>ů</w:t>
      </w:r>
      <w:r>
        <w:t xml:space="preserve"> se myslí jejich </w:t>
      </w:r>
      <w:r>
        <w:rPr>
          <w:b/>
        </w:rPr>
        <w:t>spálení bez využití energie</w:t>
      </w:r>
      <w:r>
        <w:t xml:space="preserve"> nebo </w:t>
      </w:r>
      <w:r>
        <w:rPr>
          <w:b/>
        </w:rPr>
        <w:t>uložení na skládku odpadů</w:t>
      </w:r>
      <w:r>
        <w:t xml:space="preserve">. </w:t>
      </w:r>
      <w:r w:rsidR="00C85D77">
        <w:t>T</w:t>
      </w:r>
      <w:r>
        <w:t xml:space="preserve">yto činnosti je možné provádět pouze v zařízeních schválených podle zákona o odpadech. </w:t>
      </w:r>
    </w:p>
    <w:p w14:paraId="322F4159" w14:textId="46F3EF44" w:rsidR="00A568A1" w:rsidRDefault="00A568A1" w:rsidP="00A568A1">
      <w:pPr>
        <w:rPr>
          <w:b/>
        </w:rPr>
      </w:pPr>
      <w:r w:rsidRPr="000079C1">
        <w:rPr>
          <w:b/>
        </w:rPr>
        <w:t>Registr zařízení, obchodníků a spisů</w:t>
      </w:r>
      <w:r w:rsidRPr="00614A61">
        <w:rPr>
          <w:b/>
        </w:rPr>
        <w:t xml:space="preserve"> </w:t>
      </w:r>
    </w:p>
    <w:p w14:paraId="6A28870E" w14:textId="77777777" w:rsidR="00A568A1" w:rsidRDefault="00A568A1" w:rsidP="00A568A1">
      <w:pPr>
        <w:rPr>
          <w:bCs/>
        </w:rPr>
      </w:pPr>
      <w:r w:rsidRPr="000079C1">
        <w:rPr>
          <w:bCs/>
        </w:rPr>
        <w:t xml:space="preserve">Poskytuje aktuální informace o zařízeních pro nakládání s odpady provozovaných dle </w:t>
      </w:r>
      <w:r w:rsidR="00E15FF5" w:rsidRPr="009B4AE3">
        <w:t xml:space="preserve">zákona č. </w:t>
      </w:r>
      <w:r w:rsidRPr="000079C1">
        <w:rPr>
          <w:bCs/>
        </w:rPr>
        <w:t>185/2001 Sb. a od 1.</w:t>
      </w:r>
      <w:r w:rsidR="00EA03DB">
        <w:rPr>
          <w:bCs/>
        </w:rPr>
        <w:t> </w:t>
      </w:r>
      <w:r w:rsidRPr="000079C1">
        <w:rPr>
          <w:bCs/>
        </w:rPr>
        <w:t>1.</w:t>
      </w:r>
      <w:r w:rsidR="00EA03DB">
        <w:rPr>
          <w:bCs/>
        </w:rPr>
        <w:t> </w:t>
      </w:r>
      <w:r w:rsidRPr="000079C1">
        <w:rPr>
          <w:bCs/>
        </w:rPr>
        <w:t>2021 také zákona č. 541/2020 Sb.</w:t>
      </w:r>
    </w:p>
    <w:p w14:paraId="35E25BC6" w14:textId="6B48F1CB" w:rsidR="00D878A3" w:rsidRDefault="00A568A1">
      <w:pPr>
        <w:keepNext/>
        <w:rPr>
          <w:b/>
        </w:rPr>
      </w:pPr>
      <w:hyperlink r:id="rId156" w:history="1">
        <w:r w:rsidRPr="00614A61">
          <w:rPr>
            <w:rStyle w:val="Hypertextovodkaz"/>
            <w:bCs/>
          </w:rPr>
          <w:t>https://visoh2.mzp.cz/Zarizeni/ZarizeniVyhledatGrid</w:t>
        </w:r>
      </w:hyperlink>
    </w:p>
    <w:p w14:paraId="5CFAC70E" w14:textId="7CC1E7B1" w:rsidR="00602DCA" w:rsidRDefault="00C5530C">
      <w:pPr>
        <w:keepNext/>
        <w:rPr>
          <w:b/>
        </w:rPr>
      </w:pPr>
      <w:r>
        <w:rPr>
          <w:b/>
        </w:rPr>
        <w:t>Metodika nakládání se stavebními odpady MŽP (provádějící EU protokol)</w:t>
      </w:r>
    </w:p>
    <w:p w14:paraId="1BB3521A" w14:textId="4BB7B5DC" w:rsidR="00602DCA" w:rsidRDefault="00C5530C">
      <w:r>
        <w:t xml:space="preserve">Podrobné informace o vhodném postupu naleznete např. v Metodickém návodu Ministerstva životního prostředí: </w:t>
      </w:r>
      <w:hyperlink r:id="rId157" w:history="1">
        <w:r w:rsidR="009D6C34" w:rsidRPr="009D6C34">
          <w:rPr>
            <w:rStyle w:val="Hypertextovodkaz"/>
          </w:rPr>
          <w:t>https://mzp.gov.cz/system/files/2025-03/OODP-metodicky_navod_SDO-20180904.pdf</w:t>
        </w:r>
      </w:hyperlink>
      <w:r w:rsidR="009D6C34">
        <w:t xml:space="preserve"> </w:t>
      </w:r>
    </w:p>
    <w:p w14:paraId="496173EE" w14:textId="77777777" w:rsidR="00602DCA" w:rsidRDefault="00C5530C">
      <w:r>
        <w:t>nebo v Protokolu EU o nakládání se stavebními a demoličními odpady:</w:t>
      </w:r>
    </w:p>
    <w:p w14:paraId="3AA94C0D" w14:textId="77777777" w:rsidR="00602DCA" w:rsidRDefault="00602DCA">
      <w:hyperlink r:id="rId158" w:tooltip="https://www.mpo.cz/cz/stavebnictvi-a-suroviny/strategicke-dokumenty-pro-udrzitelne-stavebnictvi/protokol-eu-o-nakladani-se-stavebnimi-a-demolicnimi-odpady--241557/" w:history="1">
        <w:r>
          <w:rPr>
            <w:rStyle w:val="Hypertextovodkaz"/>
          </w:rPr>
          <w:t>https://www.mpo.cz/cz/stavebnictvi-a-suroviny/strategicke-dokumenty-pro-udrzitelne-stavebnictvi/protokol-eu-o-nakladani-se-stavebnimi-a-demolicnimi-odpady--241557/</w:t>
        </w:r>
      </w:hyperlink>
      <w:r>
        <w:t xml:space="preserve"> </w:t>
      </w:r>
    </w:p>
    <w:p w14:paraId="0BD7595B" w14:textId="77777777" w:rsidR="00602DCA" w:rsidRDefault="00C5530C">
      <w:r>
        <w:t>případně v mezinárodních standardech ISO 20887.</w:t>
      </w:r>
    </w:p>
    <w:p w14:paraId="5F8BA83C" w14:textId="77777777" w:rsidR="00602DCA" w:rsidRDefault="00C5530C">
      <w:r>
        <w:t>Základní přehled o druhotných surovinách a recyklovaných výrobcích naleznete na webu MPO a ČAS:</w:t>
      </w:r>
    </w:p>
    <w:p w14:paraId="0BC1FE23" w14:textId="77777777" w:rsidR="00602DCA" w:rsidRDefault="00602DCA">
      <w:hyperlink r:id="rId159" w:tooltip="http://www.recyklujmestavby.cz/" w:history="1">
        <w:r>
          <w:rPr>
            <w:rStyle w:val="Hypertextovodkaz"/>
          </w:rPr>
          <w:t>http://www.recyklujmestavby.cz/</w:t>
        </w:r>
      </w:hyperlink>
      <w:r>
        <w:t xml:space="preserve"> </w:t>
      </w:r>
    </w:p>
    <w:p w14:paraId="15F1B2D5" w14:textId="77777777" w:rsidR="00A16ED4" w:rsidRDefault="00A16ED4">
      <w:pPr>
        <w:rPr>
          <w:b/>
        </w:rPr>
      </w:pPr>
    </w:p>
    <w:p w14:paraId="2C3F2D41" w14:textId="1D819475" w:rsidR="00E93BE4" w:rsidRDefault="00E93BE4">
      <w:pPr>
        <w:spacing w:after="160" w:line="259" w:lineRule="auto"/>
        <w:jc w:val="left"/>
      </w:pPr>
      <w:r>
        <w:br w:type="page"/>
      </w:r>
    </w:p>
    <w:p w14:paraId="0EB7D45C" w14:textId="77777777" w:rsidR="00602DCA" w:rsidRDefault="00602DCA"/>
    <w:p w14:paraId="3D5A744F" w14:textId="77777777" w:rsidR="00602DCA" w:rsidRDefault="00C5530C">
      <w:pPr>
        <w:pStyle w:val="Nadpis2"/>
      </w:pPr>
      <w:bookmarkStart w:id="162" w:name="_Pořizování_automobilů_(a"/>
      <w:bookmarkStart w:id="163" w:name="_Toc116428064"/>
      <w:bookmarkStart w:id="164" w:name="_Toc210046042"/>
      <w:bookmarkEnd w:id="162"/>
      <w:r>
        <w:t>Pořizování automobilů (a ostatní dopravní prostředky)</w:t>
      </w:r>
      <w:bookmarkEnd w:id="163"/>
      <w:bookmarkEnd w:id="164"/>
    </w:p>
    <w:p w14:paraId="04095C9B" w14:textId="0C8DB6AA" w:rsidR="00C24AB9" w:rsidRDefault="00C24AB9" w:rsidP="00C24AB9">
      <w:pPr>
        <w:rPr>
          <w:b/>
        </w:rPr>
      </w:pPr>
      <w:r w:rsidRPr="009B4AE3">
        <w:t xml:space="preserve">V rámci uplatňování zásady "významně nepoškozovat" je zapotřebí zaměřit se na podmínku </w:t>
      </w:r>
      <w:r w:rsidRPr="006C1B48">
        <w:rPr>
          <w:bCs/>
        </w:rPr>
        <w:t>u osobních a lehkých užitkových vozidel</w:t>
      </w:r>
      <w:r w:rsidR="00160B09" w:rsidRPr="006C1B48">
        <w:rPr>
          <w:bCs/>
        </w:rPr>
        <w:t xml:space="preserve"> (</w:t>
      </w:r>
      <w:r w:rsidR="00160B09" w:rsidRPr="00160B09">
        <w:rPr>
          <w:rFonts w:cs="Segoe UI"/>
          <w:bCs/>
        </w:rPr>
        <w:t>u vozidel kategorií M1 a N1)</w:t>
      </w:r>
      <w:r w:rsidRPr="006C1B48">
        <w:rPr>
          <w:bCs/>
        </w:rPr>
        <w:t>, kde je nutné splnit kritérium emisí &lt;</w:t>
      </w:r>
      <w:proofErr w:type="gramStart"/>
      <w:r w:rsidRPr="006C1B48">
        <w:rPr>
          <w:bCs/>
        </w:rPr>
        <w:t>50g</w:t>
      </w:r>
      <w:proofErr w:type="gramEnd"/>
      <w:r w:rsidR="00A7250D" w:rsidRPr="006C1B48">
        <w:rPr>
          <w:bCs/>
        </w:rPr>
        <w:t> </w:t>
      </w:r>
      <w:r w:rsidRPr="006C1B48">
        <w:rPr>
          <w:bCs/>
        </w:rPr>
        <w:t>CO</w:t>
      </w:r>
      <w:r w:rsidRPr="006C1B48">
        <w:rPr>
          <w:bCs/>
          <w:vertAlign w:val="subscript"/>
        </w:rPr>
        <w:t>2</w:t>
      </w:r>
      <w:r w:rsidRPr="006C1B48">
        <w:rPr>
          <w:bCs/>
        </w:rPr>
        <w:t>50gCO</w:t>
      </w:r>
      <w:r w:rsidRPr="006C1B48">
        <w:rPr>
          <w:bCs/>
          <w:vertAlign w:val="subscript"/>
        </w:rPr>
        <w:t>2</w:t>
      </w:r>
      <w:r w:rsidRPr="006C1B48">
        <w:rPr>
          <w:bCs/>
        </w:rPr>
        <w:t>/km a od 1. ledna 2026 by měly být emise podpořených automobilů nulové.</w:t>
      </w:r>
    </w:p>
    <w:p w14:paraId="76325E47" w14:textId="5672019F" w:rsidR="00C24AB9" w:rsidRPr="009B4AE3" w:rsidRDefault="00C24AB9" w:rsidP="00C24AB9">
      <w:pPr>
        <w:rPr>
          <w:b/>
        </w:rPr>
      </w:pPr>
      <w:r>
        <w:t>Motorová vozidla kategorií M2, M3, N2 a N3 mají nulové přímé výfukové emise, nebo ke svému pohonu využívají</w:t>
      </w:r>
      <w:r w:rsidRPr="00A0131A">
        <w:t xml:space="preserve"> biometan, obnovitelné palivo nebiologického původu nebo recyklované palivo splňující kritéria udržitelnosti a úspor emisí skleníkových plynů podle směrnice Evropského parlamentu a Rady 2018/2001/EU o podpoře využívání energie z obnovitelných zdrojů</w:t>
      </w:r>
      <w:r w:rsidR="00DA26DF">
        <w:t xml:space="preserve"> – dle podmínek rozvedených níže</w:t>
      </w:r>
      <w:r>
        <w:t>.</w:t>
      </w:r>
    </w:p>
    <w:p w14:paraId="0557BDF0" w14:textId="5FA65F1F" w:rsidR="00C24AB9" w:rsidRPr="009B4AE3" w:rsidRDefault="00C24AB9" w:rsidP="00C24AB9">
      <w:r w:rsidRPr="009B4AE3">
        <w:t xml:space="preserve">Dále platí, že u vozidel zvláštního účelu </w:t>
      </w:r>
      <w:r w:rsidR="006B260D">
        <w:t>lze podmínku implementovat tak</w:t>
      </w:r>
      <w:r w:rsidRPr="009B4AE3">
        <w:t xml:space="preserve">, že bude </w:t>
      </w:r>
      <w:r w:rsidR="006B260D">
        <w:t xml:space="preserve">při výběru přihlédnuto k </w:t>
      </w:r>
      <w:r w:rsidRPr="009B4AE3">
        <w:t>emisí</w:t>
      </w:r>
      <w:r w:rsidR="006B260D">
        <w:t>m</w:t>
      </w:r>
      <w:r w:rsidRPr="009B4AE3">
        <w:t xml:space="preserve"> „GHG“ (Green House </w:t>
      </w:r>
      <w:proofErr w:type="spellStart"/>
      <w:r w:rsidRPr="009B4AE3">
        <w:t>Gas</w:t>
      </w:r>
      <w:proofErr w:type="spellEnd"/>
      <w:r w:rsidRPr="009B4AE3">
        <w:t>)</w:t>
      </w:r>
      <w:r w:rsidR="006B260D">
        <w:t xml:space="preserve"> mezi alternativními nabídkami</w:t>
      </w:r>
      <w:r w:rsidRPr="009B4AE3">
        <w:t xml:space="preserve">. </w:t>
      </w:r>
    </w:p>
    <w:p w14:paraId="121E4248" w14:textId="77777777" w:rsidR="00C24AB9" w:rsidRDefault="00C24AB9" w:rsidP="00C24AB9">
      <w:pPr>
        <w:rPr>
          <w:b/>
        </w:rPr>
      </w:pPr>
      <w:r w:rsidRPr="009B4AE3">
        <w:t xml:space="preserve">Dále také platí, že v případě, že se jedná o </w:t>
      </w:r>
      <w:r w:rsidRPr="009B4AE3">
        <w:rPr>
          <w:b/>
        </w:rPr>
        <w:t>vozidlo pro zvláštní účely</w:t>
      </w:r>
      <w:r w:rsidRPr="009B4AE3">
        <w:t xml:space="preserve"> jiné než osobní vůz a</w:t>
      </w:r>
      <w:r>
        <w:t> </w:t>
      </w:r>
      <w:r w:rsidRPr="009B4AE3">
        <w:t xml:space="preserve">není vhodné (technicky a ekonomicky) pořídit elektrovozidlo, pak </w:t>
      </w:r>
      <w:r w:rsidRPr="009B4AE3">
        <w:rPr>
          <w:b/>
        </w:rPr>
        <w:t>bude podporována nejlepší dostupná technologie v dané kategorii vozidel.</w:t>
      </w:r>
    </w:p>
    <w:p w14:paraId="292FC2EE" w14:textId="544847D4" w:rsidR="00C7343C" w:rsidRDefault="00C7343C" w:rsidP="006C1B48">
      <w:pPr>
        <w:pStyle w:val="Nadpis3"/>
      </w:pPr>
      <w:r w:rsidRPr="00C7343C">
        <w:t>Přeprava motocykly, osobními automobily a lehkými užitkovými vozidly</w:t>
      </w:r>
    </w:p>
    <w:p w14:paraId="2C4464C2" w14:textId="1747DE2B" w:rsidR="00602DCA" w:rsidRPr="00BF3921" w:rsidRDefault="00C24AB9">
      <w:pPr>
        <w:rPr>
          <w:b/>
          <w:iCs/>
        </w:rPr>
      </w:pPr>
      <w:r w:rsidRPr="00BF3921">
        <w:rPr>
          <w:b/>
          <w:iCs/>
        </w:rPr>
        <w:t>Pro kategorii vozidel „</w:t>
      </w:r>
      <w:r w:rsidR="00C5530C" w:rsidRPr="00BF3921">
        <w:rPr>
          <w:b/>
          <w:iCs/>
        </w:rPr>
        <w:t>Přeprava motocykly, osobními automobily a lehkými užitkovými vozidly</w:t>
      </w:r>
      <w:r w:rsidRPr="00BF3921">
        <w:rPr>
          <w:b/>
          <w:iCs/>
        </w:rPr>
        <w:t>“</w:t>
      </w:r>
      <w:r>
        <w:rPr>
          <w:b/>
          <w:iCs/>
        </w:rPr>
        <w:t xml:space="preserve"> </w:t>
      </w:r>
      <w:r w:rsidR="00DA26DF">
        <w:rPr>
          <w:b/>
          <w:iCs/>
        </w:rPr>
        <w:t xml:space="preserve">jsou doporučeny podmínky dle technických screeningových kritérií taxonomie s </w:t>
      </w:r>
      <w:r>
        <w:rPr>
          <w:b/>
          <w:iCs/>
        </w:rPr>
        <w:t>významn</w:t>
      </w:r>
      <w:r w:rsidR="00DA26DF">
        <w:rPr>
          <w:b/>
          <w:iCs/>
        </w:rPr>
        <w:t>ým</w:t>
      </w:r>
      <w:r>
        <w:rPr>
          <w:b/>
          <w:iCs/>
        </w:rPr>
        <w:t xml:space="preserve"> přínos</w:t>
      </w:r>
      <w:r w:rsidR="00DA26DF">
        <w:rPr>
          <w:b/>
          <w:iCs/>
        </w:rPr>
        <w:t xml:space="preserve">em pro cíl </w:t>
      </w:r>
      <w:proofErr w:type="spellStart"/>
      <w:r w:rsidR="00DA26DF">
        <w:rPr>
          <w:b/>
          <w:iCs/>
        </w:rPr>
        <w:t>mitigace</w:t>
      </w:r>
      <w:proofErr w:type="spellEnd"/>
      <w:r w:rsidR="00384D5C">
        <w:rPr>
          <w:b/>
          <w:iCs/>
        </w:rPr>
        <w:t>.</w:t>
      </w:r>
    </w:p>
    <w:tbl>
      <w:tblPr>
        <w:tblW w:w="9289" w:type="dxa"/>
        <w:tblBorders>
          <w:top w:val="single" w:sz="4" w:space="0" w:color="auto"/>
          <w:bottom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2148"/>
        <w:gridCol w:w="7141"/>
      </w:tblGrid>
      <w:tr w:rsidR="00384D5C" w14:paraId="68DFBFB6" w14:textId="77777777">
        <w:trPr>
          <w:trHeight w:val="290"/>
        </w:trPr>
        <w:tc>
          <w:tcPr>
            <w:tcW w:w="2148" w:type="dxa"/>
            <w:noWrap/>
            <w:vAlign w:val="center"/>
          </w:tcPr>
          <w:p w14:paraId="1CD500BB" w14:textId="375F7E96" w:rsidR="00384D5C" w:rsidRDefault="00384D5C">
            <w:pPr>
              <w:spacing w:before="40" w:after="80"/>
              <w:rPr>
                <w:color w:val="A6A6A6" w:themeColor="background1" w:themeShade="A6"/>
              </w:rPr>
            </w:pPr>
            <w:r>
              <w:t xml:space="preserve">1) </w:t>
            </w:r>
            <w:r w:rsidRPr="006C1B48">
              <w:t>Zmírňování změny klimatu</w:t>
            </w:r>
          </w:p>
        </w:tc>
        <w:tc>
          <w:tcPr>
            <w:tcW w:w="7141" w:type="dxa"/>
          </w:tcPr>
          <w:p w14:paraId="744D399C" w14:textId="77777777" w:rsidR="00384D5C" w:rsidRDefault="00384D5C" w:rsidP="00384D5C">
            <w:pPr>
              <w:spacing w:line="259" w:lineRule="auto"/>
              <w:rPr>
                <w:rFonts w:cs="Segoe UI"/>
              </w:rPr>
            </w:pPr>
            <w:r>
              <w:rPr>
                <w:rFonts w:cs="Segoe UI"/>
              </w:rPr>
              <w:t>Činnost splňuje tato kritéria:</w:t>
            </w:r>
          </w:p>
          <w:p w14:paraId="51A819FF" w14:textId="77777777" w:rsidR="00384D5C" w:rsidRDefault="00384D5C" w:rsidP="00384D5C">
            <w:pPr>
              <w:pStyle w:val="Point0"/>
              <w:rPr>
                <w:rFonts w:ascii="Segoe UI" w:hAnsi="Segoe UI" w:cs="Segoe UI"/>
                <w:sz w:val="22"/>
              </w:rPr>
            </w:pPr>
            <w:r>
              <w:rPr>
                <w:rFonts w:ascii="Segoe UI" w:hAnsi="Segoe UI" w:cs="Segoe UI"/>
                <w:sz w:val="22"/>
              </w:rPr>
              <w:t>a)</w:t>
            </w:r>
            <w:r>
              <w:rPr>
                <w:rFonts w:ascii="Segoe UI" w:hAnsi="Segoe UI" w:cs="Segoe UI"/>
                <w:sz w:val="22"/>
              </w:rPr>
              <w:tab/>
              <w:t>u vozidel kategorií M1 a N1, v obou případech spadajících do oblasti působnosti nařízení (ES) č. 715/2007:</w:t>
            </w:r>
          </w:p>
          <w:p w14:paraId="38FA1D16" w14:textId="77777777" w:rsidR="00384D5C" w:rsidRDefault="00384D5C" w:rsidP="00384D5C">
            <w:pPr>
              <w:pStyle w:val="Point1"/>
              <w:rPr>
                <w:rFonts w:ascii="Segoe UI" w:hAnsi="Segoe UI" w:cs="Segoe UI"/>
                <w:sz w:val="22"/>
              </w:rPr>
            </w:pPr>
            <w:r>
              <w:rPr>
                <w:rFonts w:ascii="Segoe UI" w:hAnsi="Segoe UI" w:cs="Segoe UI"/>
                <w:sz w:val="22"/>
              </w:rPr>
              <w:t>i)</w:t>
            </w:r>
            <w:r>
              <w:rPr>
                <w:rFonts w:ascii="Segoe UI" w:hAnsi="Segoe UI" w:cs="Segoe UI"/>
                <w:sz w:val="22"/>
              </w:rPr>
              <w:tab/>
              <w:t>do 31. prosince 2025 jsou specifické emise CO</w:t>
            </w:r>
            <w:r>
              <w:rPr>
                <w:rFonts w:ascii="Segoe UI" w:hAnsi="Segoe UI" w:cs="Segoe UI"/>
                <w:sz w:val="22"/>
                <w:vertAlign w:val="subscript"/>
              </w:rPr>
              <w:t>2</w:t>
            </w:r>
            <w:r>
              <w:rPr>
                <w:rFonts w:ascii="Segoe UI" w:hAnsi="Segoe UI" w:cs="Segoe UI"/>
                <w:sz w:val="22"/>
              </w:rPr>
              <w:t xml:space="preserve"> ve smyslu čl. 3 odst. 1 písm. h) nařízení (EU) 2019/631 nižší než 50 g CO</w:t>
            </w:r>
            <w:r>
              <w:rPr>
                <w:rFonts w:ascii="Segoe UI" w:hAnsi="Segoe UI" w:cs="Segoe UI"/>
                <w:sz w:val="22"/>
                <w:vertAlign w:val="subscript"/>
              </w:rPr>
              <w:t>2</w:t>
            </w:r>
            <w:r>
              <w:rPr>
                <w:rFonts w:ascii="Segoe UI" w:hAnsi="Segoe UI" w:cs="Segoe UI"/>
                <w:sz w:val="22"/>
              </w:rPr>
              <w:t>/km (lehká vozidla s nízkými a nulovými emisemi);</w:t>
            </w:r>
          </w:p>
          <w:p w14:paraId="6E3A9979" w14:textId="77777777" w:rsidR="00384D5C" w:rsidRDefault="00384D5C" w:rsidP="00384D5C">
            <w:pPr>
              <w:pStyle w:val="Point1"/>
              <w:rPr>
                <w:rFonts w:ascii="Segoe UI" w:hAnsi="Segoe UI" w:cs="Segoe UI"/>
                <w:sz w:val="22"/>
              </w:rPr>
            </w:pPr>
            <w:proofErr w:type="spellStart"/>
            <w:r>
              <w:rPr>
                <w:rFonts w:ascii="Segoe UI" w:hAnsi="Segoe UI" w:cs="Segoe UI"/>
                <w:sz w:val="22"/>
              </w:rPr>
              <w:t>ii</w:t>
            </w:r>
            <w:proofErr w:type="spellEnd"/>
            <w:r>
              <w:rPr>
                <w:rFonts w:ascii="Segoe UI" w:hAnsi="Segoe UI" w:cs="Segoe UI"/>
                <w:sz w:val="22"/>
              </w:rPr>
              <w:t>)</w:t>
            </w:r>
            <w:r>
              <w:rPr>
                <w:rFonts w:ascii="Segoe UI" w:hAnsi="Segoe UI" w:cs="Segoe UI"/>
                <w:sz w:val="22"/>
              </w:rPr>
              <w:tab/>
              <w:t>od 1. ledna 2026 jsou specifické emise CO</w:t>
            </w:r>
            <w:r>
              <w:rPr>
                <w:rFonts w:ascii="Segoe UI" w:hAnsi="Segoe UI" w:cs="Segoe UI"/>
                <w:sz w:val="22"/>
                <w:vertAlign w:val="subscript"/>
              </w:rPr>
              <w:t>2</w:t>
            </w:r>
            <w:r>
              <w:rPr>
                <w:rFonts w:ascii="Segoe UI" w:hAnsi="Segoe UI" w:cs="Segoe UI"/>
                <w:sz w:val="22"/>
              </w:rPr>
              <w:t xml:space="preserve"> ve smyslu čl. 3 odst. 1 písm. h) nařízení (EU) 2019/631 nulové;</w:t>
            </w:r>
          </w:p>
          <w:p w14:paraId="3289BB35" w14:textId="591EB7E8" w:rsidR="00384D5C" w:rsidRDefault="00384D5C" w:rsidP="00384D5C">
            <w:pPr>
              <w:spacing w:before="200" w:after="200"/>
              <w:rPr>
                <w:color w:val="A6A6A6" w:themeColor="background1" w:themeShade="A6"/>
              </w:rPr>
            </w:pPr>
            <w:r>
              <w:rPr>
                <w:rFonts w:cs="Segoe UI"/>
              </w:rPr>
              <w:t>b)</w:t>
            </w:r>
            <w:r>
              <w:rPr>
                <w:rFonts w:cs="Segoe UI"/>
              </w:rPr>
              <w:tab/>
              <w:t>u vozidel kategorie L se výfukové emise CO</w:t>
            </w:r>
            <w:r>
              <w:rPr>
                <w:rFonts w:cs="Segoe UI"/>
                <w:vertAlign w:val="subscript"/>
              </w:rPr>
              <w:t>2</w:t>
            </w:r>
            <w:r>
              <w:rPr>
                <w:rFonts w:cs="Segoe UI"/>
              </w:rPr>
              <w:t xml:space="preserve"> rovnají 0 g ekvivalentu CO</w:t>
            </w:r>
            <w:r>
              <w:rPr>
                <w:rFonts w:cs="Segoe UI"/>
                <w:vertAlign w:val="subscript"/>
              </w:rPr>
              <w:t>2</w:t>
            </w:r>
            <w:r>
              <w:rPr>
                <w:rFonts w:cs="Segoe UI"/>
              </w:rPr>
              <w:t>/km, vypočteno podle emisní zkoušky stanovené v nařízení (EU) č. 168/2013.</w:t>
            </w:r>
          </w:p>
        </w:tc>
      </w:tr>
      <w:tr w:rsidR="00602DCA" w14:paraId="5C2F4F3F" w14:textId="77777777">
        <w:trPr>
          <w:trHeight w:val="290"/>
        </w:trPr>
        <w:tc>
          <w:tcPr>
            <w:tcW w:w="2148" w:type="dxa"/>
            <w:noWrap/>
            <w:vAlign w:val="center"/>
          </w:tcPr>
          <w:p w14:paraId="724A580A" w14:textId="77777777" w:rsidR="00602DCA" w:rsidRDefault="00C5530C">
            <w:pPr>
              <w:spacing w:before="40" w:after="80"/>
              <w:rPr>
                <w:rFonts w:eastAsia="Times New Roman"/>
                <w:color w:val="A6A6A6" w:themeColor="background1" w:themeShade="A6"/>
              </w:rPr>
            </w:pPr>
            <w:r>
              <w:rPr>
                <w:color w:val="A6A6A6" w:themeColor="background1" w:themeShade="A6"/>
              </w:rPr>
              <w:t>2) Přizpůsobování se změně klimatu</w:t>
            </w:r>
          </w:p>
        </w:tc>
        <w:tc>
          <w:tcPr>
            <w:tcW w:w="7141" w:type="dxa"/>
          </w:tcPr>
          <w:p w14:paraId="29206E2C" w14:textId="77777777" w:rsidR="00602DCA" w:rsidRDefault="00C5530C">
            <w:pPr>
              <w:spacing w:before="200" w:after="200"/>
              <w:rPr>
                <w:color w:val="A6A6A6" w:themeColor="background1" w:themeShade="A6"/>
              </w:rPr>
            </w:pPr>
            <w:r>
              <w:rPr>
                <w:color w:val="A6A6A6" w:themeColor="background1" w:themeShade="A6"/>
              </w:rPr>
              <w:t>Nepoužije se</w:t>
            </w:r>
          </w:p>
        </w:tc>
      </w:tr>
      <w:tr w:rsidR="00602DCA" w14:paraId="69595836" w14:textId="77777777">
        <w:trPr>
          <w:trHeight w:val="290"/>
        </w:trPr>
        <w:tc>
          <w:tcPr>
            <w:tcW w:w="2148" w:type="dxa"/>
            <w:noWrap/>
          </w:tcPr>
          <w:p w14:paraId="1E0005BF" w14:textId="77777777" w:rsidR="00602DCA" w:rsidRDefault="00C5530C">
            <w:pPr>
              <w:spacing w:before="40" w:after="80"/>
              <w:rPr>
                <w:rFonts w:eastAsia="Times New Roman"/>
                <w:color w:val="A6A6A6" w:themeColor="background1" w:themeShade="A6"/>
              </w:rPr>
            </w:pPr>
            <w:r>
              <w:rPr>
                <w:color w:val="A6A6A6" w:themeColor="background1" w:themeShade="A6"/>
              </w:rPr>
              <w:lastRenderedPageBreak/>
              <w:t>3) Udržitelné využívání a ochrana vodních a mořských zdrojů</w:t>
            </w:r>
          </w:p>
        </w:tc>
        <w:tc>
          <w:tcPr>
            <w:tcW w:w="7141" w:type="dxa"/>
          </w:tcPr>
          <w:p w14:paraId="01E92C69" w14:textId="77777777" w:rsidR="00602DCA" w:rsidRDefault="00C5530C">
            <w:pPr>
              <w:spacing w:before="40" w:after="80"/>
              <w:rPr>
                <w:rFonts w:eastAsia="Times New Roman"/>
                <w:color w:val="A6A6A6" w:themeColor="background1" w:themeShade="A6"/>
              </w:rPr>
            </w:pPr>
            <w:r>
              <w:rPr>
                <w:color w:val="A6A6A6" w:themeColor="background1" w:themeShade="A6"/>
              </w:rPr>
              <w:t>Nepoužije se</w:t>
            </w:r>
          </w:p>
        </w:tc>
      </w:tr>
      <w:tr w:rsidR="00602DCA" w14:paraId="3EC25BA5" w14:textId="77777777">
        <w:trPr>
          <w:trHeight w:val="290"/>
        </w:trPr>
        <w:tc>
          <w:tcPr>
            <w:tcW w:w="2148" w:type="dxa"/>
            <w:noWrap/>
          </w:tcPr>
          <w:p w14:paraId="239A05EF" w14:textId="77777777" w:rsidR="00602DCA" w:rsidRDefault="00C5530C">
            <w:pPr>
              <w:spacing w:before="40" w:after="80"/>
              <w:rPr>
                <w:rFonts w:eastAsia="Times New Roman"/>
                <w:color w:val="A6A6A6" w:themeColor="background1" w:themeShade="A6"/>
              </w:rPr>
            </w:pPr>
            <w:r>
              <w:rPr>
                <w:color w:val="A6A6A6" w:themeColor="background1" w:themeShade="A6"/>
              </w:rPr>
              <w:t>4) Přechod na oběhové hospodářství</w:t>
            </w:r>
          </w:p>
        </w:tc>
        <w:tc>
          <w:tcPr>
            <w:tcW w:w="7141" w:type="dxa"/>
          </w:tcPr>
          <w:p w14:paraId="66E26508" w14:textId="77777777" w:rsidR="00602DCA" w:rsidRDefault="00C5530C">
            <w:pPr>
              <w:rPr>
                <w:rFonts w:cs="Segoe UI"/>
                <w:color w:val="A6A6A6" w:themeColor="background1" w:themeShade="A6"/>
              </w:rPr>
            </w:pPr>
            <w:r>
              <w:rPr>
                <w:rFonts w:cs="Segoe UI"/>
                <w:color w:val="A6A6A6" w:themeColor="background1" w:themeShade="A6"/>
              </w:rPr>
              <w:t>Vozidla kategorií M1 a N1 jsou zároveň:</w:t>
            </w:r>
          </w:p>
          <w:p w14:paraId="164AE17D" w14:textId="77777777" w:rsidR="00602DCA" w:rsidRDefault="00C5530C">
            <w:pPr>
              <w:pStyle w:val="Point0"/>
              <w:rPr>
                <w:rFonts w:ascii="Segoe UI" w:hAnsi="Segoe UI" w:cs="Segoe UI"/>
                <w:color w:val="A6A6A6" w:themeColor="background1" w:themeShade="A6"/>
                <w:sz w:val="22"/>
              </w:rPr>
            </w:pPr>
            <w:r>
              <w:rPr>
                <w:rFonts w:ascii="Segoe UI" w:hAnsi="Segoe UI" w:cs="Segoe UI"/>
                <w:color w:val="A6A6A6" w:themeColor="background1" w:themeShade="A6"/>
                <w:sz w:val="22"/>
              </w:rPr>
              <w:t>a)</w:t>
            </w:r>
            <w:r>
              <w:rPr>
                <w:rFonts w:ascii="Segoe UI" w:hAnsi="Segoe UI" w:cs="Segoe UI"/>
                <w:color w:val="A6A6A6" w:themeColor="background1" w:themeShade="A6"/>
                <w:sz w:val="22"/>
              </w:rPr>
              <w:tab/>
              <w:t xml:space="preserve">opětovně použitelná nebo recyklovatelná nejméně v rozsahu 85 % hmotnostních a </w:t>
            </w:r>
          </w:p>
          <w:p w14:paraId="51B93C5F" w14:textId="77777777" w:rsidR="00602DCA" w:rsidRDefault="00C5530C">
            <w:pPr>
              <w:pStyle w:val="Point0"/>
              <w:rPr>
                <w:rFonts w:ascii="Segoe UI" w:hAnsi="Segoe UI" w:cs="Segoe UI"/>
                <w:color w:val="A6A6A6" w:themeColor="background1" w:themeShade="A6"/>
                <w:sz w:val="22"/>
              </w:rPr>
            </w:pPr>
            <w:r>
              <w:rPr>
                <w:rFonts w:ascii="Segoe UI" w:hAnsi="Segoe UI" w:cs="Segoe UI"/>
                <w:color w:val="A6A6A6" w:themeColor="background1" w:themeShade="A6"/>
                <w:sz w:val="22"/>
              </w:rPr>
              <w:t>b)</w:t>
            </w:r>
            <w:r>
              <w:rPr>
                <w:rFonts w:ascii="Segoe UI" w:hAnsi="Segoe UI" w:cs="Segoe UI"/>
                <w:color w:val="A6A6A6" w:themeColor="background1" w:themeShade="A6"/>
                <w:sz w:val="22"/>
              </w:rPr>
              <w:tab/>
              <w:t>opětovně použitelná nebo využitelná nejméně v rozsahu 95 % hmotnostních</w:t>
            </w:r>
            <w:r>
              <w:rPr>
                <w:rStyle w:val="Znakapoznpodarou"/>
                <w:rFonts w:ascii="Segoe UI" w:hAnsi="Segoe UI" w:cs="Segoe UI"/>
                <w:color w:val="A6A6A6" w:themeColor="background1" w:themeShade="A6"/>
                <w:sz w:val="22"/>
              </w:rPr>
              <w:footnoteReference w:id="223"/>
            </w:r>
            <w:r>
              <w:rPr>
                <w:rFonts w:ascii="Segoe UI" w:hAnsi="Segoe UI" w:cs="Segoe UI"/>
                <w:color w:val="A6A6A6" w:themeColor="background1" w:themeShade="A6"/>
                <w:sz w:val="22"/>
              </w:rPr>
              <w:t>.</w:t>
            </w:r>
          </w:p>
          <w:p w14:paraId="4A4DD8AF" w14:textId="77777777" w:rsidR="00602DCA" w:rsidRDefault="00C5530C">
            <w:pPr>
              <w:spacing w:before="200" w:after="200"/>
              <w:rPr>
                <w:rFonts w:cs="Segoe UI"/>
                <w:color w:val="A6A6A6" w:themeColor="background1" w:themeShade="A6"/>
              </w:rPr>
            </w:pPr>
            <w:r>
              <w:rPr>
                <w:rFonts w:cs="Segoe UI"/>
                <w:color w:val="A6A6A6" w:themeColor="background1" w:themeShade="A6"/>
              </w:rPr>
              <w:t>Jsou zavedena opatření pro nakládání s odpady jak ve fázi používání (údržby), tak na konci životnosti vozového parku, a to i prostřednictvím opětovného použití a recyklace baterií a elektroniky (zejména kritických surovin v nich obsažených), v souladu s hierarchií způsobů nakládání s odpady.</w:t>
            </w:r>
          </w:p>
          <w:p w14:paraId="277E990D" w14:textId="77777777" w:rsidR="00602DCA" w:rsidRDefault="00C5530C">
            <w:pPr>
              <w:spacing w:before="200" w:after="200"/>
              <w:rPr>
                <w:b/>
                <w:color w:val="A6A6A6" w:themeColor="background1" w:themeShade="A6"/>
                <w:szCs w:val="24"/>
              </w:rPr>
            </w:pPr>
            <w:r>
              <w:rPr>
                <w:b/>
                <w:color w:val="A6A6A6" w:themeColor="background1" w:themeShade="A6"/>
                <w:szCs w:val="24"/>
              </w:rPr>
              <w:t>Splněno souladem s legislativou.</w:t>
            </w:r>
          </w:p>
        </w:tc>
      </w:tr>
      <w:tr w:rsidR="00602DCA" w14:paraId="307C431C" w14:textId="77777777">
        <w:trPr>
          <w:trHeight w:val="290"/>
        </w:trPr>
        <w:tc>
          <w:tcPr>
            <w:tcW w:w="2148" w:type="dxa"/>
            <w:noWrap/>
            <w:vAlign w:val="center"/>
          </w:tcPr>
          <w:p w14:paraId="41428D34" w14:textId="77777777" w:rsidR="00602DCA" w:rsidRDefault="00C5530C">
            <w:pPr>
              <w:spacing w:before="40" w:after="80"/>
              <w:jc w:val="left"/>
              <w:rPr>
                <w:rFonts w:eastAsia="Times New Roman"/>
              </w:rPr>
            </w:pPr>
            <w:r>
              <w:t>5) Prevence a omezování znečištění</w:t>
            </w:r>
          </w:p>
        </w:tc>
        <w:tc>
          <w:tcPr>
            <w:tcW w:w="7141" w:type="dxa"/>
            <w:vAlign w:val="center"/>
          </w:tcPr>
          <w:p w14:paraId="312FC993" w14:textId="77777777" w:rsidR="00602DCA" w:rsidRDefault="00C5530C">
            <w:pPr>
              <w:spacing w:after="200"/>
              <w:rPr>
                <w:color w:val="A6A6A6" w:themeColor="background1" w:themeShade="A6"/>
              </w:rPr>
            </w:pPr>
            <w:r>
              <w:rPr>
                <w:color w:val="A6A6A6" w:themeColor="background1" w:themeShade="A6"/>
              </w:rPr>
              <w:t>Vozidla splňují požadavky posledního použitelného stupně schvalování typu z hlediska emisí lehkých užitkových vozidel Euro 6</w:t>
            </w:r>
            <w:r>
              <w:rPr>
                <w:rStyle w:val="Znakapoznpodarou"/>
                <w:color w:val="A6A6A6" w:themeColor="background1" w:themeShade="A6"/>
              </w:rPr>
              <w:footnoteReference w:id="224"/>
            </w:r>
            <w:r>
              <w:rPr>
                <w:color w:val="A6A6A6" w:themeColor="background1" w:themeShade="A6"/>
              </w:rPr>
              <w:t xml:space="preserve"> stanovené v souladu s nařízením (ES) č. 715/2007.</w:t>
            </w:r>
          </w:p>
          <w:p w14:paraId="1154E366" w14:textId="77777777" w:rsidR="00602DCA" w:rsidRDefault="00C5530C">
            <w:pPr>
              <w:spacing w:after="200"/>
              <w:rPr>
                <w:color w:val="A6A6A6" w:themeColor="background1" w:themeShade="A6"/>
              </w:rPr>
            </w:pPr>
            <w:r>
              <w:rPr>
                <w:b/>
                <w:color w:val="A6A6A6" w:themeColor="background1" w:themeShade="A6"/>
                <w:szCs w:val="24"/>
              </w:rPr>
              <w:t>Splněno souladem s legislativou.</w:t>
            </w:r>
          </w:p>
          <w:p w14:paraId="7989597F" w14:textId="44F82029" w:rsidR="008752E0" w:rsidRDefault="00C5530C" w:rsidP="008752E0">
            <w:pPr>
              <w:spacing w:before="200" w:after="200"/>
            </w:pPr>
            <w:r>
              <w:t>U silničních vozidel kategorií M a N splňují pneumatiky požadavky na vnější hluk odvalování v nejvyšší zastoupené třídě a koeficient valivého odporu (ovlivňující energetickou účinnost vozidla) ve dvou nejvyšších zastoupených třídách podle nařízení (EU) 2020/740, což lze ověřit v Evropské databázi výrobků s energetickým označením (EPREL).</w:t>
            </w:r>
            <w:r w:rsidR="00FB2A0F">
              <w:t xml:space="preserve"> </w:t>
            </w:r>
            <w:r w:rsidR="008752E0">
              <w:t xml:space="preserve">Do budoucna bude možné v této oblasti využít metodiku </w:t>
            </w:r>
            <w:r w:rsidR="008752E0" w:rsidRPr="008A6EE2">
              <w:rPr>
                <w:i/>
                <w:iCs/>
              </w:rPr>
              <w:t>Podporované energetické třídy u pořizovaných zařízení, na která se vztahují předpisy pro označování energetickými štítky</w:t>
            </w:r>
            <w:r w:rsidR="008752E0">
              <w:t>, kterou zpracovává Ministerstvo průmyslu a obchodu</w:t>
            </w:r>
            <w:r w:rsidR="008752E0" w:rsidRPr="003B795A">
              <w:t>.</w:t>
            </w:r>
            <w:r w:rsidR="00FB2A0F">
              <w:t xml:space="preserve"> </w:t>
            </w:r>
            <w:r w:rsidR="008752E0" w:rsidRPr="003B795A">
              <w:t xml:space="preserve">Metodiku bude možné následně dohledat na webu </w:t>
            </w:r>
            <w:r w:rsidR="008752E0" w:rsidRPr="003B795A">
              <w:lastRenderedPageBreak/>
              <w:t>MPO, v kategorii Energetika/Úspory energie/Úspory v praxi/Ekodesign a štítkování výrobků.</w:t>
            </w:r>
          </w:p>
          <w:p w14:paraId="00A46F1D" w14:textId="30485385" w:rsidR="00602DCA" w:rsidRDefault="008752E0">
            <w:pPr>
              <w:spacing w:before="200" w:after="200"/>
            </w:pPr>
            <w:r w:rsidRPr="008752E0">
              <w:t>V případě produktů bez označování energetickými štítky lze zvýhodnit výrobky s jinou certifikací energetické účinnosti.</w:t>
            </w:r>
          </w:p>
          <w:p w14:paraId="3F4761B5" w14:textId="77777777" w:rsidR="00602DCA" w:rsidRDefault="00C5530C">
            <w:pPr>
              <w:spacing w:before="200" w:after="200"/>
            </w:pPr>
            <w:r>
              <w:t>Vozidla jsou v souladu s nařízením Evropského parlamentu a Rady (EU) č. 540/2014</w:t>
            </w:r>
            <w:r>
              <w:rPr>
                <w:rStyle w:val="Znakapoznpodarou"/>
              </w:rPr>
              <w:footnoteReference w:id="225"/>
            </w:r>
            <w:r>
              <w:t>.</w:t>
            </w:r>
          </w:p>
        </w:tc>
      </w:tr>
      <w:tr w:rsidR="00602DCA" w14:paraId="0166A7B5" w14:textId="77777777">
        <w:trPr>
          <w:trHeight w:val="290"/>
        </w:trPr>
        <w:tc>
          <w:tcPr>
            <w:tcW w:w="2148" w:type="dxa"/>
            <w:noWrap/>
          </w:tcPr>
          <w:p w14:paraId="2A274CC2" w14:textId="776EFB4E" w:rsidR="00602DCA" w:rsidRDefault="00C5530C">
            <w:pPr>
              <w:spacing w:before="40" w:after="80"/>
              <w:rPr>
                <w:rFonts w:eastAsia="Times New Roman"/>
                <w:color w:val="A6A6A6" w:themeColor="background1" w:themeShade="A6"/>
              </w:rPr>
            </w:pPr>
            <w:r>
              <w:rPr>
                <w:color w:val="A6A6A6" w:themeColor="background1" w:themeShade="A6"/>
              </w:rPr>
              <w:lastRenderedPageBreak/>
              <w:t>6) Ochrana a obnova biologické rozmanitosti a ekosystémů</w:t>
            </w:r>
          </w:p>
        </w:tc>
        <w:tc>
          <w:tcPr>
            <w:tcW w:w="7141" w:type="dxa"/>
          </w:tcPr>
          <w:p w14:paraId="40B8822C" w14:textId="77777777" w:rsidR="00602DCA" w:rsidRDefault="00C5530C">
            <w:pPr>
              <w:spacing w:before="40" w:after="80"/>
              <w:rPr>
                <w:rFonts w:eastAsia="Times New Roman"/>
                <w:color w:val="A6A6A6" w:themeColor="background1" w:themeShade="A6"/>
              </w:rPr>
            </w:pPr>
            <w:r>
              <w:rPr>
                <w:color w:val="A6A6A6" w:themeColor="background1" w:themeShade="A6"/>
              </w:rPr>
              <w:t>Nepoužije se</w:t>
            </w:r>
          </w:p>
        </w:tc>
      </w:tr>
    </w:tbl>
    <w:p w14:paraId="5A3C7670" w14:textId="77777777" w:rsidR="00602DCA" w:rsidRDefault="00602DCA"/>
    <w:p w14:paraId="002B3A63" w14:textId="77777777" w:rsidR="00DA26DF" w:rsidRDefault="00DA26DF" w:rsidP="00DA26DF">
      <w:pPr>
        <w:pStyle w:val="Nadpis3"/>
      </w:pPr>
      <w:r w:rsidRPr="006C1B48">
        <w:t>Městská a příměstská doprava, silniční osobní doprava</w:t>
      </w:r>
    </w:p>
    <w:p w14:paraId="577546A2" w14:textId="42265679" w:rsidR="00160B09" w:rsidRPr="00BF3921" w:rsidRDefault="00160B09" w:rsidP="00160B09">
      <w:pPr>
        <w:rPr>
          <w:b/>
          <w:iCs/>
        </w:rPr>
      </w:pPr>
      <w:r w:rsidRPr="00BF3921">
        <w:rPr>
          <w:b/>
          <w:iCs/>
        </w:rPr>
        <w:t>Pro kategorii vozidel „</w:t>
      </w:r>
      <w:r w:rsidRPr="00160B09">
        <w:rPr>
          <w:b/>
          <w:iCs/>
        </w:rPr>
        <w:t>Městská a příměstská doprava, silniční osobní doprava</w:t>
      </w:r>
      <w:r w:rsidRPr="00BF3921">
        <w:rPr>
          <w:b/>
          <w:iCs/>
        </w:rPr>
        <w:t>“</w:t>
      </w:r>
      <w:r>
        <w:rPr>
          <w:b/>
          <w:iCs/>
        </w:rPr>
        <w:t xml:space="preserve"> jsou doporučeny podmínky dle technických screeningových kritérií taxonomie s významným přínosem pro cíl </w:t>
      </w:r>
      <w:proofErr w:type="spellStart"/>
      <w:r>
        <w:rPr>
          <w:b/>
          <w:iCs/>
        </w:rPr>
        <w:t>mitigace</w:t>
      </w:r>
      <w:proofErr w:type="spellEnd"/>
      <w:r>
        <w:rPr>
          <w:b/>
          <w:iCs/>
        </w:rPr>
        <w:t>, nicméně s ohledem na potřeby plnění ČR v cílech podílu OZE v dopravě dle směrnice REDIII j</w:t>
      </w:r>
      <w:r w:rsidR="004D5958">
        <w:rPr>
          <w:b/>
          <w:iCs/>
        </w:rPr>
        <w:t>e</w:t>
      </w:r>
      <w:r>
        <w:rPr>
          <w:b/>
          <w:iCs/>
        </w:rPr>
        <w:t xml:space="preserve"> </w:t>
      </w:r>
      <w:r>
        <w:rPr>
          <w:b/>
          <w:bCs/>
        </w:rPr>
        <w:t xml:space="preserve">odchylně od taxonomie </w:t>
      </w:r>
      <w:r>
        <w:rPr>
          <w:b/>
          <w:iCs/>
        </w:rPr>
        <w:t xml:space="preserve">zahrnuty taktéž </w:t>
      </w:r>
      <w:r w:rsidRPr="00160B09">
        <w:rPr>
          <w:b/>
          <w:iCs/>
        </w:rPr>
        <w:t>biometan, obnovitelné palivo nebiologického původu nebo recyklované palivo splňující kritéria udržitelnosti a úspor emisí skleníkových plynů</w:t>
      </w:r>
      <w:r>
        <w:rPr>
          <w:b/>
          <w:iCs/>
        </w:rPr>
        <w:t>.</w:t>
      </w:r>
    </w:p>
    <w:tbl>
      <w:tblPr>
        <w:tblW w:w="9289" w:type="dxa"/>
        <w:tblBorders>
          <w:top w:val="single" w:sz="4" w:space="0" w:color="auto"/>
          <w:bottom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2148"/>
        <w:gridCol w:w="7141"/>
      </w:tblGrid>
      <w:tr w:rsidR="00384D5C" w:rsidRPr="009B4AE3" w14:paraId="11FA399F" w14:textId="77777777" w:rsidTr="002A49E5">
        <w:trPr>
          <w:trHeight w:val="290"/>
        </w:trPr>
        <w:tc>
          <w:tcPr>
            <w:tcW w:w="2148" w:type="dxa"/>
            <w:noWrap/>
            <w:vAlign w:val="center"/>
          </w:tcPr>
          <w:p w14:paraId="55AE8806" w14:textId="65C0F0D6" w:rsidR="00384D5C" w:rsidRPr="009B4AE3" w:rsidRDefault="00384D5C" w:rsidP="002A49E5">
            <w:pPr>
              <w:spacing w:before="40" w:after="80"/>
              <w:rPr>
                <w:noProof/>
                <w:color w:val="A6A6A6" w:themeColor="background1" w:themeShade="A6"/>
              </w:rPr>
            </w:pPr>
            <w:r>
              <w:t xml:space="preserve">1) </w:t>
            </w:r>
            <w:r w:rsidRPr="002A49E5">
              <w:t>Zmírňování změny klimatu</w:t>
            </w:r>
          </w:p>
        </w:tc>
        <w:tc>
          <w:tcPr>
            <w:tcW w:w="7141" w:type="dxa"/>
          </w:tcPr>
          <w:p w14:paraId="212346AA" w14:textId="77777777" w:rsidR="00384D5C" w:rsidRPr="009B4AE3" w:rsidRDefault="00384D5C" w:rsidP="00384D5C">
            <w:pPr>
              <w:spacing w:line="259" w:lineRule="auto"/>
              <w:rPr>
                <w:rFonts w:cs="Segoe UI"/>
                <w:noProof/>
              </w:rPr>
            </w:pPr>
            <w:r w:rsidRPr="009B4AE3">
              <w:rPr>
                <w:rFonts w:cs="Segoe UI"/>
                <w:noProof/>
              </w:rPr>
              <w:t>Činnost splňuje jedno z těchto kritérií:</w:t>
            </w:r>
          </w:p>
          <w:p w14:paraId="615ABE60" w14:textId="77777777" w:rsidR="00384D5C" w:rsidRPr="009B4AE3" w:rsidRDefault="00384D5C" w:rsidP="00384D5C">
            <w:pPr>
              <w:pStyle w:val="Point0"/>
              <w:rPr>
                <w:rFonts w:ascii="Segoe UI" w:hAnsi="Segoe UI" w:cs="Segoe UI"/>
                <w:noProof/>
                <w:sz w:val="22"/>
              </w:rPr>
            </w:pPr>
            <w:r w:rsidRPr="009B4AE3">
              <w:rPr>
                <w:rFonts w:ascii="Segoe UI" w:hAnsi="Segoe UI" w:cs="Segoe UI"/>
                <w:noProof/>
                <w:sz w:val="22"/>
              </w:rPr>
              <w:t>a)</w:t>
            </w:r>
            <w:r w:rsidRPr="009B4AE3">
              <w:rPr>
                <w:rFonts w:ascii="Segoe UI" w:hAnsi="Segoe UI" w:cs="Segoe UI"/>
                <w:noProof/>
                <w:sz w:val="22"/>
              </w:rPr>
              <w:tab/>
              <w:t>činnost zajišťuje městskou nebo příměstskou osobní dopravu a její přímé (výfukové) emise CO</w:t>
            </w:r>
            <w:r w:rsidRPr="009B4AE3">
              <w:rPr>
                <w:rFonts w:ascii="Segoe UI" w:hAnsi="Segoe UI" w:cs="Segoe UI"/>
                <w:noProof/>
                <w:sz w:val="22"/>
                <w:vertAlign w:val="subscript"/>
              </w:rPr>
              <w:t>2</w:t>
            </w:r>
            <w:r w:rsidRPr="009B4AE3">
              <w:rPr>
                <w:rFonts w:ascii="Segoe UI" w:hAnsi="Segoe UI" w:cs="Segoe UI"/>
                <w:noProof/>
                <w:sz w:val="22"/>
              </w:rPr>
              <w:t xml:space="preserve"> jsou nulové</w:t>
            </w:r>
            <w:r w:rsidRPr="009B4AE3">
              <w:rPr>
                <w:rStyle w:val="Znakapoznpodarou"/>
                <w:rFonts w:ascii="Segoe UI" w:hAnsi="Segoe UI" w:cs="Segoe UI"/>
                <w:noProof/>
                <w:sz w:val="22"/>
              </w:rPr>
              <w:footnoteReference w:id="226"/>
            </w:r>
            <w:r w:rsidRPr="009B4AE3">
              <w:rPr>
                <w:rFonts w:ascii="Segoe UI" w:hAnsi="Segoe UI" w:cs="Segoe UI"/>
                <w:noProof/>
                <w:sz w:val="22"/>
              </w:rPr>
              <w:t>;</w:t>
            </w:r>
          </w:p>
          <w:p w14:paraId="714641D0" w14:textId="77777777" w:rsidR="00384D5C" w:rsidRDefault="00384D5C" w:rsidP="00384D5C">
            <w:pPr>
              <w:pStyle w:val="Point0"/>
              <w:keepNext/>
              <w:ind w:left="851" w:hanging="851"/>
              <w:rPr>
                <w:rFonts w:ascii="Segoe UI" w:hAnsi="Segoe UI" w:cs="Segoe UI"/>
                <w:noProof/>
                <w:sz w:val="22"/>
              </w:rPr>
            </w:pPr>
            <w:r w:rsidRPr="009B4AE3">
              <w:rPr>
                <w:rFonts w:ascii="Segoe UI" w:hAnsi="Segoe UI" w:cs="Segoe UI"/>
                <w:noProof/>
                <w:sz w:val="22"/>
              </w:rPr>
              <w:t>b)</w:t>
            </w:r>
            <w:r w:rsidRPr="009B4AE3">
              <w:rPr>
                <w:rFonts w:ascii="Segoe UI" w:hAnsi="Segoe UI" w:cs="Segoe UI"/>
                <w:noProof/>
                <w:sz w:val="22"/>
              </w:rPr>
              <w:tab/>
              <w:t>činnost zajišťuje městskou nebo příměstskou osobní dopravu s</w:t>
            </w:r>
            <w:r>
              <w:rPr>
                <w:rFonts w:ascii="Segoe UI" w:hAnsi="Segoe UI" w:cs="Segoe UI"/>
                <w:noProof/>
                <w:sz w:val="22"/>
              </w:rPr>
              <w:t> </w:t>
            </w:r>
            <w:r w:rsidRPr="009B4AE3">
              <w:rPr>
                <w:rFonts w:ascii="Segoe UI" w:hAnsi="Segoe UI" w:cs="Segoe UI"/>
                <w:noProof/>
                <w:sz w:val="22"/>
              </w:rPr>
              <w:t>využitím vozidel kategorií M2 a M3</w:t>
            </w:r>
            <w:r w:rsidRPr="009B4AE3">
              <w:rPr>
                <w:rStyle w:val="Znakapoznpodarou"/>
                <w:rFonts w:ascii="Segoe UI" w:hAnsi="Segoe UI" w:cs="Segoe UI"/>
                <w:noProof/>
                <w:sz w:val="22"/>
              </w:rPr>
              <w:footnoteReference w:id="227"/>
            </w:r>
            <w:r w:rsidRPr="009B4AE3">
              <w:rPr>
                <w:rFonts w:ascii="Segoe UI" w:hAnsi="Segoe UI" w:cs="Segoe UI"/>
                <w:noProof/>
                <w:sz w:val="22"/>
              </w:rPr>
              <w:t>, která</w:t>
            </w:r>
            <w:r>
              <w:rPr>
                <w:rFonts w:ascii="Segoe UI" w:hAnsi="Segoe UI" w:cs="Segoe UI"/>
                <w:noProof/>
                <w:sz w:val="22"/>
              </w:rPr>
              <w:t>:</w:t>
            </w:r>
            <w:r w:rsidRPr="009B4AE3">
              <w:rPr>
                <w:rFonts w:ascii="Segoe UI" w:hAnsi="Segoe UI" w:cs="Segoe UI"/>
                <w:noProof/>
                <w:sz w:val="22"/>
              </w:rPr>
              <w:t xml:space="preserve"> </w:t>
            </w:r>
          </w:p>
          <w:p w14:paraId="2F57B9B5" w14:textId="77777777" w:rsidR="00384D5C" w:rsidRPr="002A49E5" w:rsidRDefault="00384D5C" w:rsidP="00384D5C">
            <w:pPr>
              <w:pStyle w:val="Point0"/>
              <w:numPr>
                <w:ilvl w:val="0"/>
                <w:numId w:val="219"/>
              </w:numPr>
              <w:rPr>
                <w:noProof/>
                <w:sz w:val="22"/>
              </w:rPr>
            </w:pPr>
            <w:r w:rsidRPr="009B4AE3">
              <w:rPr>
                <w:rFonts w:ascii="Segoe UI" w:hAnsi="Segoe UI" w:cs="Segoe UI"/>
                <w:noProof/>
                <w:sz w:val="22"/>
              </w:rPr>
              <w:t>mají druh karoserie klasifikovaný jako „CA“ (jednopodlažní vozidlo), „CB“ (dvojpodlažní vozidlo), „CC“ (jednopodlažní kloubové vozidlo) nebo „CD“ (dvojpodlažní kloubové vozidlo)</w:t>
            </w:r>
            <w:r w:rsidRPr="009B4AE3">
              <w:rPr>
                <w:rStyle w:val="Znakapoznpodarou"/>
                <w:rFonts w:ascii="Segoe UI" w:hAnsi="Segoe UI" w:cs="Segoe UI"/>
                <w:noProof/>
                <w:sz w:val="22"/>
              </w:rPr>
              <w:footnoteReference w:id="228"/>
            </w:r>
            <w:r>
              <w:rPr>
                <w:rFonts w:ascii="Segoe UI" w:hAnsi="Segoe UI" w:cs="Segoe UI"/>
                <w:noProof/>
                <w:sz w:val="22"/>
              </w:rPr>
              <w:t>;</w:t>
            </w:r>
            <w:r w:rsidRPr="009B4AE3">
              <w:rPr>
                <w:rFonts w:ascii="Segoe UI" w:hAnsi="Segoe UI" w:cs="Segoe UI"/>
                <w:noProof/>
                <w:sz w:val="22"/>
              </w:rPr>
              <w:t xml:space="preserve"> </w:t>
            </w:r>
          </w:p>
          <w:p w14:paraId="537C1305" w14:textId="77777777" w:rsidR="00384D5C" w:rsidRPr="002A49E5" w:rsidRDefault="00384D5C" w:rsidP="00384D5C">
            <w:pPr>
              <w:pStyle w:val="Point0"/>
              <w:numPr>
                <w:ilvl w:val="0"/>
                <w:numId w:val="219"/>
              </w:numPr>
              <w:rPr>
                <w:noProof/>
                <w:sz w:val="22"/>
              </w:rPr>
            </w:pPr>
            <w:r>
              <w:rPr>
                <w:rFonts w:ascii="Segoe UI" w:hAnsi="Segoe UI" w:cs="Segoe UI"/>
                <w:noProof/>
                <w:sz w:val="22"/>
              </w:rPr>
              <w:t xml:space="preserve">a zároveň </w:t>
            </w:r>
            <w:r w:rsidRPr="009B4AE3">
              <w:rPr>
                <w:rFonts w:ascii="Segoe UI" w:hAnsi="Segoe UI" w:cs="Segoe UI"/>
                <w:noProof/>
                <w:sz w:val="22"/>
              </w:rPr>
              <w:t xml:space="preserve">splňují nejnovější normu EURO VI, tj. jak požadavky nařízení (ES) č. 595/2009 a od okamžiku, kdy vstoupí v platnost </w:t>
            </w:r>
            <w:r w:rsidRPr="009B4AE3">
              <w:rPr>
                <w:rFonts w:ascii="Segoe UI" w:hAnsi="Segoe UI" w:cs="Segoe UI"/>
                <w:noProof/>
                <w:sz w:val="22"/>
              </w:rPr>
              <w:lastRenderedPageBreak/>
              <w:t>změny uvedeného nařízení, požadavky daných pozměňujících aktů ještě před datem jejich použitelnosti, tak i poslední krok normy Euro VI stanovený v příloze I dodatku 9 tabulce 1 nařízení (EU) č. 582/2011, jestliže ustanovení upravující tento krok vstoupila v platnost, avšak dosud nejsou pro daný druh vozidla použitelná</w:t>
            </w:r>
            <w:r w:rsidRPr="009B4AE3">
              <w:rPr>
                <w:rStyle w:val="Znakapoznpodarou"/>
                <w:rFonts w:ascii="Segoe UI" w:hAnsi="Segoe UI" w:cs="Segoe UI"/>
                <w:noProof/>
                <w:sz w:val="22"/>
              </w:rPr>
              <w:footnoteReference w:id="229"/>
            </w:r>
            <w:r w:rsidRPr="009B4AE3">
              <w:rPr>
                <w:rFonts w:ascii="Segoe UI" w:hAnsi="Segoe UI" w:cs="Segoe UI"/>
                <w:noProof/>
                <w:sz w:val="22"/>
              </w:rPr>
              <w:t>. Není-li taková norma k dispozici, jsou přímé emise CO</w:t>
            </w:r>
            <w:r w:rsidRPr="009B4AE3">
              <w:rPr>
                <w:rFonts w:ascii="Segoe UI" w:hAnsi="Segoe UI" w:cs="Segoe UI"/>
                <w:noProof/>
                <w:sz w:val="22"/>
                <w:vertAlign w:val="subscript"/>
              </w:rPr>
              <w:t>2</w:t>
            </w:r>
            <w:r w:rsidRPr="009B4AE3">
              <w:rPr>
                <w:rFonts w:ascii="Segoe UI" w:hAnsi="Segoe UI" w:cs="Segoe UI"/>
                <w:noProof/>
                <w:sz w:val="22"/>
              </w:rPr>
              <w:t xml:space="preserve"> těchto vozidel nulové</w:t>
            </w:r>
            <w:r>
              <w:rPr>
                <w:rFonts w:ascii="Segoe UI" w:hAnsi="Segoe UI" w:cs="Segoe UI"/>
                <w:noProof/>
                <w:sz w:val="22"/>
              </w:rPr>
              <w:t>;</w:t>
            </w:r>
          </w:p>
          <w:p w14:paraId="59F27E7B" w14:textId="77777777" w:rsidR="00384D5C" w:rsidRPr="002A49E5" w:rsidRDefault="00384D5C" w:rsidP="00384D5C">
            <w:pPr>
              <w:pStyle w:val="Point0"/>
              <w:numPr>
                <w:ilvl w:val="0"/>
                <w:numId w:val="219"/>
              </w:numPr>
              <w:rPr>
                <w:noProof/>
                <w:sz w:val="22"/>
              </w:rPr>
            </w:pPr>
            <w:r>
              <w:rPr>
                <w:rFonts w:ascii="Segoe UI" w:hAnsi="Segoe UI" w:cs="Segoe UI"/>
                <w:noProof/>
                <w:sz w:val="22"/>
              </w:rPr>
              <w:t xml:space="preserve">a zároveň </w:t>
            </w:r>
            <w:r w:rsidRPr="00C21F8F">
              <w:rPr>
                <w:rFonts w:ascii="Segoe UI" w:hAnsi="Segoe UI" w:cs="Segoe UI"/>
                <w:noProof/>
                <w:sz w:val="22"/>
              </w:rPr>
              <w:t>ke svému pohonu využívají biometan, obnovitelné palivo nebiologického původu nebo recyklované palivo splňující kritéria udržitelnosti a úspor emisí skleníkových plynů podle směrnice Evropského parlamentu a Rady 2018/2001/EU o podpoře využívání energie z obnovitelných zdrojů za podmínky, že tato vozidla jsou výhradně poháněna tímto palivem.</w:t>
            </w:r>
          </w:p>
          <w:p w14:paraId="46EB2274" w14:textId="77777777" w:rsidR="00384D5C" w:rsidRPr="002A49E5" w:rsidRDefault="00384D5C" w:rsidP="00384D5C">
            <w:pPr>
              <w:pStyle w:val="Point0"/>
              <w:ind w:left="720" w:firstLine="0"/>
              <w:rPr>
                <w:rFonts w:ascii="Segoe UI" w:hAnsi="Segoe UI" w:cs="Segoe UI"/>
                <w:noProof/>
                <w:sz w:val="22"/>
              </w:rPr>
            </w:pPr>
            <w:r w:rsidRPr="002A49E5">
              <w:rPr>
                <w:rFonts w:ascii="Segoe UI" w:hAnsi="Segoe UI" w:cs="Segoe UI"/>
                <w:noProof/>
                <w:sz w:val="22"/>
              </w:rPr>
              <w:t xml:space="preserve">Směrnice obsahuje 2 možnosti prokázání splnění </w:t>
            </w:r>
            <w:r>
              <w:rPr>
                <w:rFonts w:ascii="Segoe UI" w:hAnsi="Segoe UI" w:cs="Segoe UI"/>
                <w:noProof/>
                <w:sz w:val="22"/>
              </w:rPr>
              <w:t>kritérií udržitelnosti</w:t>
            </w:r>
            <w:r w:rsidRPr="002A49E5">
              <w:rPr>
                <w:rFonts w:ascii="Segoe UI" w:hAnsi="Segoe UI" w:cs="Segoe UI"/>
                <w:noProof/>
                <w:sz w:val="22"/>
              </w:rPr>
              <w:t>, a to vnitrostátním režimem nebo dobrovolným systémem schváleným Evropskou komisí.</w:t>
            </w:r>
          </w:p>
          <w:p w14:paraId="459599F3" w14:textId="77777777" w:rsidR="00384D5C" w:rsidRPr="002A49E5" w:rsidRDefault="00384D5C" w:rsidP="00384D5C">
            <w:pPr>
              <w:pStyle w:val="Point0"/>
              <w:numPr>
                <w:ilvl w:val="1"/>
                <w:numId w:val="219"/>
              </w:numPr>
              <w:rPr>
                <w:rFonts w:ascii="Segoe UI" w:hAnsi="Segoe UI" w:cs="Segoe UI"/>
                <w:noProof/>
                <w:sz w:val="22"/>
              </w:rPr>
            </w:pPr>
            <w:r w:rsidRPr="002A49E5">
              <w:rPr>
                <w:rFonts w:ascii="Segoe UI" w:hAnsi="Segoe UI" w:cs="Segoe UI"/>
                <w:noProof/>
                <w:sz w:val="22"/>
              </w:rPr>
              <w:t xml:space="preserve">Dle zákona o POZE (dle LEX OZEIII) je v případě biometanu možné pro prokázání splnění </w:t>
            </w:r>
            <w:r>
              <w:rPr>
                <w:rFonts w:ascii="Segoe UI" w:hAnsi="Segoe UI" w:cs="Segoe UI"/>
                <w:noProof/>
                <w:sz w:val="22"/>
              </w:rPr>
              <w:t>kritérií udržitelnosti</w:t>
            </w:r>
            <w:r w:rsidRPr="002A49E5">
              <w:rPr>
                <w:rFonts w:ascii="Segoe UI" w:hAnsi="Segoe UI" w:cs="Segoe UI"/>
                <w:noProof/>
                <w:sz w:val="22"/>
              </w:rPr>
              <w:t xml:space="preserve"> využít pouze dobrovolný systém. Dle zákona o ochraně ovzduší je možné v případě biopaliv využít i vnitrostátní režim</w:t>
            </w:r>
            <w:r>
              <w:rPr>
                <w:rFonts w:ascii="Segoe UI" w:hAnsi="Segoe UI" w:cs="Segoe UI"/>
                <w:noProof/>
                <w:sz w:val="22"/>
              </w:rPr>
              <w:t xml:space="preserve"> (pozn.</w:t>
            </w:r>
            <w:r w:rsidRPr="002A49E5">
              <w:rPr>
                <w:rFonts w:ascii="Segoe UI" w:hAnsi="Segoe UI" w:cs="Segoe UI"/>
                <w:noProof/>
                <w:sz w:val="22"/>
              </w:rPr>
              <w:t xml:space="preserve">, ten se ale </w:t>
            </w:r>
            <w:r>
              <w:rPr>
                <w:rFonts w:ascii="Segoe UI" w:hAnsi="Segoe UI" w:cs="Segoe UI"/>
                <w:noProof/>
                <w:sz w:val="22"/>
              </w:rPr>
              <w:t xml:space="preserve">prozatím </w:t>
            </w:r>
            <w:r w:rsidRPr="002A49E5">
              <w:rPr>
                <w:rFonts w:ascii="Segoe UI" w:hAnsi="Segoe UI" w:cs="Segoe UI"/>
                <w:noProof/>
                <w:sz w:val="22"/>
              </w:rPr>
              <w:t>fakticky nepoužívá a využívá se pouze dobrovolný systém</w:t>
            </w:r>
            <w:r>
              <w:rPr>
                <w:rFonts w:ascii="Segoe UI" w:hAnsi="Segoe UI" w:cs="Segoe UI"/>
                <w:noProof/>
                <w:sz w:val="22"/>
              </w:rPr>
              <w:t>)</w:t>
            </w:r>
            <w:r w:rsidRPr="002A49E5">
              <w:rPr>
                <w:rFonts w:ascii="Segoe UI" w:hAnsi="Segoe UI" w:cs="Segoe UI"/>
                <w:noProof/>
                <w:sz w:val="22"/>
              </w:rPr>
              <w:t>.</w:t>
            </w:r>
          </w:p>
          <w:p w14:paraId="173FE901" w14:textId="77777777" w:rsidR="00384D5C" w:rsidRPr="002A49E5" w:rsidRDefault="00384D5C" w:rsidP="00384D5C">
            <w:pPr>
              <w:pStyle w:val="Point0"/>
              <w:numPr>
                <w:ilvl w:val="1"/>
                <w:numId w:val="219"/>
              </w:numPr>
              <w:rPr>
                <w:rFonts w:ascii="Segoe UI" w:hAnsi="Segoe UI" w:cs="Segoe UI"/>
                <w:noProof/>
                <w:sz w:val="22"/>
              </w:rPr>
            </w:pPr>
            <w:r w:rsidRPr="002A49E5">
              <w:rPr>
                <w:rFonts w:ascii="Segoe UI" w:hAnsi="Segoe UI" w:cs="Segoe UI"/>
                <w:noProof/>
                <w:sz w:val="22"/>
              </w:rPr>
              <w:t xml:space="preserve">V rámci dobrovolného systému je ke každé dodávce udržitelných produktů (biometanu či biopalivu) vystaveno tzv. Prohlášení o splnění kritérií udržitelnosti, tzv. dokument PoS. Tento jedinečný dokument deklaruje splnění </w:t>
            </w:r>
            <w:r>
              <w:rPr>
                <w:rFonts w:ascii="Segoe UI" w:hAnsi="Segoe UI" w:cs="Segoe UI"/>
                <w:noProof/>
                <w:sz w:val="22"/>
              </w:rPr>
              <w:t>kritérií udržitelnosti</w:t>
            </w:r>
            <w:r w:rsidRPr="002A49E5">
              <w:rPr>
                <w:rFonts w:ascii="Segoe UI" w:hAnsi="Segoe UI" w:cs="Segoe UI"/>
                <w:noProof/>
                <w:sz w:val="22"/>
              </w:rPr>
              <w:t>.</w:t>
            </w:r>
          </w:p>
          <w:p w14:paraId="09DA8A28" w14:textId="77777777" w:rsidR="00384D5C" w:rsidRPr="002A49E5" w:rsidRDefault="00384D5C" w:rsidP="00384D5C">
            <w:pPr>
              <w:pStyle w:val="Point0"/>
              <w:numPr>
                <w:ilvl w:val="1"/>
                <w:numId w:val="219"/>
              </w:numPr>
              <w:rPr>
                <w:rFonts w:ascii="Segoe UI" w:hAnsi="Segoe UI" w:cs="Segoe UI"/>
                <w:noProof/>
                <w:sz w:val="22"/>
              </w:rPr>
            </w:pPr>
            <w:r w:rsidRPr="002A49E5">
              <w:rPr>
                <w:rFonts w:ascii="Segoe UI" w:hAnsi="Segoe UI" w:cs="Segoe UI"/>
                <w:noProof/>
                <w:sz w:val="22"/>
              </w:rPr>
              <w:t>K tomu, aby výrobce biometanu mohl tento dokument vystavit</w:t>
            </w:r>
            <w:r>
              <w:rPr>
                <w:rFonts w:ascii="Segoe UI" w:hAnsi="Segoe UI" w:cs="Segoe UI"/>
                <w:noProof/>
                <w:sz w:val="22"/>
              </w:rPr>
              <w:t>,</w:t>
            </w:r>
            <w:r w:rsidRPr="002A49E5">
              <w:rPr>
                <w:rFonts w:ascii="Segoe UI" w:hAnsi="Segoe UI" w:cs="Segoe UI"/>
                <w:noProof/>
                <w:sz w:val="22"/>
              </w:rPr>
              <w:t xml:space="preserve"> musí být držitelem certifikátu vydaného v rámci dobrovolného systému. Certifikát zaručuje, že výrobce má zaveden systém hmotnostní bilance a systém kvality, který umožňuje věrohodně prokázat, že prodané produkty vyrobil a měl k daným produktům dostatečné množství udržitelné biomasy.</w:t>
            </w:r>
          </w:p>
          <w:p w14:paraId="23A527F2" w14:textId="1FF2DC40" w:rsidR="00384D5C" w:rsidRPr="009B4AE3" w:rsidRDefault="00384D5C" w:rsidP="006C1B48">
            <w:pPr>
              <w:pStyle w:val="Point0"/>
              <w:numPr>
                <w:ilvl w:val="1"/>
                <w:numId w:val="219"/>
              </w:numPr>
              <w:rPr>
                <w:noProof/>
                <w:color w:val="A6A6A6" w:themeColor="background1" w:themeShade="A6"/>
              </w:rPr>
            </w:pPr>
            <w:r w:rsidRPr="002A49E5">
              <w:rPr>
                <w:rFonts w:ascii="Segoe UI" w:hAnsi="Segoe UI" w:cs="Segoe UI"/>
                <w:noProof/>
                <w:sz w:val="22"/>
              </w:rPr>
              <w:t>V případě výroby biometanu musí být dokument PoS podložen zárukou původu podle zákona o POZE.</w:t>
            </w:r>
          </w:p>
        </w:tc>
      </w:tr>
      <w:tr w:rsidR="00DA26DF" w:rsidRPr="009B4AE3" w14:paraId="71E4F460" w14:textId="77777777" w:rsidTr="002A49E5">
        <w:trPr>
          <w:trHeight w:val="290"/>
        </w:trPr>
        <w:tc>
          <w:tcPr>
            <w:tcW w:w="2148" w:type="dxa"/>
            <w:noWrap/>
            <w:vAlign w:val="center"/>
          </w:tcPr>
          <w:p w14:paraId="138D74EC" w14:textId="77777777" w:rsidR="00DA26DF" w:rsidRPr="009B4AE3" w:rsidRDefault="00DA26DF" w:rsidP="002A49E5">
            <w:pPr>
              <w:spacing w:before="40" w:after="80"/>
              <w:rPr>
                <w:rFonts w:eastAsia="Times New Roman"/>
                <w:noProof/>
                <w:color w:val="A6A6A6" w:themeColor="background1" w:themeShade="A6"/>
              </w:rPr>
            </w:pPr>
            <w:r w:rsidRPr="009B4AE3">
              <w:rPr>
                <w:noProof/>
                <w:color w:val="A6A6A6" w:themeColor="background1" w:themeShade="A6"/>
              </w:rPr>
              <w:lastRenderedPageBreak/>
              <w:t>2) Přizpůsobování se změně klimatu</w:t>
            </w:r>
          </w:p>
        </w:tc>
        <w:tc>
          <w:tcPr>
            <w:tcW w:w="7141" w:type="dxa"/>
          </w:tcPr>
          <w:p w14:paraId="34CB2F5E" w14:textId="77777777" w:rsidR="00DA26DF" w:rsidRPr="009B4AE3" w:rsidRDefault="00DA26DF" w:rsidP="002A49E5">
            <w:pPr>
              <w:spacing w:before="200" w:after="200"/>
              <w:rPr>
                <w:noProof/>
                <w:color w:val="A6A6A6" w:themeColor="background1" w:themeShade="A6"/>
              </w:rPr>
            </w:pPr>
            <w:r w:rsidRPr="009B4AE3">
              <w:rPr>
                <w:noProof/>
                <w:color w:val="A6A6A6" w:themeColor="background1" w:themeShade="A6"/>
              </w:rPr>
              <w:t>Nepoužije se</w:t>
            </w:r>
          </w:p>
        </w:tc>
      </w:tr>
      <w:tr w:rsidR="00DA26DF" w:rsidRPr="009B4AE3" w14:paraId="4964BAF3" w14:textId="77777777" w:rsidTr="002A49E5">
        <w:trPr>
          <w:trHeight w:val="290"/>
        </w:trPr>
        <w:tc>
          <w:tcPr>
            <w:tcW w:w="2148" w:type="dxa"/>
            <w:noWrap/>
            <w:hideMark/>
          </w:tcPr>
          <w:p w14:paraId="777FEECC" w14:textId="77777777" w:rsidR="00DA26DF" w:rsidRPr="009B4AE3" w:rsidRDefault="00DA26DF" w:rsidP="002A49E5">
            <w:pPr>
              <w:spacing w:before="40" w:after="80"/>
              <w:rPr>
                <w:rFonts w:eastAsia="Times New Roman"/>
                <w:noProof/>
                <w:color w:val="A6A6A6" w:themeColor="background1" w:themeShade="A6"/>
              </w:rPr>
            </w:pPr>
            <w:r w:rsidRPr="009B4AE3">
              <w:rPr>
                <w:noProof/>
                <w:color w:val="A6A6A6" w:themeColor="background1" w:themeShade="A6"/>
              </w:rPr>
              <w:lastRenderedPageBreak/>
              <w:t>3) Udržitelné využívání a ochrana vodních a mořských zdrojů</w:t>
            </w:r>
          </w:p>
        </w:tc>
        <w:tc>
          <w:tcPr>
            <w:tcW w:w="7141" w:type="dxa"/>
          </w:tcPr>
          <w:p w14:paraId="01F905EB" w14:textId="77777777" w:rsidR="00DA26DF" w:rsidRPr="009B4AE3" w:rsidRDefault="00DA26DF" w:rsidP="002A49E5">
            <w:pPr>
              <w:spacing w:before="40" w:after="80"/>
              <w:rPr>
                <w:rFonts w:eastAsia="Times New Roman"/>
                <w:noProof/>
                <w:color w:val="A6A6A6" w:themeColor="background1" w:themeShade="A6"/>
              </w:rPr>
            </w:pPr>
            <w:r w:rsidRPr="009B4AE3">
              <w:rPr>
                <w:noProof/>
                <w:color w:val="A6A6A6" w:themeColor="background1" w:themeShade="A6"/>
              </w:rPr>
              <w:t>Nepoužije se</w:t>
            </w:r>
          </w:p>
        </w:tc>
      </w:tr>
      <w:tr w:rsidR="00DA26DF" w:rsidRPr="009B4AE3" w14:paraId="41ACDDDD" w14:textId="77777777" w:rsidTr="002A49E5">
        <w:trPr>
          <w:trHeight w:val="290"/>
        </w:trPr>
        <w:tc>
          <w:tcPr>
            <w:tcW w:w="2148" w:type="dxa"/>
            <w:noWrap/>
            <w:hideMark/>
          </w:tcPr>
          <w:p w14:paraId="3864C70F" w14:textId="77777777" w:rsidR="00DA26DF" w:rsidRPr="009B4AE3" w:rsidRDefault="00DA26DF" w:rsidP="002A49E5">
            <w:pPr>
              <w:spacing w:before="40" w:after="80"/>
              <w:rPr>
                <w:rFonts w:eastAsia="Times New Roman"/>
                <w:noProof/>
              </w:rPr>
            </w:pPr>
            <w:r w:rsidRPr="006C1B48">
              <w:rPr>
                <w:noProof/>
                <w:color w:val="A6A6A6" w:themeColor="background1" w:themeShade="A6"/>
              </w:rPr>
              <w:t>4) Přechod na oběhové hospodářství</w:t>
            </w:r>
          </w:p>
        </w:tc>
        <w:tc>
          <w:tcPr>
            <w:tcW w:w="7141" w:type="dxa"/>
          </w:tcPr>
          <w:p w14:paraId="0D355F92" w14:textId="77777777" w:rsidR="00DA26DF" w:rsidRPr="009B4AE3" w:rsidRDefault="00DA26DF" w:rsidP="002A49E5">
            <w:pPr>
              <w:spacing w:before="40" w:after="80"/>
              <w:rPr>
                <w:noProof/>
                <w:color w:val="A6A6A6" w:themeColor="background1" w:themeShade="A6"/>
              </w:rPr>
            </w:pPr>
            <w:r w:rsidRPr="009B4AE3">
              <w:rPr>
                <w:noProof/>
                <w:color w:val="A6A6A6" w:themeColor="background1" w:themeShade="A6"/>
              </w:rPr>
              <w:t xml:space="preserve">Jsou zavedena opatření pro nakládání s odpady v souladu s hierarchií způsobů nakládání s odpady, a to jak ve fázi používání (údržba), tak na konci životnosti vozového parku, mimo jiné prostřednictvím opětovného použití a recyklace baterií a elektroniky (zejména kritických surovin v nich obsažených). </w:t>
            </w:r>
          </w:p>
          <w:p w14:paraId="53A024B4" w14:textId="77777777" w:rsidR="00DA26DF" w:rsidRPr="009B4AE3" w:rsidRDefault="00DA26DF" w:rsidP="002A49E5">
            <w:pPr>
              <w:spacing w:before="40" w:after="80"/>
              <w:rPr>
                <w:b/>
                <w:noProof/>
                <w:szCs w:val="24"/>
              </w:rPr>
            </w:pPr>
            <w:r w:rsidRPr="009B4AE3">
              <w:rPr>
                <w:b/>
                <w:noProof/>
                <w:color w:val="A6A6A6" w:themeColor="background1" w:themeShade="A6"/>
              </w:rPr>
              <w:t>Splněno souladem s legislativou</w:t>
            </w:r>
          </w:p>
        </w:tc>
      </w:tr>
      <w:tr w:rsidR="00DA26DF" w:rsidRPr="009B4AE3" w14:paraId="1FDCA9BE" w14:textId="77777777" w:rsidTr="002A49E5">
        <w:trPr>
          <w:trHeight w:val="290"/>
        </w:trPr>
        <w:tc>
          <w:tcPr>
            <w:tcW w:w="2148" w:type="dxa"/>
            <w:noWrap/>
            <w:hideMark/>
          </w:tcPr>
          <w:p w14:paraId="1FC84446" w14:textId="77777777" w:rsidR="00DA26DF" w:rsidRPr="009B4AE3" w:rsidRDefault="00DA26DF" w:rsidP="002A49E5">
            <w:pPr>
              <w:spacing w:before="40" w:after="80"/>
              <w:rPr>
                <w:rFonts w:eastAsia="Times New Roman"/>
                <w:noProof/>
              </w:rPr>
            </w:pPr>
            <w:r w:rsidRPr="009B4AE3">
              <w:rPr>
                <w:noProof/>
              </w:rPr>
              <w:t>5) Prevence a omezování znečištění</w:t>
            </w:r>
          </w:p>
        </w:tc>
        <w:tc>
          <w:tcPr>
            <w:tcW w:w="7141" w:type="dxa"/>
          </w:tcPr>
          <w:p w14:paraId="60EFF4DD" w14:textId="77777777" w:rsidR="00DA26DF" w:rsidRPr="009B4AE3" w:rsidRDefault="00DA26DF" w:rsidP="002A49E5">
            <w:pPr>
              <w:spacing w:after="200"/>
              <w:rPr>
                <w:noProof/>
                <w:kern w:val="24"/>
                <w:szCs w:val="24"/>
              </w:rPr>
            </w:pPr>
            <w:r w:rsidRPr="009B4AE3">
              <w:rPr>
                <w:noProof/>
              </w:rPr>
              <w:t>U silničních vozidel kategorie M splňují pneumatiky požadavky na vnější hluk odvalování v nejvyšší zastoupené třídě a koeficient valivého odporu (ovlivňující energetickou účinnost vozidla) ve dvou nejvyšších zastoupených třídách podle nařízení Evropského parlamentu a Rady (EU) 2020/740</w:t>
            </w:r>
            <w:r w:rsidRPr="009B4AE3">
              <w:rPr>
                <w:rStyle w:val="Znakapoznpodarou"/>
                <w:noProof/>
              </w:rPr>
              <w:footnoteReference w:id="230"/>
            </w:r>
            <w:r w:rsidRPr="009B4AE3">
              <w:rPr>
                <w:noProof/>
              </w:rPr>
              <w:t>, což lze ověřit v Evropské databázi výrobků s energetickým označením (EPREL).</w:t>
            </w:r>
            <w:r w:rsidRPr="009B4AE3">
              <w:rPr>
                <w:i/>
                <w:iCs/>
                <w:noProof/>
              </w:rPr>
              <w:t xml:space="preserve"> </w:t>
            </w:r>
          </w:p>
          <w:p w14:paraId="7091AE67" w14:textId="77777777" w:rsidR="00DA26DF" w:rsidRPr="009B4AE3" w:rsidRDefault="00DA26DF" w:rsidP="002A49E5">
            <w:pPr>
              <w:spacing w:before="200" w:after="200"/>
              <w:rPr>
                <w:noProof/>
              </w:rPr>
            </w:pPr>
            <w:r w:rsidRPr="009B4AE3">
              <w:rPr>
                <w:noProof/>
              </w:rPr>
              <w:t>V příslušných případech vozidla splňují požadavky posledního použitelného stupně schvalování typu z hlediska emisí z těžkých nákladních vozidel Euro VI stanovené v souladu s nařízením (ES) č.</w:t>
            </w:r>
            <w:r>
              <w:rPr>
                <w:noProof/>
              </w:rPr>
              <w:t> </w:t>
            </w:r>
            <w:r w:rsidRPr="009B4AE3">
              <w:rPr>
                <w:noProof/>
              </w:rPr>
              <w:t>595/2009.</w:t>
            </w:r>
          </w:p>
        </w:tc>
      </w:tr>
      <w:tr w:rsidR="00DA26DF" w:rsidRPr="009B4AE3" w14:paraId="5EDFBECA" w14:textId="77777777" w:rsidTr="002A49E5">
        <w:trPr>
          <w:trHeight w:val="290"/>
        </w:trPr>
        <w:tc>
          <w:tcPr>
            <w:tcW w:w="2148" w:type="dxa"/>
            <w:noWrap/>
            <w:hideMark/>
          </w:tcPr>
          <w:p w14:paraId="6F68AF78" w14:textId="77777777" w:rsidR="00DA26DF" w:rsidRPr="009B4AE3" w:rsidRDefault="00DA26DF" w:rsidP="002A49E5">
            <w:pPr>
              <w:spacing w:before="40" w:after="80"/>
              <w:rPr>
                <w:rFonts w:eastAsia="Times New Roman"/>
                <w:noProof/>
                <w:color w:val="A6A6A6" w:themeColor="background1" w:themeShade="A6"/>
              </w:rPr>
            </w:pPr>
            <w:r w:rsidRPr="009B4AE3">
              <w:rPr>
                <w:noProof/>
                <w:color w:val="A6A6A6" w:themeColor="background1" w:themeShade="A6"/>
              </w:rPr>
              <w:t>6) Ochrana a obnova biologické rozmanitosti a ekosystémů</w:t>
            </w:r>
          </w:p>
        </w:tc>
        <w:tc>
          <w:tcPr>
            <w:tcW w:w="7141" w:type="dxa"/>
            <w:hideMark/>
          </w:tcPr>
          <w:p w14:paraId="1E207972" w14:textId="77777777" w:rsidR="00DA26DF" w:rsidRPr="009B4AE3" w:rsidRDefault="00DA26DF" w:rsidP="002A49E5">
            <w:pPr>
              <w:spacing w:before="200" w:after="200"/>
              <w:rPr>
                <w:rFonts w:eastAsia="Times New Roman"/>
                <w:noProof/>
                <w:color w:val="A6A6A6" w:themeColor="background1" w:themeShade="A6"/>
              </w:rPr>
            </w:pPr>
            <w:r w:rsidRPr="009B4AE3">
              <w:rPr>
                <w:noProof/>
                <w:color w:val="A6A6A6" w:themeColor="background1" w:themeShade="A6"/>
              </w:rPr>
              <w:t>Nepoužije se</w:t>
            </w:r>
          </w:p>
        </w:tc>
      </w:tr>
    </w:tbl>
    <w:p w14:paraId="4F1AEF94" w14:textId="77777777" w:rsidR="00DA26DF" w:rsidRPr="009B4AE3" w:rsidRDefault="00DA26DF" w:rsidP="00DA26DF"/>
    <w:p w14:paraId="5765D37C" w14:textId="77777777" w:rsidR="00DA26DF" w:rsidRDefault="00DA26DF" w:rsidP="00160B09">
      <w:pPr>
        <w:pStyle w:val="Nadpis3"/>
      </w:pPr>
      <w:r w:rsidRPr="009B4AE3">
        <w:t>Silniční nákladní doprava</w:t>
      </w:r>
    </w:p>
    <w:p w14:paraId="130FB776" w14:textId="79604C5D" w:rsidR="00160B09" w:rsidRPr="00160B09" w:rsidRDefault="00160B09" w:rsidP="006C1B48">
      <w:pPr>
        <w:rPr>
          <w:b/>
          <w:bCs/>
        </w:rPr>
      </w:pPr>
      <w:r w:rsidRPr="006C1B48">
        <w:rPr>
          <w:b/>
          <w:bCs/>
        </w:rPr>
        <w:t>Pro kategorii vozidel „</w:t>
      </w:r>
      <w:r>
        <w:rPr>
          <w:b/>
          <w:bCs/>
        </w:rPr>
        <w:t>S</w:t>
      </w:r>
      <w:r w:rsidRPr="006C1B48">
        <w:rPr>
          <w:b/>
          <w:bCs/>
        </w:rPr>
        <w:t xml:space="preserve">ilniční </w:t>
      </w:r>
      <w:r>
        <w:rPr>
          <w:b/>
          <w:bCs/>
        </w:rPr>
        <w:t xml:space="preserve">nákladní </w:t>
      </w:r>
      <w:r w:rsidRPr="006C1B48">
        <w:rPr>
          <w:b/>
          <w:bCs/>
        </w:rPr>
        <w:t xml:space="preserve">doprava“ jsou doporučeny podmínky dle technických screeningových kritérií taxonomie s významným přínosem pro cíl </w:t>
      </w:r>
      <w:proofErr w:type="spellStart"/>
      <w:r w:rsidRPr="006C1B48">
        <w:rPr>
          <w:b/>
          <w:bCs/>
        </w:rPr>
        <w:t>mitigace</w:t>
      </w:r>
      <w:proofErr w:type="spellEnd"/>
      <w:r w:rsidRPr="006C1B48">
        <w:rPr>
          <w:b/>
          <w:bCs/>
        </w:rPr>
        <w:t>, nicméně s ohledem na potřeby plnění ČR v cílech podílu OZE v dopravě dle směrnice REDIII j</w:t>
      </w:r>
      <w:r w:rsidR="004D5958">
        <w:rPr>
          <w:b/>
          <w:bCs/>
        </w:rPr>
        <w:t>e</w:t>
      </w:r>
      <w:r w:rsidRPr="006C1B48">
        <w:rPr>
          <w:b/>
          <w:bCs/>
        </w:rPr>
        <w:t xml:space="preserve"> </w:t>
      </w:r>
      <w:r>
        <w:rPr>
          <w:b/>
          <w:bCs/>
        </w:rPr>
        <w:t xml:space="preserve">odchylně od taxonomie </w:t>
      </w:r>
      <w:r w:rsidRPr="006C1B48">
        <w:rPr>
          <w:b/>
          <w:bCs/>
        </w:rPr>
        <w:t>zahrnuty taktéž biometan, obnovitelné palivo nebiologického původu nebo recyklované palivo splňující kritéria udržitelnosti a úspor emisí skleníkových plynů.</w:t>
      </w:r>
    </w:p>
    <w:tbl>
      <w:tblPr>
        <w:tblW w:w="9289" w:type="dxa"/>
        <w:tblBorders>
          <w:top w:val="single" w:sz="4" w:space="0" w:color="auto"/>
          <w:bottom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2148"/>
        <w:gridCol w:w="7141"/>
      </w:tblGrid>
      <w:tr w:rsidR="004D5958" w:rsidRPr="009B4AE3" w14:paraId="43396CD3" w14:textId="77777777" w:rsidTr="002A49E5">
        <w:trPr>
          <w:trHeight w:val="290"/>
        </w:trPr>
        <w:tc>
          <w:tcPr>
            <w:tcW w:w="2148" w:type="dxa"/>
            <w:noWrap/>
            <w:vAlign w:val="center"/>
          </w:tcPr>
          <w:p w14:paraId="26B32DBB" w14:textId="1ED235E0" w:rsidR="004D5958" w:rsidRPr="009B4AE3" w:rsidRDefault="004D5958" w:rsidP="002A49E5">
            <w:pPr>
              <w:rPr>
                <w:color w:val="A6A6A6" w:themeColor="background1" w:themeShade="A6"/>
              </w:rPr>
            </w:pPr>
            <w:r>
              <w:lastRenderedPageBreak/>
              <w:t xml:space="preserve">1) </w:t>
            </w:r>
            <w:r w:rsidRPr="002A49E5">
              <w:t>Zmírňování změny klimatu</w:t>
            </w:r>
          </w:p>
        </w:tc>
        <w:tc>
          <w:tcPr>
            <w:tcW w:w="7141" w:type="dxa"/>
          </w:tcPr>
          <w:p w14:paraId="3BA8E338" w14:textId="77777777" w:rsidR="004D5958" w:rsidRPr="009B4AE3" w:rsidRDefault="004D5958" w:rsidP="006C1B48">
            <w:pPr>
              <w:spacing w:line="240" w:lineRule="auto"/>
            </w:pPr>
            <w:r w:rsidRPr="009B4AE3">
              <w:t>1. Činnost splňuje jedno z těchto kritérií:</w:t>
            </w:r>
          </w:p>
          <w:p w14:paraId="5921B4CF" w14:textId="77777777" w:rsidR="004D5958" w:rsidRPr="009B4AE3" w:rsidRDefault="004D5958" w:rsidP="006C1B48">
            <w:pPr>
              <w:pStyle w:val="Odstavecseseznamem"/>
              <w:numPr>
                <w:ilvl w:val="1"/>
                <w:numId w:val="222"/>
              </w:numPr>
              <w:spacing w:line="240" w:lineRule="auto"/>
            </w:pPr>
            <w:r w:rsidRPr="009B4AE3">
              <w:t>vozidla kategorie N1 mají nulové přímé (výfukové) emise CO</w:t>
            </w:r>
            <w:r w:rsidRPr="004D5958">
              <w:rPr>
                <w:vertAlign w:val="subscript"/>
              </w:rPr>
              <w:t>2</w:t>
            </w:r>
            <w:r w:rsidRPr="009B4AE3">
              <w:t>;</w:t>
            </w:r>
          </w:p>
          <w:p w14:paraId="7D223E64" w14:textId="77777777" w:rsidR="004D5958" w:rsidRPr="009B4AE3" w:rsidRDefault="004D5958" w:rsidP="006C1B48">
            <w:pPr>
              <w:pStyle w:val="Odstavecseseznamem"/>
              <w:numPr>
                <w:ilvl w:val="1"/>
                <w:numId w:val="222"/>
              </w:numPr>
              <w:spacing w:line="240" w:lineRule="auto"/>
            </w:pPr>
            <w:r w:rsidRPr="009B4AE3">
              <w:t>vozidla kategorií N2 a N3 s maximální technicky přípustnou hmotností nepřesahující 7,5 tuny jsou „těžkými vozidly s nulovými emisemi“ ve smyslu čl. 3 bodu 11 nařízení (EU) 2019/1242;</w:t>
            </w:r>
          </w:p>
          <w:p w14:paraId="25C07053" w14:textId="77777777" w:rsidR="004D5958" w:rsidRPr="009B4AE3" w:rsidRDefault="004D5958" w:rsidP="006C1B48">
            <w:pPr>
              <w:pStyle w:val="Odstavecseseznamem"/>
              <w:numPr>
                <w:ilvl w:val="1"/>
                <w:numId w:val="222"/>
              </w:numPr>
              <w:spacing w:line="240" w:lineRule="auto"/>
            </w:pPr>
            <w:r w:rsidRPr="009B4AE3">
              <w:t>vozidla kategorií N2 a N3 s maximální technicky přípustnou hmotností naloženého vozidla přesahující 7,5 tuny se řadí do jedné z těchto skupin:</w:t>
            </w:r>
          </w:p>
          <w:p w14:paraId="62A1EC81" w14:textId="39A84412" w:rsidR="004D5958" w:rsidRDefault="004D5958" w:rsidP="006C1B48">
            <w:pPr>
              <w:pStyle w:val="Odstavecseseznamem"/>
              <w:numPr>
                <w:ilvl w:val="0"/>
                <w:numId w:val="223"/>
              </w:numPr>
              <w:spacing w:line="240" w:lineRule="auto"/>
            </w:pPr>
            <w:r w:rsidRPr="009B4AE3">
              <w:t>„těžká vozidla s nulovými emisemi“ ve smyslu čl. 3 bodu 11 nařízení (EU) 2019/1242</w:t>
            </w:r>
            <w:r>
              <w:t xml:space="preserve">, </w:t>
            </w:r>
            <w:r w:rsidRPr="009B4AE3">
              <w:tab/>
              <w:t xml:space="preserve">není-li </w:t>
            </w:r>
            <w:r>
              <w:t xml:space="preserve">to </w:t>
            </w:r>
            <w:r w:rsidRPr="009B4AE3">
              <w:t xml:space="preserve">technicky a ekonomicky proveditelné </w:t>
            </w:r>
            <w:r>
              <w:t>pak</w:t>
            </w:r>
            <w:r w:rsidRPr="009B4AE3">
              <w:t>, „těžká vozidla s nízkými emisemi“ ve smyslu čl. 3 bodu 12 uvedeného nařízení</w:t>
            </w:r>
            <w:r>
              <w:t xml:space="preserve"> </w:t>
            </w:r>
          </w:p>
          <w:p w14:paraId="78FAEE39" w14:textId="77777777" w:rsidR="004D5958" w:rsidRDefault="004D5958" w:rsidP="006C1B48">
            <w:pPr>
              <w:pStyle w:val="Odstavecseseznamem"/>
              <w:numPr>
                <w:ilvl w:val="0"/>
                <w:numId w:val="223"/>
              </w:numPr>
              <w:spacing w:line="240" w:lineRule="auto"/>
            </w:pPr>
            <w:r w:rsidRPr="004D5958">
              <w:t>těžká vozidla využívající ke svému pohonu biometan, obnovitelné palivo nebiologického původu nebo recyklované palivo splňující kritéria udržitelnosti a úspor emisí skleníkových plynů podle směrnice Evropského parlamentu a Rady 2018/2001/EU o podpoře využívání energie z obnovitelných zdrojů za podmínky, že tato vozidla jsou výhradně poháněna tímto palivem.</w:t>
            </w:r>
          </w:p>
          <w:p w14:paraId="4D91E6FC" w14:textId="77777777" w:rsidR="004D5958" w:rsidRPr="002A49E5" w:rsidRDefault="004D5958" w:rsidP="004D5958">
            <w:pPr>
              <w:pStyle w:val="Point0"/>
              <w:ind w:left="720" w:firstLine="0"/>
              <w:rPr>
                <w:rFonts w:ascii="Segoe UI" w:hAnsi="Segoe UI" w:cs="Segoe UI"/>
                <w:noProof/>
                <w:sz w:val="22"/>
              </w:rPr>
            </w:pPr>
            <w:r w:rsidRPr="002A49E5">
              <w:rPr>
                <w:rFonts w:ascii="Segoe UI" w:hAnsi="Segoe UI" w:cs="Segoe UI"/>
                <w:noProof/>
                <w:sz w:val="22"/>
              </w:rPr>
              <w:t xml:space="preserve">Směrnice obsahuje 2 možnosti prokázání splnění </w:t>
            </w:r>
            <w:r>
              <w:rPr>
                <w:rFonts w:ascii="Segoe UI" w:hAnsi="Segoe UI" w:cs="Segoe UI"/>
                <w:noProof/>
                <w:sz w:val="22"/>
              </w:rPr>
              <w:t>kritérií udržitelnosti</w:t>
            </w:r>
            <w:r w:rsidRPr="002A49E5">
              <w:rPr>
                <w:rFonts w:ascii="Segoe UI" w:hAnsi="Segoe UI" w:cs="Segoe UI"/>
                <w:noProof/>
                <w:sz w:val="22"/>
              </w:rPr>
              <w:t>, a to vnitrostátním režimem nebo dobrovolným systémem schváleným Evropskou komisí.</w:t>
            </w:r>
          </w:p>
          <w:p w14:paraId="71572923" w14:textId="77777777" w:rsidR="004D5958" w:rsidRPr="002A49E5" w:rsidRDefault="004D5958" w:rsidP="004D5958">
            <w:pPr>
              <w:pStyle w:val="Point0"/>
              <w:numPr>
                <w:ilvl w:val="1"/>
                <w:numId w:val="219"/>
              </w:numPr>
              <w:rPr>
                <w:rFonts w:ascii="Segoe UI" w:hAnsi="Segoe UI" w:cs="Segoe UI"/>
                <w:noProof/>
                <w:sz w:val="22"/>
              </w:rPr>
            </w:pPr>
            <w:r w:rsidRPr="002A49E5">
              <w:rPr>
                <w:rFonts w:ascii="Segoe UI" w:hAnsi="Segoe UI" w:cs="Segoe UI"/>
                <w:noProof/>
                <w:sz w:val="22"/>
              </w:rPr>
              <w:t xml:space="preserve">Dle zákona o POZE (dle LEX OZEIII) je v případě biometanu možné pro prokázání splnění </w:t>
            </w:r>
            <w:r>
              <w:rPr>
                <w:rFonts w:ascii="Segoe UI" w:hAnsi="Segoe UI" w:cs="Segoe UI"/>
                <w:noProof/>
                <w:sz w:val="22"/>
              </w:rPr>
              <w:t>kritérií udržitelnosti</w:t>
            </w:r>
            <w:r w:rsidRPr="002A49E5">
              <w:rPr>
                <w:rFonts w:ascii="Segoe UI" w:hAnsi="Segoe UI" w:cs="Segoe UI"/>
                <w:noProof/>
                <w:sz w:val="22"/>
              </w:rPr>
              <w:t xml:space="preserve"> využít pouze dobrovolný systém. Dle zákona o ochraně ovzduší je možné v případě biopaliv využít i vnitrostátní režim</w:t>
            </w:r>
            <w:r>
              <w:rPr>
                <w:rFonts w:ascii="Segoe UI" w:hAnsi="Segoe UI" w:cs="Segoe UI"/>
                <w:noProof/>
                <w:sz w:val="22"/>
              </w:rPr>
              <w:t xml:space="preserve"> (pozn.</w:t>
            </w:r>
            <w:r w:rsidRPr="002A49E5">
              <w:rPr>
                <w:rFonts w:ascii="Segoe UI" w:hAnsi="Segoe UI" w:cs="Segoe UI"/>
                <w:noProof/>
                <w:sz w:val="22"/>
              </w:rPr>
              <w:t xml:space="preserve">, ten se ale </w:t>
            </w:r>
            <w:r>
              <w:rPr>
                <w:rFonts w:ascii="Segoe UI" w:hAnsi="Segoe UI" w:cs="Segoe UI"/>
                <w:noProof/>
                <w:sz w:val="22"/>
              </w:rPr>
              <w:t xml:space="preserve">prozatím </w:t>
            </w:r>
            <w:r w:rsidRPr="002A49E5">
              <w:rPr>
                <w:rFonts w:ascii="Segoe UI" w:hAnsi="Segoe UI" w:cs="Segoe UI"/>
                <w:noProof/>
                <w:sz w:val="22"/>
              </w:rPr>
              <w:t>fakticky nepoužívá a využívá se pouze dobrovolný systém</w:t>
            </w:r>
            <w:r>
              <w:rPr>
                <w:rFonts w:ascii="Segoe UI" w:hAnsi="Segoe UI" w:cs="Segoe UI"/>
                <w:noProof/>
                <w:sz w:val="22"/>
              </w:rPr>
              <w:t>)</w:t>
            </w:r>
            <w:r w:rsidRPr="002A49E5">
              <w:rPr>
                <w:rFonts w:ascii="Segoe UI" w:hAnsi="Segoe UI" w:cs="Segoe UI"/>
                <w:noProof/>
                <w:sz w:val="22"/>
              </w:rPr>
              <w:t>.</w:t>
            </w:r>
          </w:p>
          <w:p w14:paraId="37D20A84" w14:textId="77777777" w:rsidR="004D5958" w:rsidRPr="002A49E5" w:rsidRDefault="004D5958" w:rsidP="004D5958">
            <w:pPr>
              <w:pStyle w:val="Point0"/>
              <w:numPr>
                <w:ilvl w:val="1"/>
                <w:numId w:val="219"/>
              </w:numPr>
              <w:rPr>
                <w:rFonts w:ascii="Segoe UI" w:hAnsi="Segoe UI" w:cs="Segoe UI"/>
                <w:noProof/>
                <w:sz w:val="22"/>
              </w:rPr>
            </w:pPr>
            <w:r w:rsidRPr="002A49E5">
              <w:rPr>
                <w:rFonts w:ascii="Segoe UI" w:hAnsi="Segoe UI" w:cs="Segoe UI"/>
                <w:noProof/>
                <w:sz w:val="22"/>
              </w:rPr>
              <w:t xml:space="preserve">V rámci dobrovolného systému je ke každé dodávce udržitelných produktů (biometanu či biopalivu) vystaveno tzv. Prohlášení o splnění kritérií udržitelnosti, tzv. dokument PoS. Tento jedinečný dokument deklaruje splnění </w:t>
            </w:r>
            <w:r>
              <w:rPr>
                <w:rFonts w:ascii="Segoe UI" w:hAnsi="Segoe UI" w:cs="Segoe UI"/>
                <w:noProof/>
                <w:sz w:val="22"/>
              </w:rPr>
              <w:t>kritérií udržitelnosti</w:t>
            </w:r>
            <w:r w:rsidRPr="002A49E5">
              <w:rPr>
                <w:rFonts w:ascii="Segoe UI" w:hAnsi="Segoe UI" w:cs="Segoe UI"/>
                <w:noProof/>
                <w:sz w:val="22"/>
              </w:rPr>
              <w:t>.</w:t>
            </w:r>
          </w:p>
          <w:p w14:paraId="0FEA4BE3" w14:textId="77777777" w:rsidR="004D5958" w:rsidRPr="002A49E5" w:rsidRDefault="004D5958" w:rsidP="004D5958">
            <w:pPr>
              <w:pStyle w:val="Point0"/>
              <w:numPr>
                <w:ilvl w:val="1"/>
                <w:numId w:val="219"/>
              </w:numPr>
              <w:rPr>
                <w:rFonts w:ascii="Segoe UI" w:hAnsi="Segoe UI" w:cs="Segoe UI"/>
                <w:noProof/>
                <w:sz w:val="22"/>
              </w:rPr>
            </w:pPr>
            <w:r w:rsidRPr="002A49E5">
              <w:rPr>
                <w:rFonts w:ascii="Segoe UI" w:hAnsi="Segoe UI" w:cs="Segoe UI"/>
                <w:noProof/>
                <w:sz w:val="22"/>
              </w:rPr>
              <w:t>K tomu, aby výrobce biometanu mohl tento dokument vystavit</w:t>
            </w:r>
            <w:r>
              <w:rPr>
                <w:rFonts w:ascii="Segoe UI" w:hAnsi="Segoe UI" w:cs="Segoe UI"/>
                <w:noProof/>
                <w:sz w:val="22"/>
              </w:rPr>
              <w:t>,</w:t>
            </w:r>
            <w:r w:rsidRPr="002A49E5">
              <w:rPr>
                <w:rFonts w:ascii="Segoe UI" w:hAnsi="Segoe UI" w:cs="Segoe UI"/>
                <w:noProof/>
                <w:sz w:val="22"/>
              </w:rPr>
              <w:t xml:space="preserve"> musí být držitelem certifikátu vydaného v rámci dobrovolného systému. Certifikát zaručuje, že výrobce má zaveden systém hmotnostní bilance a systém kvality, který umožňuje věrohodně prokázat, že prodané produkty vyrobil a měl k daným produktům dostatečné množství udržitelné biomasy.</w:t>
            </w:r>
          </w:p>
          <w:p w14:paraId="2A6E0674" w14:textId="77777777" w:rsidR="004D5958" w:rsidRPr="009B4AE3" w:rsidRDefault="004D5958" w:rsidP="004D5958">
            <w:pPr>
              <w:pStyle w:val="Point0"/>
              <w:numPr>
                <w:ilvl w:val="1"/>
                <w:numId w:val="219"/>
              </w:numPr>
            </w:pPr>
            <w:r w:rsidRPr="002A49E5">
              <w:rPr>
                <w:rFonts w:ascii="Segoe UI" w:hAnsi="Segoe UI" w:cs="Segoe UI"/>
                <w:noProof/>
                <w:sz w:val="22"/>
              </w:rPr>
              <w:lastRenderedPageBreak/>
              <w:t>V případě výroby biometanu musí být dokument PoS podložen zárukou původu podle zákona o POZE.</w:t>
            </w:r>
          </w:p>
          <w:p w14:paraId="42EE18C7" w14:textId="59FA5273" w:rsidR="004D5958" w:rsidRPr="009B4AE3" w:rsidRDefault="004D5958" w:rsidP="004D5958">
            <w:pPr>
              <w:rPr>
                <w:color w:val="A6A6A6" w:themeColor="background1" w:themeShade="A6"/>
              </w:rPr>
            </w:pPr>
            <w:r w:rsidRPr="009B4AE3">
              <w:t>2. Vozidla nejsou určena k přepravě fosilních paliv.</w:t>
            </w:r>
          </w:p>
        </w:tc>
      </w:tr>
      <w:tr w:rsidR="00DA26DF" w:rsidRPr="009B4AE3" w14:paraId="0EF4AC15" w14:textId="77777777" w:rsidTr="002A49E5">
        <w:trPr>
          <w:trHeight w:val="290"/>
        </w:trPr>
        <w:tc>
          <w:tcPr>
            <w:tcW w:w="2148" w:type="dxa"/>
            <w:noWrap/>
            <w:vAlign w:val="center"/>
          </w:tcPr>
          <w:p w14:paraId="05F2A525" w14:textId="77777777" w:rsidR="00DA26DF" w:rsidRPr="009B4AE3" w:rsidRDefault="00DA26DF" w:rsidP="002A49E5">
            <w:pPr>
              <w:rPr>
                <w:color w:val="A6A6A6" w:themeColor="background1" w:themeShade="A6"/>
              </w:rPr>
            </w:pPr>
            <w:r w:rsidRPr="009B4AE3">
              <w:rPr>
                <w:color w:val="A6A6A6" w:themeColor="background1" w:themeShade="A6"/>
              </w:rPr>
              <w:lastRenderedPageBreak/>
              <w:t>2) Přizpůsobování se změně klimatu</w:t>
            </w:r>
          </w:p>
        </w:tc>
        <w:tc>
          <w:tcPr>
            <w:tcW w:w="7141" w:type="dxa"/>
          </w:tcPr>
          <w:p w14:paraId="48B626A0" w14:textId="77777777" w:rsidR="00DA26DF" w:rsidRPr="009B4AE3" w:rsidRDefault="00DA26DF" w:rsidP="002A49E5">
            <w:pPr>
              <w:rPr>
                <w:color w:val="A6A6A6" w:themeColor="background1" w:themeShade="A6"/>
              </w:rPr>
            </w:pPr>
            <w:r w:rsidRPr="009B4AE3">
              <w:rPr>
                <w:color w:val="A6A6A6" w:themeColor="background1" w:themeShade="A6"/>
              </w:rPr>
              <w:t>Nepoužije se</w:t>
            </w:r>
          </w:p>
        </w:tc>
      </w:tr>
      <w:tr w:rsidR="00DA26DF" w:rsidRPr="009B4AE3" w14:paraId="0F50A8CD" w14:textId="77777777" w:rsidTr="002A49E5">
        <w:trPr>
          <w:trHeight w:val="290"/>
        </w:trPr>
        <w:tc>
          <w:tcPr>
            <w:tcW w:w="2148" w:type="dxa"/>
            <w:noWrap/>
            <w:hideMark/>
          </w:tcPr>
          <w:p w14:paraId="5B7A60F1" w14:textId="77777777" w:rsidR="00DA26DF" w:rsidRPr="009B4AE3" w:rsidRDefault="00DA26DF" w:rsidP="002A49E5">
            <w:pPr>
              <w:rPr>
                <w:color w:val="A6A6A6" w:themeColor="background1" w:themeShade="A6"/>
              </w:rPr>
            </w:pPr>
            <w:r w:rsidRPr="009B4AE3">
              <w:rPr>
                <w:color w:val="A6A6A6" w:themeColor="background1" w:themeShade="A6"/>
              </w:rPr>
              <w:t>3) Udržitelné využívání a ochrana vodních a mořských zdrojů</w:t>
            </w:r>
          </w:p>
        </w:tc>
        <w:tc>
          <w:tcPr>
            <w:tcW w:w="7141" w:type="dxa"/>
          </w:tcPr>
          <w:p w14:paraId="00E5EA0D" w14:textId="77777777" w:rsidR="00DA26DF" w:rsidRPr="009B4AE3" w:rsidRDefault="00DA26DF" w:rsidP="002A49E5">
            <w:pPr>
              <w:rPr>
                <w:color w:val="A6A6A6" w:themeColor="background1" w:themeShade="A6"/>
              </w:rPr>
            </w:pPr>
            <w:r w:rsidRPr="009B4AE3">
              <w:rPr>
                <w:color w:val="A6A6A6" w:themeColor="background1" w:themeShade="A6"/>
              </w:rPr>
              <w:t>Nepoužije se</w:t>
            </w:r>
          </w:p>
        </w:tc>
      </w:tr>
      <w:tr w:rsidR="00DA26DF" w:rsidRPr="009B4AE3" w14:paraId="441E1403" w14:textId="77777777" w:rsidTr="002A49E5">
        <w:trPr>
          <w:trHeight w:val="290"/>
        </w:trPr>
        <w:tc>
          <w:tcPr>
            <w:tcW w:w="2148" w:type="dxa"/>
            <w:noWrap/>
            <w:hideMark/>
          </w:tcPr>
          <w:p w14:paraId="24687D2B" w14:textId="77777777" w:rsidR="00DA26DF" w:rsidRPr="009B4AE3" w:rsidRDefault="00DA26DF" w:rsidP="002A49E5">
            <w:r w:rsidRPr="006C1B48">
              <w:rPr>
                <w:color w:val="A6A6A6" w:themeColor="background1" w:themeShade="A6"/>
              </w:rPr>
              <w:t>4) Přechod na oběhové hospodářství</w:t>
            </w:r>
          </w:p>
        </w:tc>
        <w:tc>
          <w:tcPr>
            <w:tcW w:w="7141" w:type="dxa"/>
          </w:tcPr>
          <w:p w14:paraId="57969E8B" w14:textId="1F68DDAD" w:rsidR="00DA26DF" w:rsidRPr="009B4AE3" w:rsidRDefault="00DA26DF" w:rsidP="002A49E5">
            <w:pPr>
              <w:rPr>
                <w:color w:val="A6A6A6" w:themeColor="background1" w:themeShade="A6"/>
              </w:rPr>
            </w:pPr>
            <w:r w:rsidRPr="009B4AE3">
              <w:rPr>
                <w:color w:val="A6A6A6" w:themeColor="background1" w:themeShade="A6"/>
              </w:rPr>
              <w:t>Vozidla kategori</w:t>
            </w:r>
            <w:r w:rsidR="00EC4678">
              <w:rPr>
                <w:color w:val="A6A6A6" w:themeColor="background1" w:themeShade="A6"/>
              </w:rPr>
              <w:t>e</w:t>
            </w:r>
            <w:r w:rsidRPr="009B4AE3">
              <w:rPr>
                <w:color w:val="A6A6A6" w:themeColor="background1" w:themeShade="A6"/>
              </w:rPr>
              <w:t xml:space="preserve"> N1 jsou zároveň:</w:t>
            </w:r>
          </w:p>
          <w:p w14:paraId="484D1A5E" w14:textId="77777777" w:rsidR="00DA26DF" w:rsidRPr="009B4AE3" w:rsidRDefault="00DA26DF" w:rsidP="002A49E5">
            <w:pPr>
              <w:rPr>
                <w:color w:val="A6A6A6" w:themeColor="background1" w:themeShade="A6"/>
              </w:rPr>
            </w:pPr>
            <w:r w:rsidRPr="009B4AE3">
              <w:rPr>
                <w:color w:val="A6A6A6" w:themeColor="background1" w:themeShade="A6"/>
              </w:rPr>
              <w:t>a)</w:t>
            </w:r>
            <w:r w:rsidRPr="009B4AE3">
              <w:rPr>
                <w:color w:val="A6A6A6" w:themeColor="background1" w:themeShade="A6"/>
              </w:rPr>
              <w:tab/>
              <w:t xml:space="preserve">opětovně použitelná nebo recyklovatelná nejméně v rozsahu 85 % hmotnostních a </w:t>
            </w:r>
          </w:p>
          <w:p w14:paraId="50F95E77" w14:textId="791F9754" w:rsidR="00DA26DF" w:rsidRPr="009B4AE3" w:rsidRDefault="00DA26DF" w:rsidP="002A49E5">
            <w:pPr>
              <w:rPr>
                <w:color w:val="A6A6A6" w:themeColor="background1" w:themeShade="A6"/>
              </w:rPr>
            </w:pPr>
            <w:r w:rsidRPr="009B4AE3">
              <w:rPr>
                <w:color w:val="A6A6A6" w:themeColor="background1" w:themeShade="A6"/>
              </w:rPr>
              <w:t>b)</w:t>
            </w:r>
            <w:r w:rsidRPr="009B4AE3">
              <w:rPr>
                <w:color w:val="A6A6A6" w:themeColor="background1" w:themeShade="A6"/>
              </w:rPr>
              <w:tab/>
              <w:t>opětovně použitelná nebo využitelná nejméně v rozsahu 95 % hmotnostních</w:t>
            </w:r>
            <w:r w:rsidR="00EC4678" w:rsidRPr="008E59D0">
              <w:rPr>
                <w:rStyle w:val="Znakapoznpodarou"/>
                <w:color w:val="A6A6A6" w:themeColor="background1" w:themeShade="A6"/>
              </w:rPr>
              <w:footnoteReference w:id="231"/>
            </w:r>
            <w:r w:rsidRPr="009B4AE3">
              <w:rPr>
                <w:color w:val="A6A6A6" w:themeColor="background1" w:themeShade="A6"/>
              </w:rPr>
              <w:t>.</w:t>
            </w:r>
          </w:p>
          <w:p w14:paraId="09A9DEAA" w14:textId="77777777" w:rsidR="00DA26DF" w:rsidRPr="009B4AE3" w:rsidRDefault="00DA26DF" w:rsidP="002A49E5">
            <w:pPr>
              <w:rPr>
                <w:color w:val="A6A6A6" w:themeColor="background1" w:themeShade="A6"/>
              </w:rPr>
            </w:pPr>
            <w:r w:rsidRPr="009B4AE3">
              <w:rPr>
                <w:color w:val="A6A6A6" w:themeColor="background1" w:themeShade="A6"/>
              </w:rPr>
              <w:t>Jsou zavedena opatření pro nakládání s odpady jak ve fázi používání (údržby), tak na konci životnosti vozového parku, a to i prostřednictvím opětovného použití a recyklace baterií a elektroniky (zejména kritických surovin v nich obsažených), v souladu s hierarchií způsobů nakládání s</w:t>
            </w:r>
            <w:r>
              <w:rPr>
                <w:color w:val="A6A6A6" w:themeColor="background1" w:themeShade="A6"/>
              </w:rPr>
              <w:t> </w:t>
            </w:r>
            <w:r w:rsidRPr="009B4AE3">
              <w:rPr>
                <w:color w:val="A6A6A6" w:themeColor="background1" w:themeShade="A6"/>
              </w:rPr>
              <w:t>odpady.</w:t>
            </w:r>
          </w:p>
          <w:p w14:paraId="54CFD4A8" w14:textId="77777777" w:rsidR="00DA26DF" w:rsidRPr="009B4AE3" w:rsidRDefault="00DA26DF" w:rsidP="002A49E5">
            <w:pPr>
              <w:rPr>
                <w:b/>
              </w:rPr>
            </w:pPr>
            <w:r w:rsidRPr="009B4AE3">
              <w:rPr>
                <w:b/>
                <w:color w:val="A6A6A6" w:themeColor="background1" w:themeShade="A6"/>
              </w:rPr>
              <w:t>Splněno souladem s legislativou</w:t>
            </w:r>
          </w:p>
        </w:tc>
      </w:tr>
      <w:tr w:rsidR="00DA26DF" w:rsidRPr="009B4AE3" w14:paraId="2F418AC6" w14:textId="77777777" w:rsidTr="002A49E5">
        <w:trPr>
          <w:trHeight w:val="290"/>
        </w:trPr>
        <w:tc>
          <w:tcPr>
            <w:tcW w:w="2148" w:type="dxa"/>
            <w:noWrap/>
            <w:hideMark/>
          </w:tcPr>
          <w:p w14:paraId="50F28EE8" w14:textId="77777777" w:rsidR="00DA26DF" w:rsidRPr="009B4AE3" w:rsidRDefault="00DA26DF" w:rsidP="002A49E5">
            <w:r w:rsidRPr="009B4AE3">
              <w:t>5) Prevence a omezování znečištění</w:t>
            </w:r>
          </w:p>
        </w:tc>
        <w:tc>
          <w:tcPr>
            <w:tcW w:w="7141" w:type="dxa"/>
          </w:tcPr>
          <w:p w14:paraId="04612FA1" w14:textId="77777777" w:rsidR="00DA26DF" w:rsidRPr="009B4AE3" w:rsidRDefault="00DA26DF" w:rsidP="002A49E5">
            <w:r w:rsidRPr="009B4AE3">
              <w:t>U silničních vozidel kategorií M a N splňují pneumatiky požadavky na vnější hluk odvalování v nejvyšší zastoupené třídě a koeficient valivého odporu (ovlivňující energetickou účinnost vozidla) ve dvou nejvyšších zastoupených třídách podle nařízení (EU) 2020/740, což lze ověřit v</w:t>
            </w:r>
            <w:r>
              <w:t> </w:t>
            </w:r>
            <w:r w:rsidRPr="009B4AE3">
              <w:t>Evropské databázi výrobků s energetickým označením (EPREL). Vozidla splňují požadavky posledního použitelného stupně schvalování typu z</w:t>
            </w:r>
            <w:r>
              <w:t> </w:t>
            </w:r>
            <w:r w:rsidRPr="009B4AE3">
              <w:t>hlediska emisí z těžkých nákladních vozidel Euro VI</w:t>
            </w:r>
            <w:r w:rsidRPr="009B4AE3">
              <w:rPr>
                <w:vertAlign w:val="superscript"/>
              </w:rPr>
              <w:footnoteReference w:id="232"/>
            </w:r>
            <w:r w:rsidRPr="009B4AE3">
              <w:t xml:space="preserve"> stanovené v</w:t>
            </w:r>
            <w:r>
              <w:t> </w:t>
            </w:r>
            <w:r w:rsidRPr="009B4AE3">
              <w:t>souladu s nařízením (ES) č. 595/2009.</w:t>
            </w:r>
          </w:p>
          <w:p w14:paraId="1F6CE2B2" w14:textId="77777777" w:rsidR="00DA26DF" w:rsidRPr="009B4AE3" w:rsidRDefault="00DA26DF" w:rsidP="002A49E5">
            <w:r w:rsidRPr="009B4AE3">
              <w:t>Vozidla jsou v souladu s nařízením (EU) č. 540/2014.</w:t>
            </w:r>
          </w:p>
        </w:tc>
      </w:tr>
      <w:tr w:rsidR="00DA26DF" w:rsidRPr="009B4AE3" w14:paraId="21BA4B52" w14:textId="77777777" w:rsidTr="002A49E5">
        <w:trPr>
          <w:trHeight w:val="290"/>
        </w:trPr>
        <w:tc>
          <w:tcPr>
            <w:tcW w:w="2148" w:type="dxa"/>
            <w:noWrap/>
            <w:hideMark/>
          </w:tcPr>
          <w:p w14:paraId="0075AC0B" w14:textId="77777777" w:rsidR="00DA26DF" w:rsidRPr="009B4AE3" w:rsidRDefault="00DA26DF" w:rsidP="002A49E5">
            <w:pPr>
              <w:rPr>
                <w:color w:val="A6A6A6" w:themeColor="background1" w:themeShade="A6"/>
              </w:rPr>
            </w:pPr>
            <w:r w:rsidRPr="009B4AE3">
              <w:rPr>
                <w:color w:val="A6A6A6" w:themeColor="background1" w:themeShade="A6"/>
              </w:rPr>
              <w:lastRenderedPageBreak/>
              <w:t>6) Ochrana a obnova biologické rozmanitosti a ekosystémů</w:t>
            </w:r>
          </w:p>
        </w:tc>
        <w:tc>
          <w:tcPr>
            <w:tcW w:w="7141" w:type="dxa"/>
            <w:hideMark/>
          </w:tcPr>
          <w:p w14:paraId="3D55DADE" w14:textId="77777777" w:rsidR="00DA26DF" w:rsidRPr="009B4AE3" w:rsidRDefault="00DA26DF" w:rsidP="002A49E5">
            <w:pPr>
              <w:rPr>
                <w:color w:val="A6A6A6" w:themeColor="background1" w:themeShade="A6"/>
              </w:rPr>
            </w:pPr>
            <w:r w:rsidRPr="009B4AE3">
              <w:rPr>
                <w:color w:val="A6A6A6" w:themeColor="background1" w:themeShade="A6"/>
              </w:rPr>
              <w:t>Nepoužije se</w:t>
            </w:r>
          </w:p>
        </w:tc>
      </w:tr>
    </w:tbl>
    <w:p w14:paraId="02E85179" w14:textId="77777777" w:rsidR="00DA26DF" w:rsidRPr="009B4AE3" w:rsidRDefault="00DA26DF" w:rsidP="00DA26DF"/>
    <w:p w14:paraId="2A46F15A" w14:textId="77777777" w:rsidR="00DA26DF" w:rsidRDefault="00DA26DF" w:rsidP="00C24AB9"/>
    <w:p w14:paraId="7080309E" w14:textId="77777777" w:rsidR="00DA26DF" w:rsidRDefault="00DA26DF" w:rsidP="00C24AB9"/>
    <w:p w14:paraId="76AEB208" w14:textId="6315E24E" w:rsidR="008E59D0" w:rsidRDefault="008E59D0" w:rsidP="006A45B6">
      <w:pPr>
        <w:sectPr w:rsidR="008E59D0" w:rsidSect="00ED5B33">
          <w:pgSz w:w="11906" w:h="16838"/>
          <w:pgMar w:top="1418" w:right="1418" w:bottom="1418" w:left="1418" w:header="709" w:footer="709" w:gutter="0"/>
          <w:cols w:space="708"/>
        </w:sectPr>
      </w:pPr>
      <w:bookmarkStart w:id="165" w:name="_Toc116428068"/>
    </w:p>
    <w:p w14:paraId="1FBA7966" w14:textId="77777777" w:rsidR="00602DCA" w:rsidRDefault="00C5530C">
      <w:pPr>
        <w:pStyle w:val="Nadpis2"/>
      </w:pPr>
      <w:bookmarkStart w:id="166" w:name="_Přiřazení_relevance_koeficientů"/>
      <w:bookmarkStart w:id="167" w:name="_Toc210046043"/>
      <w:bookmarkEnd w:id="166"/>
      <w:r>
        <w:lastRenderedPageBreak/>
        <w:t>Přiřazení relevance koeficientů pro výpočet podpory na plnění cílů v oblasti změny klimatu a koeficientů pro výpočet podpory na plnění environmentálních cílů rozpočtu EU k příslušným environmentálním cílům využívaným při vyhodnocování zásady DNSH</w:t>
      </w:r>
      <w:bookmarkEnd w:id="165"/>
      <w:r>
        <w:t xml:space="preserve"> na strategické úrovni administrace EU zdrojů</w:t>
      </w:r>
      <w:bookmarkEnd w:id="167"/>
    </w:p>
    <w:tbl>
      <w:tblPr>
        <w:tblW w:w="5000" w:type="pct"/>
        <w:tblLayout w:type="fixed"/>
        <w:tblCellMar>
          <w:left w:w="70" w:type="dxa"/>
          <w:right w:w="70" w:type="dxa"/>
        </w:tblCellMar>
        <w:tblLook w:val="04A0" w:firstRow="1" w:lastRow="0" w:firstColumn="1" w:lastColumn="0" w:noHBand="0" w:noVBand="1"/>
      </w:tblPr>
      <w:tblGrid>
        <w:gridCol w:w="565"/>
        <w:gridCol w:w="571"/>
        <w:gridCol w:w="3260"/>
        <w:gridCol w:w="851"/>
        <w:gridCol w:w="725"/>
        <w:gridCol w:w="1693"/>
        <w:gridCol w:w="1287"/>
        <w:gridCol w:w="1273"/>
        <w:gridCol w:w="1276"/>
        <w:gridCol w:w="1290"/>
        <w:gridCol w:w="1201"/>
      </w:tblGrid>
      <w:tr w:rsidR="00602DCA" w14:paraId="13EC0D14" w14:textId="77777777">
        <w:trPr>
          <w:trHeight w:val="20"/>
        </w:trPr>
        <w:tc>
          <w:tcPr>
            <w:tcW w:w="202" w:type="pct"/>
            <w:tcBorders>
              <w:top w:val="single" w:sz="4" w:space="0" w:color="auto"/>
              <w:left w:val="single" w:sz="4" w:space="0" w:color="auto"/>
              <w:bottom w:val="single" w:sz="4" w:space="0" w:color="auto"/>
              <w:right w:val="single" w:sz="4" w:space="0" w:color="auto"/>
            </w:tcBorders>
            <w:vAlign w:val="center"/>
          </w:tcPr>
          <w:p w14:paraId="4FD0047D" w14:textId="77777777" w:rsidR="00602DCA" w:rsidRDefault="00C5530C">
            <w:pPr>
              <w:spacing w:after="0" w:line="240" w:lineRule="auto"/>
              <w:jc w:val="left"/>
              <w:rPr>
                <w:rFonts w:asciiTheme="minorHAnsi" w:eastAsia="Times New Roman" w:hAnsiTheme="minorHAnsi" w:cstheme="minorHAnsi"/>
                <w:b/>
                <w:bCs/>
                <w:color w:val="000000"/>
                <w:sz w:val="16"/>
                <w:szCs w:val="20"/>
                <w:lang w:eastAsia="cs-CZ"/>
              </w:rPr>
            </w:pPr>
            <w:r>
              <w:rPr>
                <w:rFonts w:asciiTheme="minorHAnsi" w:eastAsia="Times New Roman" w:hAnsiTheme="minorHAnsi" w:cstheme="minorHAnsi"/>
                <w:b/>
                <w:bCs/>
                <w:color w:val="000000"/>
                <w:sz w:val="16"/>
                <w:szCs w:val="20"/>
                <w:lang w:eastAsia="cs-CZ"/>
              </w:rPr>
              <w:t>Příloha 1 CPR</w:t>
            </w:r>
          </w:p>
        </w:tc>
        <w:tc>
          <w:tcPr>
            <w:tcW w:w="204" w:type="pct"/>
            <w:tcBorders>
              <w:top w:val="single" w:sz="4" w:space="0" w:color="auto"/>
              <w:left w:val="none" w:sz="4" w:space="0" w:color="000000"/>
              <w:bottom w:val="single" w:sz="4" w:space="0" w:color="auto"/>
              <w:right w:val="single" w:sz="4" w:space="0" w:color="auto"/>
            </w:tcBorders>
            <w:vAlign w:val="center"/>
          </w:tcPr>
          <w:p w14:paraId="7A48FF5B" w14:textId="77777777" w:rsidR="00602DCA" w:rsidRDefault="00C5530C">
            <w:pPr>
              <w:spacing w:after="0" w:line="240" w:lineRule="auto"/>
              <w:jc w:val="left"/>
              <w:rPr>
                <w:rFonts w:asciiTheme="minorHAnsi" w:eastAsia="Times New Roman" w:hAnsiTheme="minorHAnsi" w:cstheme="minorHAnsi"/>
                <w:b/>
                <w:bCs/>
                <w:color w:val="000000"/>
                <w:sz w:val="16"/>
                <w:szCs w:val="20"/>
                <w:lang w:eastAsia="cs-CZ"/>
              </w:rPr>
            </w:pPr>
            <w:r>
              <w:rPr>
                <w:rFonts w:asciiTheme="minorHAnsi" w:eastAsia="Times New Roman" w:hAnsiTheme="minorHAnsi" w:cstheme="minorHAnsi"/>
                <w:b/>
                <w:bCs/>
                <w:color w:val="000000"/>
                <w:sz w:val="16"/>
                <w:szCs w:val="20"/>
                <w:lang w:eastAsia="cs-CZ"/>
              </w:rPr>
              <w:t>Příloha 6 RRF</w:t>
            </w:r>
          </w:p>
        </w:tc>
        <w:tc>
          <w:tcPr>
            <w:tcW w:w="1165" w:type="pct"/>
            <w:tcBorders>
              <w:top w:val="single" w:sz="4" w:space="0" w:color="auto"/>
              <w:left w:val="none" w:sz="4" w:space="0" w:color="000000"/>
              <w:bottom w:val="single" w:sz="4" w:space="0" w:color="auto"/>
              <w:right w:val="single" w:sz="4" w:space="0" w:color="auto"/>
            </w:tcBorders>
            <w:vAlign w:val="center"/>
          </w:tcPr>
          <w:p w14:paraId="5D793EFE" w14:textId="77777777" w:rsidR="00602DCA" w:rsidRDefault="00C5530C">
            <w:pPr>
              <w:spacing w:after="0" w:line="240" w:lineRule="auto"/>
              <w:jc w:val="left"/>
              <w:rPr>
                <w:rFonts w:asciiTheme="minorHAnsi" w:eastAsia="Times New Roman" w:hAnsiTheme="minorHAnsi" w:cstheme="minorHAnsi"/>
                <w:b/>
                <w:bCs/>
                <w:color w:val="000000"/>
                <w:sz w:val="16"/>
                <w:szCs w:val="20"/>
                <w:lang w:eastAsia="cs-CZ"/>
              </w:rPr>
            </w:pPr>
            <w:r>
              <w:rPr>
                <w:rFonts w:asciiTheme="minorHAnsi" w:eastAsia="Times New Roman" w:hAnsiTheme="minorHAnsi" w:cstheme="minorHAnsi"/>
                <w:b/>
                <w:bCs/>
                <w:color w:val="000000"/>
                <w:sz w:val="16"/>
                <w:szCs w:val="20"/>
                <w:lang w:eastAsia="cs-CZ"/>
              </w:rPr>
              <w:t>Oblast intervence</w:t>
            </w:r>
          </w:p>
        </w:tc>
        <w:tc>
          <w:tcPr>
            <w:tcW w:w="304" w:type="pct"/>
            <w:tcBorders>
              <w:top w:val="single" w:sz="4" w:space="0" w:color="auto"/>
              <w:left w:val="none" w:sz="4" w:space="0" w:color="000000"/>
              <w:bottom w:val="single" w:sz="4" w:space="0" w:color="auto"/>
              <w:right w:val="single" w:sz="4" w:space="0" w:color="auto"/>
            </w:tcBorders>
            <w:vAlign w:val="center"/>
          </w:tcPr>
          <w:p w14:paraId="0F7276B6" w14:textId="77777777" w:rsidR="00602DCA" w:rsidRDefault="00C5530C">
            <w:pPr>
              <w:spacing w:after="0" w:line="240" w:lineRule="auto"/>
              <w:jc w:val="left"/>
              <w:rPr>
                <w:rFonts w:asciiTheme="minorHAnsi" w:eastAsia="Times New Roman" w:hAnsiTheme="minorHAnsi" w:cstheme="minorHAnsi"/>
                <w:b/>
                <w:bCs/>
                <w:color w:val="000000"/>
                <w:sz w:val="16"/>
                <w:szCs w:val="20"/>
                <w:lang w:eastAsia="cs-CZ"/>
              </w:rPr>
            </w:pPr>
            <w:r>
              <w:rPr>
                <w:rFonts w:asciiTheme="minorHAnsi" w:eastAsia="Times New Roman" w:hAnsiTheme="minorHAnsi" w:cstheme="minorHAnsi"/>
                <w:b/>
                <w:bCs/>
                <w:color w:val="000000"/>
                <w:sz w:val="16"/>
                <w:szCs w:val="20"/>
                <w:lang w:eastAsia="cs-CZ"/>
              </w:rPr>
              <w:t>Koeficient pro výpočet podpory na plnění cílů v oblasti změny klimatu</w:t>
            </w:r>
          </w:p>
        </w:tc>
        <w:tc>
          <w:tcPr>
            <w:tcW w:w="259" w:type="pct"/>
            <w:tcBorders>
              <w:top w:val="single" w:sz="4" w:space="0" w:color="auto"/>
              <w:left w:val="none" w:sz="4" w:space="0" w:color="000000"/>
              <w:bottom w:val="single" w:sz="4" w:space="0" w:color="auto"/>
              <w:right w:val="single" w:sz="4" w:space="0" w:color="auto"/>
            </w:tcBorders>
            <w:vAlign w:val="center"/>
          </w:tcPr>
          <w:p w14:paraId="3540CED4" w14:textId="77777777" w:rsidR="00602DCA" w:rsidRDefault="00C5530C">
            <w:pPr>
              <w:spacing w:after="0" w:line="240" w:lineRule="auto"/>
              <w:jc w:val="left"/>
              <w:rPr>
                <w:rFonts w:asciiTheme="minorHAnsi" w:eastAsia="Times New Roman" w:hAnsiTheme="minorHAnsi" w:cstheme="minorHAnsi"/>
                <w:b/>
                <w:bCs/>
                <w:color w:val="000000"/>
                <w:sz w:val="16"/>
                <w:szCs w:val="20"/>
                <w:lang w:eastAsia="cs-CZ"/>
              </w:rPr>
            </w:pPr>
            <w:r>
              <w:rPr>
                <w:rFonts w:asciiTheme="minorHAnsi" w:eastAsia="Times New Roman" w:hAnsiTheme="minorHAnsi" w:cstheme="minorHAnsi"/>
                <w:b/>
                <w:bCs/>
                <w:color w:val="000000"/>
                <w:sz w:val="16"/>
                <w:szCs w:val="20"/>
                <w:lang w:eastAsia="cs-CZ"/>
              </w:rPr>
              <w:t>Koeficient pro výpočet podpory na plnění environmentálních cílů</w:t>
            </w:r>
          </w:p>
        </w:tc>
        <w:tc>
          <w:tcPr>
            <w:tcW w:w="605" w:type="pct"/>
            <w:tcBorders>
              <w:top w:val="single" w:sz="4" w:space="0" w:color="auto"/>
              <w:left w:val="none" w:sz="4" w:space="0" w:color="000000"/>
              <w:bottom w:val="single" w:sz="4" w:space="0" w:color="auto"/>
              <w:right w:val="single" w:sz="4" w:space="0" w:color="auto"/>
            </w:tcBorders>
            <w:vAlign w:val="center"/>
          </w:tcPr>
          <w:p w14:paraId="124B6306" w14:textId="77777777" w:rsidR="00602DCA" w:rsidRDefault="00C5530C">
            <w:pPr>
              <w:spacing w:after="0" w:line="240" w:lineRule="auto"/>
              <w:jc w:val="left"/>
              <w:rPr>
                <w:rFonts w:asciiTheme="minorHAnsi" w:eastAsia="Times New Roman" w:hAnsiTheme="minorHAnsi" w:cstheme="minorHAnsi"/>
                <w:b/>
                <w:bCs/>
                <w:color w:val="000000"/>
                <w:sz w:val="16"/>
                <w:szCs w:val="20"/>
                <w:lang w:eastAsia="cs-CZ"/>
              </w:rPr>
            </w:pPr>
            <w:r>
              <w:rPr>
                <w:rFonts w:asciiTheme="minorHAnsi" w:eastAsia="Times New Roman" w:hAnsiTheme="minorHAnsi" w:cstheme="minorHAnsi"/>
                <w:b/>
                <w:bCs/>
                <w:color w:val="000000"/>
                <w:sz w:val="16"/>
                <w:szCs w:val="20"/>
                <w:lang w:eastAsia="cs-CZ"/>
              </w:rPr>
              <w:t>Zmírňování změny klimatu</w:t>
            </w:r>
          </w:p>
        </w:tc>
        <w:tc>
          <w:tcPr>
            <w:tcW w:w="460" w:type="pct"/>
            <w:tcBorders>
              <w:top w:val="single" w:sz="4" w:space="0" w:color="auto"/>
              <w:left w:val="none" w:sz="4" w:space="0" w:color="000000"/>
              <w:bottom w:val="single" w:sz="4" w:space="0" w:color="auto"/>
              <w:right w:val="single" w:sz="4" w:space="0" w:color="auto"/>
            </w:tcBorders>
            <w:vAlign w:val="center"/>
          </w:tcPr>
          <w:p w14:paraId="7122A602" w14:textId="77777777" w:rsidR="00602DCA" w:rsidRDefault="00C5530C">
            <w:pPr>
              <w:spacing w:after="0" w:line="240" w:lineRule="auto"/>
              <w:jc w:val="left"/>
              <w:rPr>
                <w:rFonts w:asciiTheme="minorHAnsi" w:eastAsia="Times New Roman" w:hAnsiTheme="minorHAnsi" w:cstheme="minorHAnsi"/>
                <w:b/>
                <w:bCs/>
                <w:color w:val="000000"/>
                <w:sz w:val="16"/>
                <w:szCs w:val="20"/>
                <w:lang w:eastAsia="cs-CZ"/>
              </w:rPr>
            </w:pPr>
            <w:r>
              <w:rPr>
                <w:rFonts w:asciiTheme="minorHAnsi" w:eastAsia="Times New Roman" w:hAnsiTheme="minorHAnsi" w:cstheme="minorHAnsi"/>
                <w:b/>
                <w:bCs/>
                <w:color w:val="000000"/>
                <w:sz w:val="16"/>
                <w:szCs w:val="20"/>
                <w:lang w:eastAsia="cs-CZ"/>
              </w:rPr>
              <w:t>Přizpůsobování se změně klimatu</w:t>
            </w:r>
          </w:p>
        </w:tc>
        <w:tc>
          <w:tcPr>
            <w:tcW w:w="455" w:type="pct"/>
            <w:tcBorders>
              <w:top w:val="single" w:sz="4" w:space="0" w:color="auto"/>
              <w:left w:val="none" w:sz="4" w:space="0" w:color="000000"/>
              <w:bottom w:val="single" w:sz="4" w:space="0" w:color="auto"/>
              <w:right w:val="single" w:sz="4" w:space="0" w:color="auto"/>
            </w:tcBorders>
            <w:vAlign w:val="center"/>
          </w:tcPr>
          <w:p w14:paraId="594789D8" w14:textId="77777777" w:rsidR="00602DCA" w:rsidRDefault="00C5530C">
            <w:pPr>
              <w:spacing w:after="0" w:line="240" w:lineRule="auto"/>
              <w:jc w:val="left"/>
              <w:rPr>
                <w:rFonts w:asciiTheme="minorHAnsi" w:eastAsia="Times New Roman" w:hAnsiTheme="minorHAnsi" w:cstheme="minorHAnsi"/>
                <w:b/>
                <w:bCs/>
                <w:color w:val="000000"/>
                <w:sz w:val="16"/>
                <w:szCs w:val="20"/>
                <w:lang w:eastAsia="cs-CZ"/>
              </w:rPr>
            </w:pPr>
            <w:r>
              <w:rPr>
                <w:rFonts w:asciiTheme="minorHAnsi" w:eastAsia="Times New Roman" w:hAnsiTheme="minorHAnsi" w:cstheme="minorHAnsi"/>
                <w:b/>
                <w:bCs/>
                <w:color w:val="000000"/>
                <w:sz w:val="16"/>
                <w:szCs w:val="20"/>
                <w:lang w:eastAsia="cs-CZ"/>
              </w:rPr>
              <w:t>Udržitelné využívání a ochrana vodních a mořských zdrojů</w:t>
            </w:r>
          </w:p>
        </w:tc>
        <w:tc>
          <w:tcPr>
            <w:tcW w:w="456" w:type="pct"/>
            <w:tcBorders>
              <w:top w:val="single" w:sz="4" w:space="0" w:color="auto"/>
              <w:left w:val="none" w:sz="4" w:space="0" w:color="000000"/>
              <w:bottom w:val="single" w:sz="4" w:space="0" w:color="auto"/>
              <w:right w:val="single" w:sz="4" w:space="0" w:color="auto"/>
            </w:tcBorders>
            <w:vAlign w:val="center"/>
          </w:tcPr>
          <w:p w14:paraId="28800BB2" w14:textId="77777777" w:rsidR="00602DCA" w:rsidRDefault="00C5530C">
            <w:pPr>
              <w:spacing w:after="0" w:line="240" w:lineRule="auto"/>
              <w:jc w:val="left"/>
              <w:rPr>
                <w:rFonts w:asciiTheme="minorHAnsi" w:eastAsia="Times New Roman" w:hAnsiTheme="minorHAnsi" w:cstheme="minorHAnsi"/>
                <w:b/>
                <w:bCs/>
                <w:color w:val="000000"/>
                <w:sz w:val="16"/>
                <w:szCs w:val="20"/>
                <w:lang w:eastAsia="cs-CZ"/>
              </w:rPr>
            </w:pPr>
            <w:r>
              <w:rPr>
                <w:rFonts w:asciiTheme="minorHAnsi" w:eastAsia="Times New Roman" w:hAnsiTheme="minorHAnsi" w:cstheme="minorHAnsi"/>
                <w:b/>
                <w:bCs/>
                <w:color w:val="000000"/>
                <w:sz w:val="16"/>
                <w:szCs w:val="20"/>
                <w:lang w:eastAsia="cs-CZ"/>
              </w:rPr>
              <w:t>Přechod na oběhové hospodářství</w:t>
            </w:r>
          </w:p>
        </w:tc>
        <w:tc>
          <w:tcPr>
            <w:tcW w:w="461" w:type="pct"/>
            <w:tcBorders>
              <w:top w:val="single" w:sz="4" w:space="0" w:color="auto"/>
              <w:left w:val="none" w:sz="4" w:space="0" w:color="000000"/>
              <w:bottom w:val="single" w:sz="4" w:space="0" w:color="auto"/>
              <w:right w:val="single" w:sz="4" w:space="0" w:color="auto"/>
            </w:tcBorders>
            <w:vAlign w:val="center"/>
          </w:tcPr>
          <w:p w14:paraId="534D788A" w14:textId="77777777" w:rsidR="00602DCA" w:rsidRDefault="00C5530C">
            <w:pPr>
              <w:spacing w:after="0" w:line="240" w:lineRule="auto"/>
              <w:jc w:val="left"/>
              <w:rPr>
                <w:rFonts w:asciiTheme="minorHAnsi" w:eastAsia="Times New Roman" w:hAnsiTheme="minorHAnsi" w:cstheme="minorHAnsi"/>
                <w:b/>
                <w:bCs/>
                <w:color w:val="000000"/>
                <w:sz w:val="16"/>
                <w:szCs w:val="20"/>
                <w:lang w:eastAsia="cs-CZ"/>
              </w:rPr>
            </w:pPr>
            <w:r>
              <w:rPr>
                <w:rFonts w:asciiTheme="minorHAnsi" w:eastAsia="Times New Roman" w:hAnsiTheme="minorHAnsi" w:cstheme="minorHAnsi"/>
                <w:b/>
                <w:bCs/>
                <w:color w:val="000000"/>
                <w:sz w:val="16"/>
                <w:szCs w:val="20"/>
                <w:lang w:eastAsia="cs-CZ"/>
              </w:rPr>
              <w:t>Prevence a omezování znečištění</w:t>
            </w:r>
          </w:p>
        </w:tc>
        <w:tc>
          <w:tcPr>
            <w:tcW w:w="429" w:type="pct"/>
            <w:tcBorders>
              <w:top w:val="single" w:sz="4" w:space="0" w:color="auto"/>
              <w:left w:val="none" w:sz="4" w:space="0" w:color="000000"/>
              <w:bottom w:val="single" w:sz="4" w:space="0" w:color="auto"/>
              <w:right w:val="single" w:sz="4" w:space="0" w:color="auto"/>
            </w:tcBorders>
            <w:vAlign w:val="center"/>
          </w:tcPr>
          <w:p w14:paraId="5E162DE8" w14:textId="77777777" w:rsidR="00602DCA" w:rsidRDefault="00C5530C">
            <w:pPr>
              <w:spacing w:after="0" w:line="240" w:lineRule="auto"/>
              <w:jc w:val="left"/>
              <w:rPr>
                <w:rFonts w:asciiTheme="minorHAnsi" w:eastAsia="Times New Roman" w:hAnsiTheme="minorHAnsi" w:cstheme="minorHAnsi"/>
                <w:b/>
                <w:bCs/>
                <w:color w:val="000000"/>
                <w:sz w:val="16"/>
                <w:szCs w:val="20"/>
                <w:lang w:eastAsia="cs-CZ"/>
              </w:rPr>
            </w:pPr>
            <w:r>
              <w:rPr>
                <w:rFonts w:asciiTheme="minorHAnsi" w:eastAsia="Times New Roman" w:hAnsiTheme="minorHAnsi" w:cstheme="minorHAnsi"/>
                <w:b/>
                <w:bCs/>
                <w:color w:val="000000"/>
                <w:sz w:val="16"/>
                <w:szCs w:val="20"/>
                <w:lang w:eastAsia="cs-CZ"/>
              </w:rPr>
              <w:t>Ochrana a obnova biologické rozmanitosti a ekosystémů</w:t>
            </w:r>
          </w:p>
        </w:tc>
      </w:tr>
      <w:tr w:rsidR="00602DCA" w14:paraId="6143A92D" w14:textId="77777777">
        <w:trPr>
          <w:trHeight w:val="20"/>
        </w:trPr>
        <w:tc>
          <w:tcPr>
            <w:tcW w:w="5000" w:type="pct"/>
            <w:gridSpan w:val="11"/>
            <w:tcBorders>
              <w:top w:val="single" w:sz="4" w:space="0" w:color="auto"/>
              <w:left w:val="single" w:sz="4" w:space="0" w:color="auto"/>
              <w:bottom w:val="single" w:sz="4" w:space="0" w:color="auto"/>
              <w:right w:val="single" w:sz="4" w:space="0" w:color="auto"/>
            </w:tcBorders>
            <w:vAlign w:val="center"/>
          </w:tcPr>
          <w:p w14:paraId="61BE6C0A"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Cíl politiky 1: Konkurenceschopnější a inteligentnější Evropa díky podpoře inovativní a inteligentní ekonomické transformace a regionálního propojení informačních a komunikačních technologií (IKT)</w:t>
            </w:r>
          </w:p>
        </w:tc>
      </w:tr>
      <w:tr w:rsidR="00602DCA" w14:paraId="06D0541B" w14:textId="77777777">
        <w:trPr>
          <w:trHeight w:val="20"/>
        </w:trPr>
        <w:tc>
          <w:tcPr>
            <w:tcW w:w="202" w:type="pct"/>
            <w:tcBorders>
              <w:top w:val="none" w:sz="4" w:space="0" w:color="000000"/>
              <w:left w:val="single" w:sz="4" w:space="0" w:color="auto"/>
              <w:bottom w:val="single" w:sz="4" w:space="0" w:color="auto"/>
              <w:right w:val="single" w:sz="4" w:space="0" w:color="auto"/>
            </w:tcBorders>
            <w:vAlign w:val="center"/>
          </w:tcPr>
          <w:p w14:paraId="7BBE129D" w14:textId="77777777" w:rsidR="00602DCA" w:rsidRDefault="00C5530C">
            <w:pPr>
              <w:spacing w:after="0" w:line="240" w:lineRule="auto"/>
              <w:jc w:val="righ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15</w:t>
            </w:r>
          </w:p>
        </w:tc>
        <w:tc>
          <w:tcPr>
            <w:tcW w:w="204" w:type="pct"/>
            <w:tcBorders>
              <w:top w:val="none" w:sz="4" w:space="0" w:color="000000"/>
              <w:left w:val="none" w:sz="4" w:space="0" w:color="000000"/>
              <w:bottom w:val="single" w:sz="4" w:space="0" w:color="auto"/>
              <w:right w:val="single" w:sz="4" w:space="0" w:color="auto"/>
            </w:tcBorders>
            <w:vAlign w:val="center"/>
          </w:tcPr>
          <w:p w14:paraId="45DD071F" w14:textId="77777777" w:rsidR="00602DCA" w:rsidRDefault="00C5530C">
            <w:pPr>
              <w:spacing w:after="0" w:line="240" w:lineRule="auto"/>
              <w:rPr>
                <w:rFonts w:asciiTheme="minorHAnsi" w:eastAsia="Times New Roman" w:hAnsiTheme="minorHAnsi" w:cstheme="minorHAnsi"/>
                <w:color w:val="000000"/>
                <w:sz w:val="16"/>
                <w:szCs w:val="20"/>
                <w:lang w:eastAsia="cs-CZ"/>
              </w:rPr>
            </w:pPr>
            <w:proofErr w:type="gramStart"/>
            <w:r>
              <w:rPr>
                <w:rFonts w:asciiTheme="minorHAnsi" w:eastAsia="Times New Roman" w:hAnsiTheme="minorHAnsi" w:cstheme="minorHAnsi"/>
                <w:color w:val="000000"/>
                <w:sz w:val="16"/>
                <w:szCs w:val="20"/>
                <w:lang w:eastAsia="cs-CZ"/>
              </w:rPr>
              <w:t>010b</w:t>
            </w:r>
            <w:proofErr w:type="gramEnd"/>
          </w:p>
        </w:tc>
        <w:tc>
          <w:tcPr>
            <w:tcW w:w="1165" w:type="pct"/>
            <w:tcBorders>
              <w:top w:val="none" w:sz="4" w:space="0" w:color="000000"/>
              <w:left w:val="none" w:sz="4" w:space="0" w:color="000000"/>
              <w:bottom w:val="single" w:sz="4" w:space="0" w:color="auto"/>
              <w:right w:val="single" w:sz="4" w:space="0" w:color="auto"/>
            </w:tcBorders>
            <w:vAlign w:val="center"/>
          </w:tcPr>
          <w:p w14:paraId="4B67144A" w14:textId="77777777" w:rsidR="00602DCA" w:rsidRDefault="00602DCA">
            <w:pPr>
              <w:spacing w:after="0" w:line="240" w:lineRule="auto"/>
              <w:rPr>
                <w:rFonts w:asciiTheme="minorHAnsi" w:eastAsia="Times New Roman" w:hAnsiTheme="minorHAnsi" w:cstheme="minorHAnsi"/>
                <w:color w:val="0563C1"/>
                <w:sz w:val="16"/>
                <w:szCs w:val="20"/>
                <w:u w:val="single"/>
                <w:lang w:eastAsia="cs-CZ"/>
              </w:rPr>
            </w:pPr>
            <w:hyperlink r:id="rId160" w:anchor="E0026" w:tooltip="https://eur-lex.europa.eu/legal-content/CS/TXT/?uri=CELEX%3A02021R1060-20210630&amp;qid=1659091609743#E0026" w:history="1">
              <w:r>
                <w:rPr>
                  <w:rFonts w:asciiTheme="minorHAnsi" w:eastAsia="Times New Roman" w:hAnsiTheme="minorHAnsi" w:cstheme="minorHAnsi"/>
                  <w:color w:val="0563C1"/>
                  <w:sz w:val="16"/>
                  <w:szCs w:val="20"/>
                  <w:u w:val="single"/>
                  <w:lang w:eastAsia="cs-CZ"/>
                </w:rPr>
                <w:t>Digitalizace malých a středních podniků nebo velkých podniků (včetně elektronického obchodu, elektronického podnikání a síťových podnikových procesů, center pro digitální inovace, živých laboratoří, internetových podnikatelů a startupů v oblasti IKT, B2B) v souladu s kritérii pro snížení emisí skleníkových plynů nebo s kritérii energetické účinnosti (5)</w:t>
              </w:r>
            </w:hyperlink>
          </w:p>
        </w:tc>
        <w:tc>
          <w:tcPr>
            <w:tcW w:w="304" w:type="pct"/>
            <w:tcBorders>
              <w:top w:val="none" w:sz="4" w:space="0" w:color="000000"/>
              <w:left w:val="none" w:sz="4" w:space="0" w:color="000000"/>
              <w:bottom w:val="single" w:sz="4" w:space="0" w:color="auto"/>
              <w:right w:val="single" w:sz="4" w:space="0" w:color="auto"/>
            </w:tcBorders>
            <w:vAlign w:val="center"/>
          </w:tcPr>
          <w:p w14:paraId="4C824787"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w:t>
            </w:r>
          </w:p>
        </w:tc>
        <w:tc>
          <w:tcPr>
            <w:tcW w:w="259" w:type="pct"/>
            <w:tcBorders>
              <w:top w:val="none" w:sz="4" w:space="0" w:color="000000"/>
              <w:left w:val="none" w:sz="4" w:space="0" w:color="000000"/>
              <w:bottom w:val="single" w:sz="4" w:space="0" w:color="auto"/>
              <w:right w:val="single" w:sz="4" w:space="0" w:color="auto"/>
            </w:tcBorders>
            <w:vAlign w:val="center"/>
          </w:tcPr>
          <w:p w14:paraId="3CFEEE6B"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0 %</w:t>
            </w:r>
          </w:p>
        </w:tc>
        <w:tc>
          <w:tcPr>
            <w:tcW w:w="605" w:type="pct"/>
            <w:tcBorders>
              <w:top w:val="none" w:sz="4" w:space="0" w:color="000000"/>
              <w:left w:val="none" w:sz="4" w:space="0" w:color="000000"/>
              <w:bottom w:val="single" w:sz="4" w:space="0" w:color="auto"/>
              <w:right w:val="single" w:sz="4" w:space="0" w:color="auto"/>
            </w:tcBorders>
            <w:vAlign w:val="center"/>
          </w:tcPr>
          <w:p w14:paraId="1B0D59B0"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 není pro DNSH dostatečnou zárukou</w:t>
            </w:r>
          </w:p>
        </w:tc>
        <w:tc>
          <w:tcPr>
            <w:tcW w:w="460" w:type="pct"/>
            <w:tcBorders>
              <w:top w:val="none" w:sz="4" w:space="0" w:color="000000"/>
              <w:left w:val="none" w:sz="4" w:space="0" w:color="000000"/>
              <w:bottom w:val="single" w:sz="4" w:space="0" w:color="auto"/>
              <w:right w:val="single" w:sz="4" w:space="0" w:color="auto"/>
            </w:tcBorders>
            <w:noWrap/>
            <w:vAlign w:val="center"/>
          </w:tcPr>
          <w:p w14:paraId="6A366E1B"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tc>
        <w:tc>
          <w:tcPr>
            <w:tcW w:w="455" w:type="pct"/>
            <w:tcBorders>
              <w:top w:val="none" w:sz="4" w:space="0" w:color="000000"/>
              <w:left w:val="none" w:sz="4" w:space="0" w:color="000000"/>
              <w:bottom w:val="single" w:sz="4" w:space="0" w:color="auto"/>
              <w:right w:val="single" w:sz="4" w:space="0" w:color="auto"/>
            </w:tcBorders>
            <w:noWrap/>
            <w:vAlign w:val="center"/>
          </w:tcPr>
          <w:p w14:paraId="452AF25A"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 DNSH nutné posoudit</w:t>
            </w:r>
          </w:p>
        </w:tc>
        <w:tc>
          <w:tcPr>
            <w:tcW w:w="456" w:type="pct"/>
            <w:tcBorders>
              <w:top w:val="none" w:sz="4" w:space="0" w:color="000000"/>
              <w:left w:val="none" w:sz="4" w:space="0" w:color="000000"/>
              <w:bottom w:val="single" w:sz="4" w:space="0" w:color="auto"/>
              <w:right w:val="single" w:sz="4" w:space="0" w:color="auto"/>
            </w:tcBorders>
            <w:noWrap/>
            <w:vAlign w:val="center"/>
          </w:tcPr>
          <w:p w14:paraId="1BA039CB"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 DNSH nutné posoudit</w:t>
            </w:r>
          </w:p>
        </w:tc>
        <w:tc>
          <w:tcPr>
            <w:tcW w:w="461" w:type="pct"/>
            <w:tcBorders>
              <w:top w:val="none" w:sz="4" w:space="0" w:color="000000"/>
              <w:left w:val="none" w:sz="4" w:space="0" w:color="000000"/>
              <w:bottom w:val="single" w:sz="4" w:space="0" w:color="auto"/>
              <w:right w:val="single" w:sz="4" w:space="0" w:color="auto"/>
            </w:tcBorders>
            <w:noWrap/>
            <w:vAlign w:val="center"/>
          </w:tcPr>
          <w:p w14:paraId="6CD5E514"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 DNSH nutné posoudit</w:t>
            </w:r>
          </w:p>
        </w:tc>
        <w:tc>
          <w:tcPr>
            <w:tcW w:w="429" w:type="pct"/>
            <w:tcBorders>
              <w:top w:val="none" w:sz="4" w:space="0" w:color="000000"/>
              <w:left w:val="none" w:sz="4" w:space="0" w:color="000000"/>
              <w:bottom w:val="single" w:sz="4" w:space="0" w:color="auto"/>
              <w:right w:val="single" w:sz="4" w:space="0" w:color="auto"/>
            </w:tcBorders>
            <w:noWrap/>
            <w:vAlign w:val="center"/>
          </w:tcPr>
          <w:p w14:paraId="64C22347"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 DNSH nutné posoudit</w:t>
            </w:r>
          </w:p>
        </w:tc>
      </w:tr>
      <w:tr w:rsidR="00602DCA" w14:paraId="6649E257" w14:textId="77777777">
        <w:trPr>
          <w:trHeight w:val="20"/>
        </w:trPr>
        <w:tc>
          <w:tcPr>
            <w:tcW w:w="202" w:type="pct"/>
            <w:tcBorders>
              <w:top w:val="none" w:sz="4" w:space="0" w:color="000000"/>
              <w:left w:val="single" w:sz="4" w:space="0" w:color="auto"/>
              <w:bottom w:val="single" w:sz="4" w:space="0" w:color="auto"/>
              <w:right w:val="single" w:sz="4" w:space="0" w:color="auto"/>
            </w:tcBorders>
            <w:vAlign w:val="center"/>
          </w:tcPr>
          <w:p w14:paraId="01374636" w14:textId="77777777" w:rsidR="00602DCA" w:rsidRDefault="00C5530C">
            <w:pPr>
              <w:spacing w:after="0" w:line="240" w:lineRule="auto"/>
              <w:jc w:val="righ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17</w:t>
            </w:r>
          </w:p>
        </w:tc>
        <w:tc>
          <w:tcPr>
            <w:tcW w:w="204" w:type="pct"/>
            <w:tcBorders>
              <w:top w:val="none" w:sz="4" w:space="0" w:color="000000"/>
              <w:left w:val="none" w:sz="4" w:space="0" w:color="000000"/>
              <w:bottom w:val="single" w:sz="4" w:space="0" w:color="auto"/>
              <w:right w:val="single" w:sz="4" w:space="0" w:color="auto"/>
            </w:tcBorders>
            <w:vAlign w:val="center"/>
          </w:tcPr>
          <w:p w14:paraId="408D3426" w14:textId="77777777" w:rsidR="00602DCA" w:rsidRDefault="00C5530C">
            <w:pPr>
              <w:spacing w:after="0" w:line="240" w:lineRule="auto"/>
              <w:rPr>
                <w:rFonts w:asciiTheme="minorHAnsi" w:eastAsia="Times New Roman" w:hAnsiTheme="minorHAnsi" w:cstheme="minorHAnsi"/>
                <w:color w:val="000000"/>
                <w:sz w:val="16"/>
                <w:szCs w:val="20"/>
                <w:lang w:eastAsia="cs-CZ"/>
              </w:rPr>
            </w:pPr>
            <w:proofErr w:type="gramStart"/>
            <w:r>
              <w:rPr>
                <w:rFonts w:asciiTheme="minorHAnsi" w:eastAsia="Times New Roman" w:hAnsiTheme="minorHAnsi" w:cstheme="minorHAnsi"/>
                <w:color w:val="000000"/>
                <w:sz w:val="16"/>
                <w:szCs w:val="20"/>
                <w:lang w:eastAsia="cs-CZ"/>
              </w:rPr>
              <w:t>011a</w:t>
            </w:r>
            <w:proofErr w:type="gramEnd"/>
          </w:p>
        </w:tc>
        <w:tc>
          <w:tcPr>
            <w:tcW w:w="1165" w:type="pct"/>
            <w:tcBorders>
              <w:top w:val="none" w:sz="4" w:space="0" w:color="000000"/>
              <w:left w:val="none" w:sz="4" w:space="0" w:color="000000"/>
              <w:bottom w:val="single" w:sz="4" w:space="0" w:color="auto"/>
              <w:right w:val="single" w:sz="4" w:space="0" w:color="auto"/>
            </w:tcBorders>
            <w:vAlign w:val="center"/>
          </w:tcPr>
          <w:p w14:paraId="041667EE" w14:textId="77777777" w:rsidR="00602DCA" w:rsidRDefault="00602DCA">
            <w:pPr>
              <w:spacing w:after="0" w:line="240" w:lineRule="auto"/>
              <w:rPr>
                <w:rFonts w:asciiTheme="minorHAnsi" w:eastAsia="Times New Roman" w:hAnsiTheme="minorHAnsi" w:cstheme="minorHAnsi"/>
                <w:color w:val="0563C1"/>
                <w:sz w:val="16"/>
                <w:szCs w:val="20"/>
                <w:u w:val="single"/>
                <w:lang w:eastAsia="cs-CZ"/>
              </w:rPr>
            </w:pPr>
            <w:hyperlink r:id="rId161" w:anchor="E0027" w:tooltip="https://eur-lex.europa.eu/legal-content/CS/TXT/?uri=CELEX%3A02021R1060-20210630&amp;qid=1659091609743#E0027" w:history="1">
              <w:r>
                <w:rPr>
                  <w:rFonts w:asciiTheme="minorHAnsi" w:eastAsia="Times New Roman" w:hAnsiTheme="minorHAnsi" w:cstheme="minorHAnsi"/>
                  <w:color w:val="0563C1"/>
                  <w:sz w:val="16"/>
                  <w:szCs w:val="20"/>
                  <w:u w:val="single"/>
                  <w:lang w:eastAsia="cs-CZ"/>
                </w:rPr>
                <w:t>Vládní řešení IKT, elektronické služby, aplikace v souladu s kritérii pro snížení emisí skleníkových plynů nebo s kritérii energetické účinnosti (6)</w:t>
              </w:r>
            </w:hyperlink>
          </w:p>
        </w:tc>
        <w:tc>
          <w:tcPr>
            <w:tcW w:w="304" w:type="pct"/>
            <w:tcBorders>
              <w:top w:val="none" w:sz="4" w:space="0" w:color="000000"/>
              <w:left w:val="none" w:sz="4" w:space="0" w:color="000000"/>
              <w:bottom w:val="single" w:sz="4" w:space="0" w:color="auto"/>
              <w:right w:val="single" w:sz="4" w:space="0" w:color="auto"/>
            </w:tcBorders>
            <w:vAlign w:val="center"/>
          </w:tcPr>
          <w:p w14:paraId="6A9DD765"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w:t>
            </w:r>
          </w:p>
        </w:tc>
        <w:tc>
          <w:tcPr>
            <w:tcW w:w="259" w:type="pct"/>
            <w:tcBorders>
              <w:top w:val="none" w:sz="4" w:space="0" w:color="000000"/>
              <w:left w:val="none" w:sz="4" w:space="0" w:color="000000"/>
              <w:bottom w:val="single" w:sz="4" w:space="0" w:color="auto"/>
              <w:right w:val="single" w:sz="4" w:space="0" w:color="auto"/>
            </w:tcBorders>
            <w:vAlign w:val="center"/>
          </w:tcPr>
          <w:p w14:paraId="445D37E6"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0 %</w:t>
            </w:r>
          </w:p>
        </w:tc>
        <w:tc>
          <w:tcPr>
            <w:tcW w:w="605" w:type="pct"/>
            <w:tcBorders>
              <w:top w:val="none" w:sz="4" w:space="0" w:color="000000"/>
              <w:left w:val="none" w:sz="4" w:space="0" w:color="000000"/>
              <w:bottom w:val="single" w:sz="4" w:space="0" w:color="auto"/>
              <w:right w:val="single" w:sz="4" w:space="0" w:color="auto"/>
            </w:tcBorders>
            <w:vAlign w:val="center"/>
          </w:tcPr>
          <w:p w14:paraId="47365636"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 není pro DNSH dostatečnou zárukou</w:t>
            </w:r>
          </w:p>
        </w:tc>
        <w:tc>
          <w:tcPr>
            <w:tcW w:w="460" w:type="pct"/>
            <w:tcBorders>
              <w:top w:val="none" w:sz="4" w:space="0" w:color="000000"/>
              <w:left w:val="none" w:sz="4" w:space="0" w:color="000000"/>
              <w:bottom w:val="single" w:sz="4" w:space="0" w:color="auto"/>
              <w:right w:val="single" w:sz="4" w:space="0" w:color="auto"/>
            </w:tcBorders>
            <w:noWrap/>
            <w:vAlign w:val="center"/>
          </w:tcPr>
          <w:p w14:paraId="0A961F6D"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tc>
        <w:tc>
          <w:tcPr>
            <w:tcW w:w="455" w:type="pct"/>
            <w:tcBorders>
              <w:top w:val="none" w:sz="4" w:space="0" w:color="000000"/>
              <w:left w:val="none" w:sz="4" w:space="0" w:color="000000"/>
              <w:bottom w:val="single" w:sz="4" w:space="0" w:color="auto"/>
              <w:right w:val="single" w:sz="4" w:space="0" w:color="auto"/>
            </w:tcBorders>
            <w:noWrap/>
            <w:vAlign w:val="center"/>
          </w:tcPr>
          <w:p w14:paraId="3C4048DA"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tc>
        <w:tc>
          <w:tcPr>
            <w:tcW w:w="456" w:type="pct"/>
            <w:tcBorders>
              <w:top w:val="none" w:sz="4" w:space="0" w:color="000000"/>
              <w:left w:val="none" w:sz="4" w:space="0" w:color="000000"/>
              <w:bottom w:val="single" w:sz="4" w:space="0" w:color="auto"/>
              <w:right w:val="single" w:sz="4" w:space="0" w:color="auto"/>
            </w:tcBorders>
            <w:noWrap/>
            <w:vAlign w:val="center"/>
          </w:tcPr>
          <w:p w14:paraId="0937AC24"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tc>
        <w:tc>
          <w:tcPr>
            <w:tcW w:w="461" w:type="pct"/>
            <w:tcBorders>
              <w:top w:val="none" w:sz="4" w:space="0" w:color="000000"/>
              <w:left w:val="none" w:sz="4" w:space="0" w:color="000000"/>
              <w:bottom w:val="single" w:sz="4" w:space="0" w:color="auto"/>
              <w:right w:val="single" w:sz="4" w:space="0" w:color="auto"/>
            </w:tcBorders>
            <w:noWrap/>
            <w:vAlign w:val="center"/>
          </w:tcPr>
          <w:p w14:paraId="37D3857E"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tc>
        <w:tc>
          <w:tcPr>
            <w:tcW w:w="429" w:type="pct"/>
            <w:tcBorders>
              <w:top w:val="none" w:sz="4" w:space="0" w:color="000000"/>
              <w:left w:val="none" w:sz="4" w:space="0" w:color="000000"/>
              <w:bottom w:val="single" w:sz="4" w:space="0" w:color="auto"/>
              <w:right w:val="single" w:sz="4" w:space="0" w:color="auto"/>
            </w:tcBorders>
            <w:noWrap/>
            <w:vAlign w:val="center"/>
          </w:tcPr>
          <w:p w14:paraId="48B51741"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tc>
      </w:tr>
      <w:tr w:rsidR="00602DCA" w14:paraId="74952EE7" w14:textId="77777777">
        <w:trPr>
          <w:trHeight w:val="20"/>
        </w:trPr>
        <w:tc>
          <w:tcPr>
            <w:tcW w:w="202" w:type="pct"/>
            <w:tcBorders>
              <w:top w:val="none" w:sz="4" w:space="0" w:color="000000"/>
              <w:left w:val="single" w:sz="4" w:space="0" w:color="auto"/>
              <w:bottom w:val="single" w:sz="4" w:space="0" w:color="auto"/>
              <w:right w:val="single" w:sz="4" w:space="0" w:color="auto"/>
            </w:tcBorders>
            <w:vAlign w:val="center"/>
          </w:tcPr>
          <w:p w14:paraId="3B7D199E" w14:textId="77777777" w:rsidR="00602DCA" w:rsidRDefault="00C5530C">
            <w:pPr>
              <w:spacing w:after="0" w:line="240" w:lineRule="auto"/>
              <w:jc w:val="righ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29</w:t>
            </w:r>
          </w:p>
        </w:tc>
        <w:tc>
          <w:tcPr>
            <w:tcW w:w="204" w:type="pct"/>
            <w:tcBorders>
              <w:top w:val="none" w:sz="4" w:space="0" w:color="000000"/>
              <w:left w:val="none" w:sz="4" w:space="0" w:color="000000"/>
              <w:bottom w:val="single" w:sz="4" w:space="0" w:color="auto"/>
              <w:right w:val="single" w:sz="4" w:space="0" w:color="auto"/>
            </w:tcBorders>
            <w:vAlign w:val="center"/>
          </w:tcPr>
          <w:p w14:paraId="494C9F76" w14:textId="77777777" w:rsidR="00602DCA" w:rsidRDefault="00C5530C">
            <w:pPr>
              <w:spacing w:after="0" w:line="240" w:lineRule="auto"/>
              <w:jc w:val="righ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22</w:t>
            </w:r>
          </w:p>
        </w:tc>
        <w:tc>
          <w:tcPr>
            <w:tcW w:w="1165" w:type="pct"/>
            <w:tcBorders>
              <w:top w:val="none" w:sz="4" w:space="0" w:color="000000"/>
              <w:left w:val="none" w:sz="4" w:space="0" w:color="000000"/>
              <w:bottom w:val="single" w:sz="4" w:space="0" w:color="auto"/>
              <w:right w:val="single" w:sz="4" w:space="0" w:color="auto"/>
            </w:tcBorders>
            <w:vAlign w:val="center"/>
          </w:tcPr>
          <w:p w14:paraId="1B8E3C46" w14:textId="77777777" w:rsidR="00602DCA" w:rsidRDefault="00C5530C">
            <w:pPr>
              <w:spacing w:after="0" w:line="240" w:lineRule="auto"/>
              <w:rPr>
                <w:rFonts w:asciiTheme="minorHAnsi" w:eastAsia="Times New Roman" w:hAnsiTheme="minorHAnsi" w:cstheme="minorHAnsi"/>
                <w:sz w:val="16"/>
                <w:szCs w:val="20"/>
                <w:lang w:eastAsia="cs-CZ"/>
              </w:rPr>
            </w:pPr>
            <w:r>
              <w:rPr>
                <w:rFonts w:asciiTheme="minorHAnsi" w:eastAsia="Times New Roman" w:hAnsiTheme="minorHAnsi" w:cstheme="minorHAnsi"/>
                <w:sz w:val="16"/>
                <w:szCs w:val="20"/>
                <w:lang w:eastAsia="cs-CZ"/>
              </w:rPr>
              <w:t>Výzkumné a inovační procesy, přenos technologií a spolupráce mezi podniky, výzkumnými středisky a univerzitami se zaměřením na nízkouhlíkové hospodářství, odolnost vůči změně klimatu a přizpůsobování se změně klimatu</w:t>
            </w:r>
          </w:p>
        </w:tc>
        <w:tc>
          <w:tcPr>
            <w:tcW w:w="304" w:type="pct"/>
            <w:tcBorders>
              <w:top w:val="none" w:sz="4" w:space="0" w:color="000000"/>
              <w:left w:val="none" w:sz="4" w:space="0" w:color="000000"/>
              <w:bottom w:val="single" w:sz="4" w:space="0" w:color="auto"/>
              <w:right w:val="single" w:sz="4" w:space="0" w:color="auto"/>
            </w:tcBorders>
            <w:vAlign w:val="center"/>
          </w:tcPr>
          <w:p w14:paraId="3AAB0B11"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100 %</w:t>
            </w:r>
          </w:p>
        </w:tc>
        <w:tc>
          <w:tcPr>
            <w:tcW w:w="259" w:type="pct"/>
            <w:tcBorders>
              <w:top w:val="none" w:sz="4" w:space="0" w:color="000000"/>
              <w:left w:val="none" w:sz="4" w:space="0" w:color="000000"/>
              <w:bottom w:val="single" w:sz="4" w:space="0" w:color="auto"/>
              <w:right w:val="single" w:sz="4" w:space="0" w:color="auto"/>
            </w:tcBorders>
            <w:vAlign w:val="center"/>
          </w:tcPr>
          <w:p w14:paraId="4ED46983"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w:t>
            </w:r>
          </w:p>
        </w:tc>
        <w:tc>
          <w:tcPr>
            <w:tcW w:w="1065" w:type="pct"/>
            <w:gridSpan w:val="2"/>
            <w:tcBorders>
              <w:top w:val="single" w:sz="4" w:space="0" w:color="auto"/>
              <w:left w:val="none" w:sz="4" w:space="0" w:color="000000"/>
              <w:bottom w:val="single" w:sz="4" w:space="0" w:color="auto"/>
              <w:right w:val="single" w:sz="4" w:space="0" w:color="auto"/>
            </w:tcBorders>
            <w:vAlign w:val="center"/>
          </w:tcPr>
          <w:p w14:paraId="45E0945E" w14:textId="77777777" w:rsidR="00602DCA" w:rsidRDefault="00C5530C">
            <w:pPr>
              <w:spacing w:after="24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 xml:space="preserve">DNSH je </w:t>
            </w:r>
            <w:proofErr w:type="gramStart"/>
            <w:r>
              <w:rPr>
                <w:rFonts w:asciiTheme="minorHAnsi" w:eastAsia="Times New Roman" w:hAnsiTheme="minorHAnsi" w:cstheme="minorHAnsi"/>
                <w:color w:val="000000"/>
                <w:sz w:val="16"/>
                <w:szCs w:val="20"/>
                <w:lang w:eastAsia="cs-CZ"/>
              </w:rPr>
              <w:t>splněno - možné</w:t>
            </w:r>
            <w:proofErr w:type="gramEnd"/>
            <w:r>
              <w:rPr>
                <w:rFonts w:asciiTheme="minorHAnsi" w:eastAsia="Times New Roman" w:hAnsiTheme="minorHAnsi" w:cstheme="minorHAnsi"/>
                <w:color w:val="000000"/>
                <w:sz w:val="16"/>
                <w:szCs w:val="20"/>
                <w:lang w:eastAsia="cs-CZ"/>
              </w:rPr>
              <w:t xml:space="preserve"> přiřadit oběma cílům, pokud je podpora zaměřena jak na snižování emisí a energetickou účinnost, tak na adaptační opatření</w:t>
            </w:r>
            <w:r>
              <w:rPr>
                <w:rFonts w:asciiTheme="minorHAnsi" w:eastAsia="Times New Roman" w:hAnsiTheme="minorHAnsi" w:cstheme="minorHAnsi"/>
                <w:color w:val="000000"/>
                <w:sz w:val="16"/>
                <w:szCs w:val="20"/>
                <w:lang w:eastAsia="cs-CZ"/>
              </w:rPr>
              <w:br/>
            </w:r>
            <w:r>
              <w:rPr>
                <w:rFonts w:asciiTheme="minorHAnsi" w:eastAsia="Times New Roman" w:hAnsiTheme="minorHAnsi" w:cstheme="minorHAnsi"/>
                <w:color w:val="000000"/>
                <w:sz w:val="16"/>
                <w:szCs w:val="20"/>
                <w:lang w:eastAsia="cs-CZ"/>
              </w:rPr>
              <w:br/>
            </w:r>
            <w:proofErr w:type="gramStart"/>
            <w:r>
              <w:rPr>
                <w:rFonts w:asciiTheme="minorHAnsi" w:eastAsia="Times New Roman" w:hAnsiTheme="minorHAnsi" w:cstheme="minorHAnsi"/>
                <w:color w:val="000000"/>
                <w:sz w:val="16"/>
                <w:szCs w:val="20"/>
                <w:lang w:eastAsia="cs-CZ"/>
              </w:rPr>
              <w:t>CP</w:t>
            </w:r>
            <w:proofErr w:type="gramEnd"/>
            <w:r>
              <w:rPr>
                <w:rFonts w:asciiTheme="minorHAnsi" w:eastAsia="Times New Roman" w:hAnsiTheme="minorHAnsi" w:cstheme="minorHAnsi"/>
                <w:color w:val="000000"/>
                <w:sz w:val="16"/>
                <w:szCs w:val="20"/>
                <w:lang w:eastAsia="cs-CZ"/>
              </w:rPr>
              <w:t xml:space="preserve"> pokud naplnění definice infrastruktury</w:t>
            </w:r>
          </w:p>
        </w:tc>
        <w:tc>
          <w:tcPr>
            <w:tcW w:w="455" w:type="pct"/>
            <w:tcBorders>
              <w:top w:val="none" w:sz="4" w:space="0" w:color="000000"/>
              <w:left w:val="none" w:sz="4" w:space="0" w:color="000000"/>
              <w:bottom w:val="single" w:sz="4" w:space="0" w:color="auto"/>
              <w:right w:val="single" w:sz="4" w:space="0" w:color="auto"/>
            </w:tcBorders>
            <w:vAlign w:val="center"/>
          </w:tcPr>
          <w:p w14:paraId="53A8A274"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 není pro DNSH dostatečnou zárukou</w:t>
            </w:r>
          </w:p>
        </w:tc>
        <w:tc>
          <w:tcPr>
            <w:tcW w:w="456" w:type="pct"/>
            <w:tcBorders>
              <w:top w:val="none" w:sz="4" w:space="0" w:color="000000"/>
              <w:left w:val="none" w:sz="4" w:space="0" w:color="000000"/>
              <w:bottom w:val="single" w:sz="4" w:space="0" w:color="auto"/>
              <w:right w:val="single" w:sz="4" w:space="0" w:color="auto"/>
            </w:tcBorders>
            <w:vAlign w:val="center"/>
          </w:tcPr>
          <w:p w14:paraId="076D20D9"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 není pro DNSH dostatečnou zárukou</w:t>
            </w:r>
          </w:p>
        </w:tc>
        <w:tc>
          <w:tcPr>
            <w:tcW w:w="461" w:type="pct"/>
            <w:tcBorders>
              <w:top w:val="none" w:sz="4" w:space="0" w:color="000000"/>
              <w:left w:val="none" w:sz="4" w:space="0" w:color="000000"/>
              <w:bottom w:val="single" w:sz="4" w:space="0" w:color="auto"/>
              <w:right w:val="single" w:sz="4" w:space="0" w:color="auto"/>
            </w:tcBorders>
            <w:vAlign w:val="center"/>
          </w:tcPr>
          <w:p w14:paraId="0091DD1B"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 není pro DNSH dostatečnou zárukou</w:t>
            </w:r>
          </w:p>
        </w:tc>
        <w:tc>
          <w:tcPr>
            <w:tcW w:w="429" w:type="pct"/>
            <w:tcBorders>
              <w:top w:val="none" w:sz="4" w:space="0" w:color="000000"/>
              <w:left w:val="none" w:sz="4" w:space="0" w:color="000000"/>
              <w:bottom w:val="single" w:sz="4" w:space="0" w:color="auto"/>
              <w:right w:val="single" w:sz="4" w:space="0" w:color="auto"/>
            </w:tcBorders>
            <w:vAlign w:val="center"/>
          </w:tcPr>
          <w:p w14:paraId="76DC1817"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 není pro DNSH dostatečnou zárukou</w:t>
            </w:r>
          </w:p>
        </w:tc>
      </w:tr>
      <w:tr w:rsidR="00602DCA" w14:paraId="449E3CC1" w14:textId="77777777">
        <w:trPr>
          <w:trHeight w:val="20"/>
        </w:trPr>
        <w:tc>
          <w:tcPr>
            <w:tcW w:w="202" w:type="pct"/>
            <w:tcBorders>
              <w:top w:val="none" w:sz="4" w:space="0" w:color="000000"/>
              <w:left w:val="single" w:sz="4" w:space="0" w:color="auto"/>
              <w:bottom w:val="single" w:sz="4" w:space="0" w:color="auto"/>
              <w:right w:val="single" w:sz="4" w:space="0" w:color="auto"/>
            </w:tcBorders>
            <w:vAlign w:val="center"/>
          </w:tcPr>
          <w:p w14:paraId="1A3545BD" w14:textId="77777777" w:rsidR="00602DCA" w:rsidRDefault="00C5530C">
            <w:pPr>
              <w:spacing w:after="0" w:line="240" w:lineRule="auto"/>
              <w:jc w:val="righ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30</w:t>
            </w:r>
          </w:p>
        </w:tc>
        <w:tc>
          <w:tcPr>
            <w:tcW w:w="204" w:type="pct"/>
            <w:tcBorders>
              <w:top w:val="none" w:sz="4" w:space="0" w:color="000000"/>
              <w:left w:val="none" w:sz="4" w:space="0" w:color="000000"/>
              <w:bottom w:val="single" w:sz="4" w:space="0" w:color="auto"/>
              <w:right w:val="single" w:sz="4" w:space="0" w:color="auto"/>
            </w:tcBorders>
            <w:vAlign w:val="center"/>
          </w:tcPr>
          <w:p w14:paraId="08C113D8" w14:textId="77777777" w:rsidR="00602DCA" w:rsidRDefault="00C5530C">
            <w:pPr>
              <w:spacing w:after="0" w:line="240" w:lineRule="auto"/>
              <w:jc w:val="righ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23</w:t>
            </w:r>
          </w:p>
        </w:tc>
        <w:tc>
          <w:tcPr>
            <w:tcW w:w="1165" w:type="pct"/>
            <w:tcBorders>
              <w:top w:val="none" w:sz="4" w:space="0" w:color="000000"/>
              <w:left w:val="none" w:sz="4" w:space="0" w:color="000000"/>
              <w:bottom w:val="single" w:sz="4" w:space="0" w:color="auto"/>
              <w:right w:val="single" w:sz="4" w:space="0" w:color="auto"/>
            </w:tcBorders>
            <w:vAlign w:val="center"/>
          </w:tcPr>
          <w:p w14:paraId="7222F113"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Výzkumné a inovační procesy, přenos technologií a spolupráce mezi podniky, zaměření na oběhové hospodářství</w:t>
            </w:r>
          </w:p>
        </w:tc>
        <w:tc>
          <w:tcPr>
            <w:tcW w:w="304" w:type="pct"/>
            <w:tcBorders>
              <w:top w:val="none" w:sz="4" w:space="0" w:color="000000"/>
              <w:left w:val="none" w:sz="4" w:space="0" w:color="000000"/>
              <w:bottom w:val="single" w:sz="4" w:space="0" w:color="auto"/>
              <w:right w:val="single" w:sz="4" w:space="0" w:color="auto"/>
            </w:tcBorders>
            <w:vAlign w:val="center"/>
          </w:tcPr>
          <w:p w14:paraId="41875B2A"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w:t>
            </w:r>
          </w:p>
        </w:tc>
        <w:tc>
          <w:tcPr>
            <w:tcW w:w="259" w:type="pct"/>
            <w:tcBorders>
              <w:top w:val="none" w:sz="4" w:space="0" w:color="000000"/>
              <w:left w:val="none" w:sz="4" w:space="0" w:color="000000"/>
              <w:bottom w:val="single" w:sz="4" w:space="0" w:color="auto"/>
              <w:right w:val="single" w:sz="4" w:space="0" w:color="auto"/>
            </w:tcBorders>
            <w:vAlign w:val="center"/>
          </w:tcPr>
          <w:p w14:paraId="00C13E71"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100 %</w:t>
            </w:r>
          </w:p>
        </w:tc>
        <w:tc>
          <w:tcPr>
            <w:tcW w:w="605" w:type="pct"/>
            <w:tcBorders>
              <w:top w:val="none" w:sz="4" w:space="0" w:color="000000"/>
              <w:left w:val="none" w:sz="4" w:space="0" w:color="000000"/>
              <w:bottom w:val="single" w:sz="4" w:space="0" w:color="auto"/>
              <w:right w:val="single" w:sz="4" w:space="0" w:color="auto"/>
            </w:tcBorders>
            <w:vAlign w:val="center"/>
          </w:tcPr>
          <w:p w14:paraId="108522E9"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 není pro DNSH dostatečnou zárukou</w:t>
            </w:r>
            <w:r>
              <w:rPr>
                <w:rFonts w:asciiTheme="minorHAnsi" w:eastAsia="Times New Roman" w:hAnsiTheme="minorHAnsi" w:cstheme="minorHAnsi"/>
                <w:color w:val="000000"/>
                <w:sz w:val="16"/>
                <w:szCs w:val="20"/>
                <w:lang w:eastAsia="cs-CZ"/>
              </w:rPr>
              <w:br/>
            </w:r>
            <w:r>
              <w:rPr>
                <w:rFonts w:asciiTheme="minorHAnsi" w:eastAsia="Times New Roman" w:hAnsiTheme="minorHAnsi" w:cstheme="minorHAnsi"/>
                <w:color w:val="000000"/>
                <w:sz w:val="16"/>
                <w:szCs w:val="20"/>
                <w:lang w:eastAsia="cs-CZ"/>
              </w:rPr>
              <w:br/>
            </w:r>
            <w:proofErr w:type="gramStart"/>
            <w:r>
              <w:rPr>
                <w:rFonts w:asciiTheme="minorHAnsi" w:eastAsia="Times New Roman" w:hAnsiTheme="minorHAnsi" w:cstheme="minorHAnsi"/>
                <w:color w:val="000000"/>
                <w:sz w:val="16"/>
                <w:szCs w:val="20"/>
                <w:lang w:eastAsia="cs-CZ"/>
              </w:rPr>
              <w:t>CP</w:t>
            </w:r>
            <w:proofErr w:type="gramEnd"/>
            <w:r>
              <w:rPr>
                <w:rFonts w:asciiTheme="minorHAnsi" w:eastAsia="Times New Roman" w:hAnsiTheme="minorHAnsi" w:cstheme="minorHAnsi"/>
                <w:color w:val="000000"/>
                <w:sz w:val="16"/>
                <w:szCs w:val="20"/>
                <w:lang w:eastAsia="cs-CZ"/>
              </w:rPr>
              <w:t xml:space="preserve"> pokud naplnění definice infrastruktury</w:t>
            </w:r>
          </w:p>
        </w:tc>
        <w:tc>
          <w:tcPr>
            <w:tcW w:w="460" w:type="pct"/>
            <w:tcBorders>
              <w:top w:val="none" w:sz="4" w:space="0" w:color="000000"/>
              <w:left w:val="none" w:sz="4" w:space="0" w:color="000000"/>
              <w:bottom w:val="single" w:sz="4" w:space="0" w:color="auto"/>
              <w:right w:val="single" w:sz="4" w:space="0" w:color="auto"/>
            </w:tcBorders>
            <w:vAlign w:val="center"/>
          </w:tcPr>
          <w:p w14:paraId="5E98FE6A"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 není pro DNSH dostatečnou zárukou</w:t>
            </w:r>
            <w:r>
              <w:rPr>
                <w:rFonts w:asciiTheme="minorHAnsi" w:eastAsia="Times New Roman" w:hAnsiTheme="minorHAnsi" w:cstheme="minorHAnsi"/>
                <w:color w:val="000000"/>
                <w:sz w:val="16"/>
                <w:szCs w:val="20"/>
                <w:lang w:eastAsia="cs-CZ"/>
              </w:rPr>
              <w:br/>
            </w:r>
            <w:r>
              <w:rPr>
                <w:rFonts w:asciiTheme="minorHAnsi" w:eastAsia="Times New Roman" w:hAnsiTheme="minorHAnsi" w:cstheme="minorHAnsi"/>
                <w:color w:val="000000"/>
                <w:sz w:val="16"/>
                <w:szCs w:val="20"/>
                <w:lang w:eastAsia="cs-CZ"/>
              </w:rPr>
              <w:br/>
            </w:r>
            <w:proofErr w:type="gramStart"/>
            <w:r>
              <w:rPr>
                <w:rFonts w:asciiTheme="minorHAnsi" w:eastAsia="Times New Roman" w:hAnsiTheme="minorHAnsi" w:cstheme="minorHAnsi"/>
                <w:color w:val="000000"/>
                <w:sz w:val="16"/>
                <w:szCs w:val="20"/>
                <w:lang w:eastAsia="cs-CZ"/>
              </w:rPr>
              <w:t>CP</w:t>
            </w:r>
            <w:proofErr w:type="gramEnd"/>
            <w:r>
              <w:rPr>
                <w:rFonts w:asciiTheme="minorHAnsi" w:eastAsia="Times New Roman" w:hAnsiTheme="minorHAnsi" w:cstheme="minorHAnsi"/>
                <w:color w:val="000000"/>
                <w:sz w:val="16"/>
                <w:szCs w:val="20"/>
                <w:lang w:eastAsia="cs-CZ"/>
              </w:rPr>
              <w:t xml:space="preserve"> pokud naplnění definice infrastruktury</w:t>
            </w:r>
          </w:p>
        </w:tc>
        <w:tc>
          <w:tcPr>
            <w:tcW w:w="455" w:type="pct"/>
            <w:tcBorders>
              <w:top w:val="none" w:sz="4" w:space="0" w:color="000000"/>
              <w:left w:val="none" w:sz="4" w:space="0" w:color="000000"/>
              <w:bottom w:val="single" w:sz="4" w:space="0" w:color="auto"/>
              <w:right w:val="single" w:sz="4" w:space="0" w:color="auto"/>
            </w:tcBorders>
            <w:vAlign w:val="center"/>
          </w:tcPr>
          <w:p w14:paraId="2E650F93"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tc>
        <w:tc>
          <w:tcPr>
            <w:tcW w:w="456" w:type="pct"/>
            <w:tcBorders>
              <w:top w:val="none" w:sz="4" w:space="0" w:color="000000"/>
              <w:left w:val="none" w:sz="4" w:space="0" w:color="000000"/>
              <w:bottom w:val="single" w:sz="4" w:space="0" w:color="auto"/>
              <w:right w:val="single" w:sz="4" w:space="0" w:color="auto"/>
            </w:tcBorders>
            <w:vAlign w:val="center"/>
          </w:tcPr>
          <w:p w14:paraId="76133B23"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 xml:space="preserve">DNSH je splněno, pokud je výlučně na podporu oběhového </w:t>
            </w:r>
            <w:proofErr w:type="spellStart"/>
            <w:r>
              <w:rPr>
                <w:rFonts w:asciiTheme="minorHAnsi" w:eastAsia="Times New Roman" w:hAnsiTheme="minorHAnsi" w:cstheme="minorHAnsi"/>
                <w:color w:val="000000"/>
                <w:sz w:val="16"/>
                <w:szCs w:val="20"/>
                <w:lang w:eastAsia="cs-CZ"/>
              </w:rPr>
              <w:t>hosp</w:t>
            </w:r>
            <w:proofErr w:type="spellEnd"/>
            <w:r>
              <w:rPr>
                <w:rFonts w:asciiTheme="minorHAnsi" w:eastAsia="Times New Roman" w:hAnsiTheme="minorHAnsi" w:cstheme="minorHAnsi"/>
                <w:color w:val="000000"/>
                <w:sz w:val="16"/>
                <w:szCs w:val="20"/>
                <w:lang w:eastAsia="cs-CZ"/>
              </w:rPr>
              <w:t>., pro části opatření je jinak nutné posoudit podmínky DNSH</w:t>
            </w:r>
          </w:p>
        </w:tc>
        <w:tc>
          <w:tcPr>
            <w:tcW w:w="461" w:type="pct"/>
            <w:tcBorders>
              <w:top w:val="none" w:sz="4" w:space="0" w:color="000000"/>
              <w:left w:val="none" w:sz="4" w:space="0" w:color="000000"/>
              <w:bottom w:val="single" w:sz="4" w:space="0" w:color="auto"/>
              <w:right w:val="single" w:sz="4" w:space="0" w:color="auto"/>
            </w:tcBorders>
            <w:vAlign w:val="center"/>
          </w:tcPr>
          <w:p w14:paraId="5AD0AB85"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tc>
        <w:tc>
          <w:tcPr>
            <w:tcW w:w="429" w:type="pct"/>
            <w:tcBorders>
              <w:top w:val="none" w:sz="4" w:space="0" w:color="000000"/>
              <w:left w:val="none" w:sz="4" w:space="0" w:color="000000"/>
              <w:bottom w:val="single" w:sz="4" w:space="0" w:color="auto"/>
              <w:right w:val="single" w:sz="4" w:space="0" w:color="auto"/>
            </w:tcBorders>
            <w:vAlign w:val="center"/>
          </w:tcPr>
          <w:p w14:paraId="1250E642"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tc>
      </w:tr>
      <w:tr w:rsidR="00602DCA" w14:paraId="2C3562AC" w14:textId="77777777">
        <w:trPr>
          <w:trHeight w:val="20"/>
        </w:trPr>
        <w:tc>
          <w:tcPr>
            <w:tcW w:w="202" w:type="pct"/>
            <w:tcBorders>
              <w:top w:val="none" w:sz="4" w:space="0" w:color="000000"/>
              <w:left w:val="single" w:sz="4" w:space="0" w:color="auto"/>
              <w:bottom w:val="single" w:sz="4" w:space="0" w:color="auto"/>
              <w:right w:val="single" w:sz="4" w:space="0" w:color="auto"/>
            </w:tcBorders>
            <w:vAlign w:val="center"/>
          </w:tcPr>
          <w:p w14:paraId="058D9C99" w14:textId="77777777" w:rsidR="00602DCA" w:rsidRDefault="00C5530C">
            <w:pPr>
              <w:spacing w:after="0" w:line="240" w:lineRule="auto"/>
              <w:jc w:val="righ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37</w:t>
            </w:r>
          </w:p>
        </w:tc>
        <w:tc>
          <w:tcPr>
            <w:tcW w:w="204" w:type="pct"/>
            <w:tcBorders>
              <w:top w:val="none" w:sz="4" w:space="0" w:color="000000"/>
              <w:left w:val="none" w:sz="4" w:space="0" w:color="000000"/>
              <w:bottom w:val="single" w:sz="4" w:space="0" w:color="auto"/>
              <w:right w:val="single" w:sz="4" w:space="0" w:color="auto"/>
            </w:tcBorders>
            <w:vAlign w:val="center"/>
          </w:tcPr>
          <w:p w14:paraId="24BD3CF3" w14:textId="77777777" w:rsidR="00602DCA" w:rsidRDefault="00C5530C">
            <w:pPr>
              <w:spacing w:after="0" w:line="240" w:lineRule="auto"/>
              <w:rPr>
                <w:rFonts w:asciiTheme="minorHAnsi" w:eastAsia="Times New Roman" w:hAnsiTheme="minorHAnsi" w:cstheme="minorHAnsi"/>
                <w:color w:val="000000"/>
                <w:sz w:val="16"/>
                <w:szCs w:val="20"/>
                <w:lang w:eastAsia="cs-CZ"/>
              </w:rPr>
            </w:pPr>
            <w:proofErr w:type="gramStart"/>
            <w:r>
              <w:rPr>
                <w:rFonts w:asciiTheme="minorHAnsi" w:eastAsia="Times New Roman" w:hAnsiTheme="minorHAnsi" w:cstheme="minorHAnsi"/>
                <w:color w:val="000000"/>
                <w:sz w:val="16"/>
                <w:szCs w:val="20"/>
                <w:lang w:eastAsia="cs-CZ"/>
              </w:rPr>
              <w:t>055a</w:t>
            </w:r>
            <w:proofErr w:type="gramEnd"/>
          </w:p>
        </w:tc>
        <w:tc>
          <w:tcPr>
            <w:tcW w:w="1165" w:type="pct"/>
            <w:tcBorders>
              <w:top w:val="none" w:sz="4" w:space="0" w:color="000000"/>
              <w:left w:val="none" w:sz="4" w:space="0" w:color="000000"/>
              <w:bottom w:val="single" w:sz="4" w:space="0" w:color="auto"/>
              <w:right w:val="single" w:sz="4" w:space="0" w:color="auto"/>
            </w:tcBorders>
            <w:vAlign w:val="center"/>
          </w:tcPr>
          <w:p w14:paraId="0AD805EE" w14:textId="77777777" w:rsidR="00602DCA" w:rsidRDefault="00602DCA">
            <w:pPr>
              <w:spacing w:after="0" w:line="240" w:lineRule="auto"/>
              <w:rPr>
                <w:rFonts w:asciiTheme="minorHAnsi" w:eastAsia="Times New Roman" w:hAnsiTheme="minorHAnsi" w:cstheme="minorHAnsi"/>
                <w:color w:val="0563C1"/>
                <w:sz w:val="16"/>
                <w:szCs w:val="20"/>
                <w:u w:val="single"/>
                <w:lang w:eastAsia="cs-CZ"/>
              </w:rPr>
            </w:pPr>
            <w:hyperlink r:id="rId162" w:anchor="E0029" w:tooltip="https://eur-lex.europa.eu/legal-content/CS/TXT/?uri=CELEX%3A02021R1060-20210630&amp;qid=1659091609743#E0029" w:history="1">
              <w:r>
                <w:rPr>
                  <w:rFonts w:asciiTheme="minorHAnsi" w:eastAsia="Times New Roman" w:hAnsiTheme="minorHAnsi" w:cstheme="minorHAnsi"/>
                  <w:color w:val="0563C1"/>
                  <w:sz w:val="16"/>
                  <w:szCs w:val="20"/>
                  <w:u w:val="single"/>
                  <w:lang w:eastAsia="cs-CZ"/>
                </w:rPr>
                <w:t xml:space="preserve">IKT: Jiné druhy infrastruktury IKT (včetně rozsáhlých počítačových zdrojů/zařízení, </w:t>
              </w:r>
              <w:r>
                <w:rPr>
                  <w:rFonts w:asciiTheme="minorHAnsi" w:eastAsia="Times New Roman" w:hAnsiTheme="minorHAnsi" w:cstheme="minorHAnsi"/>
                  <w:color w:val="0563C1"/>
                  <w:sz w:val="16"/>
                  <w:szCs w:val="20"/>
                  <w:u w:val="single"/>
                  <w:lang w:eastAsia="cs-CZ"/>
                </w:rPr>
                <w:lastRenderedPageBreak/>
                <w:t>datových center, čidel a dalšího bezdrátového zařízení) v souladu s kritérii pro snížení emisí uhlíku nebo s kritérii energetické účinnosti (8)</w:t>
              </w:r>
            </w:hyperlink>
          </w:p>
        </w:tc>
        <w:tc>
          <w:tcPr>
            <w:tcW w:w="304" w:type="pct"/>
            <w:tcBorders>
              <w:top w:val="none" w:sz="4" w:space="0" w:color="000000"/>
              <w:left w:val="none" w:sz="4" w:space="0" w:color="000000"/>
              <w:bottom w:val="single" w:sz="4" w:space="0" w:color="auto"/>
              <w:right w:val="single" w:sz="4" w:space="0" w:color="auto"/>
            </w:tcBorders>
            <w:vAlign w:val="center"/>
          </w:tcPr>
          <w:p w14:paraId="1C683229"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lastRenderedPageBreak/>
              <w:t>40 %</w:t>
            </w:r>
          </w:p>
        </w:tc>
        <w:tc>
          <w:tcPr>
            <w:tcW w:w="259" w:type="pct"/>
            <w:tcBorders>
              <w:top w:val="none" w:sz="4" w:space="0" w:color="000000"/>
              <w:left w:val="none" w:sz="4" w:space="0" w:color="000000"/>
              <w:bottom w:val="single" w:sz="4" w:space="0" w:color="auto"/>
              <w:right w:val="single" w:sz="4" w:space="0" w:color="auto"/>
            </w:tcBorders>
            <w:vAlign w:val="center"/>
          </w:tcPr>
          <w:p w14:paraId="6459194C"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0 %</w:t>
            </w:r>
          </w:p>
        </w:tc>
        <w:tc>
          <w:tcPr>
            <w:tcW w:w="605" w:type="pct"/>
            <w:tcBorders>
              <w:top w:val="none" w:sz="4" w:space="0" w:color="000000"/>
              <w:left w:val="none" w:sz="4" w:space="0" w:color="000000"/>
              <w:bottom w:val="single" w:sz="4" w:space="0" w:color="auto"/>
              <w:right w:val="single" w:sz="4" w:space="0" w:color="auto"/>
            </w:tcBorders>
            <w:vAlign w:val="center"/>
          </w:tcPr>
          <w:p w14:paraId="492C609C"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 není pro DNSH dostatečnou zárukou</w:t>
            </w:r>
            <w:r>
              <w:rPr>
                <w:rFonts w:asciiTheme="minorHAnsi" w:eastAsia="Times New Roman" w:hAnsiTheme="minorHAnsi" w:cstheme="minorHAnsi"/>
                <w:color w:val="000000"/>
                <w:sz w:val="16"/>
                <w:szCs w:val="20"/>
                <w:lang w:eastAsia="cs-CZ"/>
              </w:rPr>
              <w:br/>
            </w:r>
            <w:r>
              <w:rPr>
                <w:rFonts w:asciiTheme="minorHAnsi" w:eastAsia="Times New Roman" w:hAnsiTheme="minorHAnsi" w:cstheme="minorHAnsi"/>
                <w:color w:val="000000"/>
                <w:sz w:val="16"/>
                <w:szCs w:val="20"/>
                <w:lang w:eastAsia="cs-CZ"/>
              </w:rPr>
              <w:lastRenderedPageBreak/>
              <w:br/>
            </w:r>
            <w:proofErr w:type="gramStart"/>
            <w:r>
              <w:rPr>
                <w:rFonts w:asciiTheme="minorHAnsi" w:eastAsia="Times New Roman" w:hAnsiTheme="minorHAnsi" w:cstheme="minorHAnsi"/>
                <w:color w:val="000000"/>
                <w:sz w:val="16"/>
                <w:szCs w:val="20"/>
                <w:lang w:eastAsia="cs-CZ"/>
              </w:rPr>
              <w:t>CP</w:t>
            </w:r>
            <w:proofErr w:type="gramEnd"/>
            <w:r>
              <w:rPr>
                <w:rFonts w:asciiTheme="minorHAnsi" w:eastAsia="Times New Roman" w:hAnsiTheme="minorHAnsi" w:cstheme="minorHAnsi"/>
                <w:color w:val="000000"/>
                <w:sz w:val="16"/>
                <w:szCs w:val="20"/>
                <w:lang w:eastAsia="cs-CZ"/>
              </w:rPr>
              <w:t xml:space="preserve"> pokud naplnění definice infrastruktury</w:t>
            </w:r>
          </w:p>
        </w:tc>
        <w:tc>
          <w:tcPr>
            <w:tcW w:w="460" w:type="pct"/>
            <w:tcBorders>
              <w:top w:val="none" w:sz="4" w:space="0" w:color="000000"/>
              <w:left w:val="none" w:sz="4" w:space="0" w:color="000000"/>
              <w:bottom w:val="single" w:sz="4" w:space="0" w:color="auto"/>
              <w:right w:val="single" w:sz="4" w:space="0" w:color="auto"/>
            </w:tcBorders>
            <w:vAlign w:val="center"/>
          </w:tcPr>
          <w:p w14:paraId="46831F02"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lastRenderedPageBreak/>
              <w:t>DNSH nutné posoudit</w:t>
            </w:r>
            <w:r>
              <w:rPr>
                <w:rFonts w:asciiTheme="minorHAnsi" w:eastAsia="Times New Roman" w:hAnsiTheme="minorHAnsi" w:cstheme="minorHAnsi"/>
                <w:color w:val="000000"/>
                <w:sz w:val="16"/>
                <w:szCs w:val="20"/>
                <w:lang w:eastAsia="cs-CZ"/>
              </w:rPr>
              <w:br/>
            </w:r>
            <w:r>
              <w:rPr>
                <w:rFonts w:asciiTheme="minorHAnsi" w:eastAsia="Times New Roman" w:hAnsiTheme="minorHAnsi" w:cstheme="minorHAnsi"/>
                <w:color w:val="000000"/>
                <w:sz w:val="16"/>
                <w:szCs w:val="20"/>
                <w:lang w:eastAsia="cs-CZ"/>
              </w:rPr>
              <w:lastRenderedPageBreak/>
              <w:br/>
            </w:r>
            <w:proofErr w:type="gramStart"/>
            <w:r>
              <w:rPr>
                <w:rFonts w:asciiTheme="minorHAnsi" w:eastAsia="Times New Roman" w:hAnsiTheme="minorHAnsi" w:cstheme="minorHAnsi"/>
                <w:color w:val="000000"/>
                <w:sz w:val="16"/>
                <w:szCs w:val="20"/>
                <w:lang w:eastAsia="cs-CZ"/>
              </w:rPr>
              <w:t>CP</w:t>
            </w:r>
            <w:proofErr w:type="gramEnd"/>
            <w:r>
              <w:rPr>
                <w:rFonts w:asciiTheme="minorHAnsi" w:eastAsia="Times New Roman" w:hAnsiTheme="minorHAnsi" w:cstheme="minorHAnsi"/>
                <w:color w:val="000000"/>
                <w:sz w:val="16"/>
                <w:szCs w:val="20"/>
                <w:lang w:eastAsia="cs-CZ"/>
              </w:rPr>
              <w:t xml:space="preserve"> pokud naplnění definice infrastruktury</w:t>
            </w:r>
          </w:p>
        </w:tc>
        <w:tc>
          <w:tcPr>
            <w:tcW w:w="455" w:type="pct"/>
            <w:tcBorders>
              <w:top w:val="none" w:sz="4" w:space="0" w:color="000000"/>
              <w:left w:val="none" w:sz="4" w:space="0" w:color="000000"/>
              <w:bottom w:val="single" w:sz="4" w:space="0" w:color="auto"/>
              <w:right w:val="single" w:sz="4" w:space="0" w:color="auto"/>
            </w:tcBorders>
            <w:noWrap/>
            <w:vAlign w:val="center"/>
          </w:tcPr>
          <w:p w14:paraId="2F495D81"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lastRenderedPageBreak/>
              <w:t>DNSH nutné posoudit</w:t>
            </w:r>
          </w:p>
        </w:tc>
        <w:tc>
          <w:tcPr>
            <w:tcW w:w="456" w:type="pct"/>
            <w:tcBorders>
              <w:top w:val="none" w:sz="4" w:space="0" w:color="000000"/>
              <w:left w:val="none" w:sz="4" w:space="0" w:color="000000"/>
              <w:bottom w:val="single" w:sz="4" w:space="0" w:color="auto"/>
              <w:right w:val="single" w:sz="4" w:space="0" w:color="auto"/>
            </w:tcBorders>
            <w:noWrap/>
            <w:vAlign w:val="center"/>
          </w:tcPr>
          <w:p w14:paraId="2C94E62C"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tc>
        <w:tc>
          <w:tcPr>
            <w:tcW w:w="461" w:type="pct"/>
            <w:tcBorders>
              <w:top w:val="none" w:sz="4" w:space="0" w:color="000000"/>
              <w:left w:val="none" w:sz="4" w:space="0" w:color="000000"/>
              <w:bottom w:val="single" w:sz="4" w:space="0" w:color="auto"/>
              <w:right w:val="single" w:sz="4" w:space="0" w:color="auto"/>
            </w:tcBorders>
            <w:noWrap/>
            <w:vAlign w:val="center"/>
          </w:tcPr>
          <w:p w14:paraId="674EE453"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tc>
        <w:tc>
          <w:tcPr>
            <w:tcW w:w="429" w:type="pct"/>
            <w:tcBorders>
              <w:top w:val="none" w:sz="4" w:space="0" w:color="000000"/>
              <w:left w:val="none" w:sz="4" w:space="0" w:color="000000"/>
              <w:bottom w:val="single" w:sz="4" w:space="0" w:color="auto"/>
              <w:right w:val="single" w:sz="4" w:space="0" w:color="auto"/>
            </w:tcBorders>
            <w:noWrap/>
            <w:vAlign w:val="center"/>
          </w:tcPr>
          <w:p w14:paraId="589A22C9"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tc>
      </w:tr>
      <w:tr w:rsidR="00602DCA" w14:paraId="6C0C4E89" w14:textId="77777777">
        <w:trPr>
          <w:trHeight w:val="20"/>
        </w:trPr>
        <w:tc>
          <w:tcPr>
            <w:tcW w:w="5000" w:type="pct"/>
            <w:gridSpan w:val="11"/>
            <w:tcBorders>
              <w:top w:val="single" w:sz="4" w:space="0" w:color="auto"/>
              <w:left w:val="single" w:sz="4" w:space="0" w:color="auto"/>
              <w:bottom w:val="single" w:sz="4" w:space="0" w:color="auto"/>
              <w:right w:val="single" w:sz="4" w:space="0" w:color="auto"/>
            </w:tcBorders>
            <w:vAlign w:val="center"/>
          </w:tcPr>
          <w:p w14:paraId="1717184F"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Cíl politiky 2: Zelenější, nízkouhlíkový přechod k uhlíkově neutrálnímu hospodářství a odolná Evropa díky podpoře spravedlivého přechodu na čistou energii, zelených a modrých investic, oběhového hospodářství, zmírňování změny klimatu a přizpůsobení se této změně, prevence a řízení rizik a udržitelná městská mobilita</w:t>
            </w:r>
          </w:p>
        </w:tc>
      </w:tr>
      <w:tr w:rsidR="00602DCA" w14:paraId="62B7AC50" w14:textId="77777777">
        <w:trPr>
          <w:trHeight w:val="20"/>
        </w:trPr>
        <w:tc>
          <w:tcPr>
            <w:tcW w:w="202" w:type="pct"/>
            <w:tcBorders>
              <w:top w:val="none" w:sz="4" w:space="0" w:color="000000"/>
              <w:left w:val="single" w:sz="4" w:space="0" w:color="auto"/>
              <w:bottom w:val="single" w:sz="4" w:space="0" w:color="auto"/>
              <w:right w:val="single" w:sz="4" w:space="0" w:color="auto"/>
            </w:tcBorders>
            <w:vAlign w:val="center"/>
          </w:tcPr>
          <w:p w14:paraId="2F2DD4AF" w14:textId="77777777" w:rsidR="00602DCA" w:rsidRDefault="00C5530C">
            <w:pPr>
              <w:spacing w:after="0" w:line="240" w:lineRule="auto"/>
              <w:jc w:val="righ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38</w:t>
            </w:r>
          </w:p>
        </w:tc>
        <w:tc>
          <w:tcPr>
            <w:tcW w:w="204" w:type="pct"/>
            <w:tcBorders>
              <w:top w:val="none" w:sz="4" w:space="0" w:color="000000"/>
              <w:left w:val="none" w:sz="4" w:space="0" w:color="000000"/>
              <w:bottom w:val="single" w:sz="4" w:space="0" w:color="auto"/>
              <w:right w:val="single" w:sz="4" w:space="0" w:color="auto"/>
            </w:tcBorders>
            <w:vAlign w:val="center"/>
          </w:tcPr>
          <w:p w14:paraId="0C44FB3E" w14:textId="77777777" w:rsidR="00602DCA" w:rsidRDefault="00C5530C">
            <w:pPr>
              <w:spacing w:after="0" w:line="240" w:lineRule="auto"/>
              <w:jc w:val="righ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24</w:t>
            </w:r>
          </w:p>
        </w:tc>
        <w:tc>
          <w:tcPr>
            <w:tcW w:w="1165" w:type="pct"/>
            <w:tcBorders>
              <w:top w:val="none" w:sz="4" w:space="0" w:color="000000"/>
              <w:left w:val="none" w:sz="4" w:space="0" w:color="000000"/>
              <w:bottom w:val="single" w:sz="4" w:space="0" w:color="auto"/>
              <w:right w:val="single" w:sz="4" w:space="0" w:color="auto"/>
            </w:tcBorders>
            <w:vAlign w:val="center"/>
          </w:tcPr>
          <w:p w14:paraId="4D673FCE"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Energetická účinnost a demonstrační projekty v malých a středních podnicích a podpůrná opatření</w:t>
            </w:r>
          </w:p>
        </w:tc>
        <w:tc>
          <w:tcPr>
            <w:tcW w:w="304" w:type="pct"/>
            <w:tcBorders>
              <w:top w:val="none" w:sz="4" w:space="0" w:color="000000"/>
              <w:left w:val="none" w:sz="4" w:space="0" w:color="000000"/>
              <w:bottom w:val="single" w:sz="4" w:space="0" w:color="auto"/>
              <w:right w:val="single" w:sz="4" w:space="0" w:color="auto"/>
            </w:tcBorders>
            <w:vAlign w:val="center"/>
          </w:tcPr>
          <w:p w14:paraId="0D07AA37"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w:t>
            </w:r>
          </w:p>
        </w:tc>
        <w:tc>
          <w:tcPr>
            <w:tcW w:w="259" w:type="pct"/>
            <w:tcBorders>
              <w:top w:val="none" w:sz="4" w:space="0" w:color="000000"/>
              <w:left w:val="none" w:sz="4" w:space="0" w:color="000000"/>
              <w:bottom w:val="single" w:sz="4" w:space="0" w:color="auto"/>
              <w:right w:val="single" w:sz="4" w:space="0" w:color="auto"/>
            </w:tcBorders>
            <w:vAlign w:val="center"/>
          </w:tcPr>
          <w:p w14:paraId="7A19B46D"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w:t>
            </w:r>
          </w:p>
        </w:tc>
        <w:tc>
          <w:tcPr>
            <w:tcW w:w="605" w:type="pct"/>
            <w:tcBorders>
              <w:top w:val="none" w:sz="4" w:space="0" w:color="000000"/>
              <w:left w:val="none" w:sz="4" w:space="0" w:color="000000"/>
              <w:bottom w:val="single" w:sz="4" w:space="0" w:color="auto"/>
              <w:right w:val="single" w:sz="4" w:space="0" w:color="auto"/>
            </w:tcBorders>
            <w:vAlign w:val="center"/>
          </w:tcPr>
          <w:p w14:paraId="472BBF7F"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 není pro DNSH dostatečnou zárukou</w:t>
            </w:r>
            <w:r>
              <w:rPr>
                <w:rFonts w:asciiTheme="minorHAnsi" w:eastAsia="Times New Roman" w:hAnsiTheme="minorHAnsi" w:cstheme="minorHAnsi"/>
                <w:color w:val="000000"/>
                <w:sz w:val="16"/>
                <w:szCs w:val="20"/>
                <w:lang w:eastAsia="cs-CZ"/>
              </w:rPr>
              <w:br/>
            </w:r>
            <w:r>
              <w:rPr>
                <w:rFonts w:asciiTheme="minorHAnsi" w:eastAsia="Times New Roman" w:hAnsiTheme="minorHAnsi" w:cstheme="minorHAnsi"/>
                <w:color w:val="000000"/>
                <w:sz w:val="16"/>
                <w:szCs w:val="20"/>
                <w:lang w:eastAsia="cs-CZ"/>
              </w:rPr>
              <w:br/>
            </w:r>
            <w:proofErr w:type="gramStart"/>
            <w:r>
              <w:rPr>
                <w:rFonts w:asciiTheme="minorHAnsi" w:eastAsia="Times New Roman" w:hAnsiTheme="minorHAnsi" w:cstheme="minorHAnsi"/>
                <w:color w:val="000000"/>
                <w:sz w:val="16"/>
                <w:szCs w:val="20"/>
                <w:lang w:eastAsia="cs-CZ"/>
              </w:rPr>
              <w:t>CP</w:t>
            </w:r>
            <w:proofErr w:type="gramEnd"/>
            <w:r>
              <w:rPr>
                <w:rFonts w:asciiTheme="minorHAnsi" w:eastAsia="Times New Roman" w:hAnsiTheme="minorHAnsi" w:cstheme="minorHAnsi"/>
                <w:color w:val="000000"/>
                <w:sz w:val="16"/>
                <w:szCs w:val="20"/>
                <w:lang w:eastAsia="cs-CZ"/>
              </w:rPr>
              <w:t xml:space="preserve"> pokud naplnění definice infrastruktury</w:t>
            </w:r>
          </w:p>
        </w:tc>
        <w:tc>
          <w:tcPr>
            <w:tcW w:w="460" w:type="pct"/>
            <w:tcBorders>
              <w:top w:val="none" w:sz="4" w:space="0" w:color="000000"/>
              <w:left w:val="none" w:sz="4" w:space="0" w:color="000000"/>
              <w:bottom w:val="single" w:sz="4" w:space="0" w:color="auto"/>
              <w:right w:val="single" w:sz="4" w:space="0" w:color="auto"/>
            </w:tcBorders>
            <w:vAlign w:val="center"/>
          </w:tcPr>
          <w:p w14:paraId="745E3563"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 není pro DNSH dostatečnou zárukou</w:t>
            </w:r>
            <w:r>
              <w:rPr>
                <w:rFonts w:asciiTheme="minorHAnsi" w:eastAsia="Times New Roman" w:hAnsiTheme="minorHAnsi" w:cstheme="minorHAnsi"/>
                <w:color w:val="000000"/>
                <w:sz w:val="16"/>
                <w:szCs w:val="20"/>
                <w:lang w:eastAsia="cs-CZ"/>
              </w:rPr>
              <w:br/>
            </w:r>
            <w:r>
              <w:rPr>
                <w:rFonts w:asciiTheme="minorHAnsi" w:eastAsia="Times New Roman" w:hAnsiTheme="minorHAnsi" w:cstheme="minorHAnsi"/>
                <w:color w:val="000000"/>
                <w:sz w:val="16"/>
                <w:szCs w:val="20"/>
                <w:lang w:eastAsia="cs-CZ"/>
              </w:rPr>
              <w:br/>
            </w:r>
            <w:proofErr w:type="gramStart"/>
            <w:r>
              <w:rPr>
                <w:rFonts w:asciiTheme="minorHAnsi" w:eastAsia="Times New Roman" w:hAnsiTheme="minorHAnsi" w:cstheme="minorHAnsi"/>
                <w:color w:val="000000"/>
                <w:sz w:val="16"/>
                <w:szCs w:val="20"/>
                <w:lang w:eastAsia="cs-CZ"/>
              </w:rPr>
              <w:t>CP</w:t>
            </w:r>
            <w:proofErr w:type="gramEnd"/>
            <w:r>
              <w:rPr>
                <w:rFonts w:asciiTheme="minorHAnsi" w:eastAsia="Times New Roman" w:hAnsiTheme="minorHAnsi" w:cstheme="minorHAnsi"/>
                <w:color w:val="000000"/>
                <w:sz w:val="16"/>
                <w:szCs w:val="20"/>
                <w:lang w:eastAsia="cs-CZ"/>
              </w:rPr>
              <w:t xml:space="preserve"> pokud naplnění definice infrastruktury</w:t>
            </w:r>
          </w:p>
        </w:tc>
        <w:tc>
          <w:tcPr>
            <w:tcW w:w="455" w:type="pct"/>
            <w:tcBorders>
              <w:top w:val="none" w:sz="4" w:space="0" w:color="000000"/>
              <w:left w:val="none" w:sz="4" w:space="0" w:color="000000"/>
              <w:bottom w:val="single" w:sz="4" w:space="0" w:color="auto"/>
              <w:right w:val="single" w:sz="4" w:space="0" w:color="auto"/>
            </w:tcBorders>
            <w:vAlign w:val="center"/>
          </w:tcPr>
          <w:p w14:paraId="5D331764"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 není pro DNSH dostatečnou zárukou</w:t>
            </w:r>
          </w:p>
        </w:tc>
        <w:tc>
          <w:tcPr>
            <w:tcW w:w="456" w:type="pct"/>
            <w:tcBorders>
              <w:top w:val="none" w:sz="4" w:space="0" w:color="000000"/>
              <w:left w:val="none" w:sz="4" w:space="0" w:color="000000"/>
              <w:bottom w:val="single" w:sz="4" w:space="0" w:color="auto"/>
              <w:right w:val="single" w:sz="4" w:space="0" w:color="auto"/>
            </w:tcBorders>
            <w:vAlign w:val="center"/>
          </w:tcPr>
          <w:p w14:paraId="0C153E0F"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 není pro DNSH dostatečnou zárukou</w:t>
            </w:r>
          </w:p>
        </w:tc>
        <w:tc>
          <w:tcPr>
            <w:tcW w:w="461" w:type="pct"/>
            <w:tcBorders>
              <w:top w:val="none" w:sz="4" w:space="0" w:color="000000"/>
              <w:left w:val="none" w:sz="4" w:space="0" w:color="000000"/>
              <w:bottom w:val="single" w:sz="4" w:space="0" w:color="auto"/>
              <w:right w:val="single" w:sz="4" w:space="0" w:color="auto"/>
            </w:tcBorders>
            <w:vAlign w:val="center"/>
          </w:tcPr>
          <w:p w14:paraId="25FA7A0D"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 není pro DNSH dostatečnou zárukou</w:t>
            </w:r>
          </w:p>
        </w:tc>
        <w:tc>
          <w:tcPr>
            <w:tcW w:w="429" w:type="pct"/>
            <w:tcBorders>
              <w:top w:val="none" w:sz="4" w:space="0" w:color="000000"/>
              <w:left w:val="none" w:sz="4" w:space="0" w:color="000000"/>
              <w:bottom w:val="single" w:sz="4" w:space="0" w:color="auto"/>
              <w:right w:val="single" w:sz="4" w:space="0" w:color="auto"/>
            </w:tcBorders>
            <w:vAlign w:val="center"/>
          </w:tcPr>
          <w:p w14:paraId="15290BD5"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 není pro DNSH dostatečnou zárukou</w:t>
            </w:r>
          </w:p>
        </w:tc>
      </w:tr>
      <w:tr w:rsidR="00602DCA" w14:paraId="0704BCE0" w14:textId="77777777">
        <w:trPr>
          <w:trHeight w:val="20"/>
        </w:trPr>
        <w:tc>
          <w:tcPr>
            <w:tcW w:w="202" w:type="pct"/>
            <w:tcBorders>
              <w:top w:val="none" w:sz="4" w:space="0" w:color="000000"/>
              <w:left w:val="single" w:sz="4" w:space="0" w:color="auto"/>
              <w:bottom w:val="single" w:sz="4" w:space="0" w:color="auto"/>
              <w:right w:val="single" w:sz="4" w:space="0" w:color="auto"/>
            </w:tcBorders>
            <w:vAlign w:val="center"/>
          </w:tcPr>
          <w:p w14:paraId="3B5A7345" w14:textId="77777777" w:rsidR="00602DCA" w:rsidRDefault="00C5530C">
            <w:pPr>
              <w:spacing w:after="0" w:line="240" w:lineRule="auto"/>
              <w:jc w:val="righ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39</w:t>
            </w:r>
          </w:p>
        </w:tc>
        <w:tc>
          <w:tcPr>
            <w:tcW w:w="204" w:type="pct"/>
            <w:tcBorders>
              <w:top w:val="none" w:sz="4" w:space="0" w:color="000000"/>
              <w:left w:val="none" w:sz="4" w:space="0" w:color="000000"/>
              <w:bottom w:val="single" w:sz="4" w:space="0" w:color="auto"/>
              <w:right w:val="single" w:sz="4" w:space="0" w:color="auto"/>
            </w:tcBorders>
            <w:vAlign w:val="center"/>
          </w:tcPr>
          <w:p w14:paraId="180501B9" w14:textId="77777777" w:rsidR="00602DCA" w:rsidRDefault="00C5530C">
            <w:pPr>
              <w:spacing w:after="0" w:line="240" w:lineRule="auto"/>
              <w:rPr>
                <w:rFonts w:asciiTheme="minorHAnsi" w:eastAsia="Times New Roman" w:hAnsiTheme="minorHAnsi" w:cstheme="minorHAnsi"/>
                <w:color w:val="000000"/>
                <w:sz w:val="16"/>
                <w:szCs w:val="20"/>
                <w:lang w:eastAsia="cs-CZ"/>
              </w:rPr>
            </w:pPr>
            <w:proofErr w:type="gramStart"/>
            <w:r>
              <w:rPr>
                <w:rFonts w:asciiTheme="minorHAnsi" w:eastAsia="Times New Roman" w:hAnsiTheme="minorHAnsi" w:cstheme="minorHAnsi"/>
                <w:color w:val="000000"/>
                <w:sz w:val="16"/>
                <w:szCs w:val="20"/>
                <w:lang w:eastAsia="cs-CZ"/>
              </w:rPr>
              <w:t>024a</w:t>
            </w:r>
            <w:proofErr w:type="gramEnd"/>
          </w:p>
        </w:tc>
        <w:tc>
          <w:tcPr>
            <w:tcW w:w="1165" w:type="pct"/>
            <w:tcBorders>
              <w:top w:val="none" w:sz="4" w:space="0" w:color="000000"/>
              <w:left w:val="none" w:sz="4" w:space="0" w:color="000000"/>
              <w:bottom w:val="single" w:sz="4" w:space="0" w:color="auto"/>
              <w:right w:val="single" w:sz="4" w:space="0" w:color="auto"/>
            </w:tcBorders>
            <w:vAlign w:val="center"/>
          </w:tcPr>
          <w:p w14:paraId="131FE004"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Energetická účinnost a demonstrační projekty ve velkých podnicích a podpůrná opatření</w:t>
            </w:r>
          </w:p>
        </w:tc>
        <w:tc>
          <w:tcPr>
            <w:tcW w:w="304" w:type="pct"/>
            <w:tcBorders>
              <w:top w:val="none" w:sz="4" w:space="0" w:color="000000"/>
              <w:left w:val="none" w:sz="4" w:space="0" w:color="000000"/>
              <w:bottom w:val="single" w:sz="4" w:space="0" w:color="auto"/>
              <w:right w:val="single" w:sz="4" w:space="0" w:color="auto"/>
            </w:tcBorders>
            <w:vAlign w:val="center"/>
          </w:tcPr>
          <w:p w14:paraId="48E1A9B5"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w:t>
            </w:r>
          </w:p>
        </w:tc>
        <w:tc>
          <w:tcPr>
            <w:tcW w:w="259" w:type="pct"/>
            <w:tcBorders>
              <w:top w:val="none" w:sz="4" w:space="0" w:color="000000"/>
              <w:left w:val="none" w:sz="4" w:space="0" w:color="000000"/>
              <w:bottom w:val="single" w:sz="4" w:space="0" w:color="auto"/>
              <w:right w:val="single" w:sz="4" w:space="0" w:color="auto"/>
            </w:tcBorders>
            <w:vAlign w:val="center"/>
          </w:tcPr>
          <w:p w14:paraId="14385DB2"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w:t>
            </w:r>
          </w:p>
        </w:tc>
        <w:tc>
          <w:tcPr>
            <w:tcW w:w="605" w:type="pct"/>
            <w:tcBorders>
              <w:top w:val="none" w:sz="4" w:space="0" w:color="000000"/>
              <w:left w:val="none" w:sz="4" w:space="0" w:color="000000"/>
              <w:bottom w:val="single" w:sz="4" w:space="0" w:color="auto"/>
              <w:right w:val="single" w:sz="4" w:space="0" w:color="auto"/>
            </w:tcBorders>
            <w:vAlign w:val="center"/>
          </w:tcPr>
          <w:p w14:paraId="516F4071"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 není pro DNSH dostatečnou zárukou</w:t>
            </w:r>
            <w:r>
              <w:rPr>
                <w:rFonts w:asciiTheme="minorHAnsi" w:eastAsia="Times New Roman" w:hAnsiTheme="minorHAnsi" w:cstheme="minorHAnsi"/>
                <w:color w:val="000000"/>
                <w:sz w:val="16"/>
                <w:szCs w:val="20"/>
                <w:lang w:eastAsia="cs-CZ"/>
              </w:rPr>
              <w:br/>
            </w:r>
            <w:r>
              <w:rPr>
                <w:rFonts w:asciiTheme="minorHAnsi" w:eastAsia="Times New Roman" w:hAnsiTheme="minorHAnsi" w:cstheme="minorHAnsi"/>
                <w:color w:val="000000"/>
                <w:sz w:val="16"/>
                <w:szCs w:val="20"/>
                <w:lang w:eastAsia="cs-CZ"/>
              </w:rPr>
              <w:br/>
            </w:r>
            <w:proofErr w:type="gramStart"/>
            <w:r>
              <w:rPr>
                <w:rFonts w:asciiTheme="minorHAnsi" w:eastAsia="Times New Roman" w:hAnsiTheme="minorHAnsi" w:cstheme="minorHAnsi"/>
                <w:color w:val="000000"/>
                <w:sz w:val="16"/>
                <w:szCs w:val="20"/>
                <w:lang w:eastAsia="cs-CZ"/>
              </w:rPr>
              <w:t>CP</w:t>
            </w:r>
            <w:proofErr w:type="gramEnd"/>
            <w:r>
              <w:rPr>
                <w:rFonts w:asciiTheme="minorHAnsi" w:eastAsia="Times New Roman" w:hAnsiTheme="minorHAnsi" w:cstheme="minorHAnsi"/>
                <w:color w:val="000000"/>
                <w:sz w:val="16"/>
                <w:szCs w:val="20"/>
                <w:lang w:eastAsia="cs-CZ"/>
              </w:rPr>
              <w:t xml:space="preserve"> pokud naplnění definice infrastruktury</w:t>
            </w:r>
          </w:p>
        </w:tc>
        <w:tc>
          <w:tcPr>
            <w:tcW w:w="460" w:type="pct"/>
            <w:tcBorders>
              <w:top w:val="none" w:sz="4" w:space="0" w:color="000000"/>
              <w:left w:val="none" w:sz="4" w:space="0" w:color="000000"/>
              <w:bottom w:val="single" w:sz="4" w:space="0" w:color="auto"/>
              <w:right w:val="single" w:sz="4" w:space="0" w:color="auto"/>
            </w:tcBorders>
            <w:vAlign w:val="center"/>
          </w:tcPr>
          <w:p w14:paraId="34081388"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 není pro DNSH dostatečnou zárukou</w:t>
            </w:r>
            <w:r>
              <w:rPr>
                <w:rFonts w:asciiTheme="minorHAnsi" w:eastAsia="Times New Roman" w:hAnsiTheme="minorHAnsi" w:cstheme="minorHAnsi"/>
                <w:color w:val="000000"/>
                <w:sz w:val="16"/>
                <w:szCs w:val="20"/>
                <w:lang w:eastAsia="cs-CZ"/>
              </w:rPr>
              <w:br/>
            </w:r>
            <w:r>
              <w:rPr>
                <w:rFonts w:asciiTheme="minorHAnsi" w:eastAsia="Times New Roman" w:hAnsiTheme="minorHAnsi" w:cstheme="minorHAnsi"/>
                <w:color w:val="000000"/>
                <w:sz w:val="16"/>
                <w:szCs w:val="20"/>
                <w:lang w:eastAsia="cs-CZ"/>
              </w:rPr>
              <w:br/>
            </w:r>
            <w:proofErr w:type="gramStart"/>
            <w:r>
              <w:rPr>
                <w:rFonts w:asciiTheme="minorHAnsi" w:eastAsia="Times New Roman" w:hAnsiTheme="minorHAnsi" w:cstheme="minorHAnsi"/>
                <w:color w:val="000000"/>
                <w:sz w:val="16"/>
                <w:szCs w:val="20"/>
                <w:lang w:eastAsia="cs-CZ"/>
              </w:rPr>
              <w:t>CP</w:t>
            </w:r>
            <w:proofErr w:type="gramEnd"/>
            <w:r>
              <w:rPr>
                <w:rFonts w:asciiTheme="minorHAnsi" w:eastAsia="Times New Roman" w:hAnsiTheme="minorHAnsi" w:cstheme="minorHAnsi"/>
                <w:color w:val="000000"/>
                <w:sz w:val="16"/>
                <w:szCs w:val="20"/>
                <w:lang w:eastAsia="cs-CZ"/>
              </w:rPr>
              <w:t xml:space="preserve"> pokud naplnění definice infrastruktury</w:t>
            </w:r>
          </w:p>
        </w:tc>
        <w:tc>
          <w:tcPr>
            <w:tcW w:w="455" w:type="pct"/>
            <w:tcBorders>
              <w:top w:val="none" w:sz="4" w:space="0" w:color="000000"/>
              <w:left w:val="none" w:sz="4" w:space="0" w:color="000000"/>
              <w:bottom w:val="single" w:sz="4" w:space="0" w:color="auto"/>
              <w:right w:val="single" w:sz="4" w:space="0" w:color="auto"/>
            </w:tcBorders>
            <w:vAlign w:val="center"/>
          </w:tcPr>
          <w:p w14:paraId="34E21223"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 není pro DNSH dostatečnou zárukou</w:t>
            </w:r>
          </w:p>
        </w:tc>
        <w:tc>
          <w:tcPr>
            <w:tcW w:w="456" w:type="pct"/>
            <w:tcBorders>
              <w:top w:val="none" w:sz="4" w:space="0" w:color="000000"/>
              <w:left w:val="none" w:sz="4" w:space="0" w:color="000000"/>
              <w:bottom w:val="single" w:sz="4" w:space="0" w:color="auto"/>
              <w:right w:val="single" w:sz="4" w:space="0" w:color="auto"/>
            </w:tcBorders>
            <w:vAlign w:val="center"/>
          </w:tcPr>
          <w:p w14:paraId="5FDE985D"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 není pro DNSH dostatečnou zárukou</w:t>
            </w:r>
          </w:p>
        </w:tc>
        <w:tc>
          <w:tcPr>
            <w:tcW w:w="461" w:type="pct"/>
            <w:tcBorders>
              <w:top w:val="none" w:sz="4" w:space="0" w:color="000000"/>
              <w:left w:val="none" w:sz="4" w:space="0" w:color="000000"/>
              <w:bottom w:val="single" w:sz="4" w:space="0" w:color="auto"/>
              <w:right w:val="single" w:sz="4" w:space="0" w:color="auto"/>
            </w:tcBorders>
            <w:vAlign w:val="center"/>
          </w:tcPr>
          <w:p w14:paraId="798804D8"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 není pro DNSH dostatečnou zárukou</w:t>
            </w:r>
          </w:p>
        </w:tc>
        <w:tc>
          <w:tcPr>
            <w:tcW w:w="429" w:type="pct"/>
            <w:tcBorders>
              <w:top w:val="none" w:sz="4" w:space="0" w:color="000000"/>
              <w:left w:val="none" w:sz="4" w:space="0" w:color="000000"/>
              <w:bottom w:val="single" w:sz="4" w:space="0" w:color="auto"/>
              <w:right w:val="single" w:sz="4" w:space="0" w:color="auto"/>
            </w:tcBorders>
            <w:vAlign w:val="center"/>
          </w:tcPr>
          <w:p w14:paraId="722EC33C"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 není pro DNSH dostatečnou zárukou</w:t>
            </w:r>
          </w:p>
        </w:tc>
      </w:tr>
      <w:tr w:rsidR="00602DCA" w14:paraId="7CBAEFD5" w14:textId="77777777">
        <w:trPr>
          <w:trHeight w:val="20"/>
        </w:trPr>
        <w:tc>
          <w:tcPr>
            <w:tcW w:w="202" w:type="pct"/>
            <w:tcBorders>
              <w:top w:val="none" w:sz="4" w:space="0" w:color="000000"/>
              <w:left w:val="single" w:sz="4" w:space="0" w:color="auto"/>
              <w:bottom w:val="single" w:sz="4" w:space="0" w:color="auto"/>
              <w:right w:val="single" w:sz="4" w:space="0" w:color="auto"/>
            </w:tcBorders>
            <w:vAlign w:val="center"/>
          </w:tcPr>
          <w:p w14:paraId="5BCE9C63" w14:textId="77777777" w:rsidR="00602DCA" w:rsidRDefault="00C5530C">
            <w:pPr>
              <w:spacing w:after="0" w:line="240" w:lineRule="auto"/>
              <w:jc w:val="righ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w:t>
            </w:r>
          </w:p>
        </w:tc>
        <w:tc>
          <w:tcPr>
            <w:tcW w:w="204" w:type="pct"/>
            <w:tcBorders>
              <w:top w:val="none" w:sz="4" w:space="0" w:color="000000"/>
              <w:left w:val="none" w:sz="4" w:space="0" w:color="000000"/>
              <w:bottom w:val="single" w:sz="4" w:space="0" w:color="auto"/>
              <w:right w:val="single" w:sz="4" w:space="0" w:color="auto"/>
            </w:tcBorders>
            <w:vAlign w:val="center"/>
          </w:tcPr>
          <w:p w14:paraId="205278F4" w14:textId="77777777" w:rsidR="00602DCA" w:rsidRDefault="00C5530C">
            <w:pPr>
              <w:spacing w:after="0" w:line="240" w:lineRule="auto"/>
              <w:rPr>
                <w:rFonts w:asciiTheme="minorHAnsi" w:eastAsia="Times New Roman" w:hAnsiTheme="minorHAnsi" w:cstheme="minorHAnsi"/>
                <w:color w:val="000000"/>
                <w:sz w:val="16"/>
                <w:szCs w:val="20"/>
                <w:lang w:eastAsia="cs-CZ"/>
              </w:rPr>
            </w:pPr>
            <w:proofErr w:type="gramStart"/>
            <w:r>
              <w:rPr>
                <w:rFonts w:asciiTheme="minorHAnsi" w:eastAsia="Times New Roman" w:hAnsiTheme="minorHAnsi" w:cstheme="minorHAnsi"/>
                <w:color w:val="000000"/>
                <w:sz w:val="16"/>
                <w:szCs w:val="20"/>
                <w:lang w:eastAsia="cs-CZ"/>
              </w:rPr>
              <w:t>024b</w:t>
            </w:r>
            <w:proofErr w:type="gramEnd"/>
          </w:p>
        </w:tc>
        <w:tc>
          <w:tcPr>
            <w:tcW w:w="1165" w:type="pct"/>
            <w:tcBorders>
              <w:top w:val="none" w:sz="4" w:space="0" w:color="000000"/>
              <w:left w:val="none" w:sz="4" w:space="0" w:color="000000"/>
              <w:bottom w:val="single" w:sz="4" w:space="0" w:color="auto"/>
              <w:right w:val="single" w:sz="4" w:space="0" w:color="auto"/>
            </w:tcBorders>
            <w:vAlign w:val="center"/>
          </w:tcPr>
          <w:p w14:paraId="16F6ED34" w14:textId="77777777" w:rsidR="00602DCA" w:rsidRDefault="00602DCA">
            <w:pPr>
              <w:spacing w:after="0" w:line="240" w:lineRule="auto"/>
              <w:rPr>
                <w:rFonts w:asciiTheme="minorHAnsi" w:eastAsia="Times New Roman" w:hAnsiTheme="minorHAnsi" w:cstheme="minorHAnsi"/>
                <w:color w:val="0563C1"/>
                <w:sz w:val="16"/>
                <w:szCs w:val="20"/>
                <w:u w:val="single"/>
                <w:lang w:eastAsia="cs-CZ"/>
              </w:rPr>
            </w:pPr>
            <w:hyperlink r:id="rId163" w:anchor="E0030" w:tooltip="https://eur-lex.europa.eu/legal-content/CS/TXT/?uri=CELEX%3A02021R1060-20210630&amp;qid=1659091609743#E0030" w:history="1">
              <w:r>
                <w:rPr>
                  <w:rFonts w:asciiTheme="minorHAnsi" w:eastAsia="Times New Roman" w:hAnsiTheme="minorHAnsi" w:cstheme="minorHAnsi"/>
                  <w:color w:val="0563C1"/>
                  <w:sz w:val="16"/>
                  <w:szCs w:val="20"/>
                  <w:u w:val="single"/>
                  <w:lang w:eastAsia="cs-CZ"/>
                </w:rPr>
                <w:t>Energetická účinnost a demonstrační projekty v malých a středních podnicích nebo ve velkých podnicích a podpůrná opatření v souladu s kritérii energetické účinnosti (9)</w:t>
              </w:r>
            </w:hyperlink>
          </w:p>
        </w:tc>
        <w:tc>
          <w:tcPr>
            <w:tcW w:w="304" w:type="pct"/>
            <w:tcBorders>
              <w:top w:val="none" w:sz="4" w:space="0" w:color="000000"/>
              <w:left w:val="none" w:sz="4" w:space="0" w:color="000000"/>
              <w:bottom w:val="single" w:sz="4" w:space="0" w:color="auto"/>
              <w:right w:val="single" w:sz="4" w:space="0" w:color="auto"/>
            </w:tcBorders>
            <w:vAlign w:val="center"/>
          </w:tcPr>
          <w:p w14:paraId="19F69F16"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100 %</w:t>
            </w:r>
          </w:p>
        </w:tc>
        <w:tc>
          <w:tcPr>
            <w:tcW w:w="259" w:type="pct"/>
            <w:tcBorders>
              <w:top w:val="none" w:sz="4" w:space="0" w:color="000000"/>
              <w:left w:val="none" w:sz="4" w:space="0" w:color="000000"/>
              <w:bottom w:val="single" w:sz="4" w:space="0" w:color="auto"/>
              <w:right w:val="single" w:sz="4" w:space="0" w:color="auto"/>
            </w:tcBorders>
            <w:vAlign w:val="center"/>
          </w:tcPr>
          <w:p w14:paraId="2541D580"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w:t>
            </w:r>
          </w:p>
        </w:tc>
        <w:tc>
          <w:tcPr>
            <w:tcW w:w="605" w:type="pct"/>
            <w:tcBorders>
              <w:top w:val="none" w:sz="4" w:space="0" w:color="000000"/>
              <w:left w:val="none" w:sz="4" w:space="0" w:color="000000"/>
              <w:bottom w:val="single" w:sz="4" w:space="0" w:color="auto"/>
              <w:right w:val="single" w:sz="4" w:space="0" w:color="auto"/>
            </w:tcBorders>
            <w:vAlign w:val="center"/>
          </w:tcPr>
          <w:p w14:paraId="69A8666A"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splněno</w:t>
            </w:r>
          </w:p>
          <w:p w14:paraId="7C6DE551" w14:textId="77777777" w:rsidR="00602DCA" w:rsidRDefault="00602DCA">
            <w:pPr>
              <w:spacing w:after="0" w:line="240" w:lineRule="auto"/>
              <w:jc w:val="left"/>
              <w:rPr>
                <w:rFonts w:asciiTheme="minorHAnsi" w:eastAsia="Times New Roman" w:hAnsiTheme="minorHAnsi" w:cstheme="minorHAnsi"/>
                <w:color w:val="000000"/>
                <w:sz w:val="16"/>
                <w:szCs w:val="20"/>
                <w:lang w:eastAsia="cs-CZ"/>
              </w:rPr>
            </w:pPr>
          </w:p>
          <w:p w14:paraId="1F035B73"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proofErr w:type="gramStart"/>
            <w:r>
              <w:rPr>
                <w:rFonts w:asciiTheme="minorHAnsi" w:eastAsia="Times New Roman" w:hAnsiTheme="minorHAnsi" w:cstheme="minorHAnsi"/>
                <w:color w:val="000000"/>
                <w:sz w:val="16"/>
                <w:szCs w:val="20"/>
                <w:lang w:eastAsia="cs-CZ"/>
              </w:rPr>
              <w:t>CP</w:t>
            </w:r>
            <w:proofErr w:type="gramEnd"/>
            <w:r>
              <w:rPr>
                <w:rFonts w:asciiTheme="minorHAnsi" w:eastAsia="Times New Roman" w:hAnsiTheme="minorHAnsi" w:cstheme="minorHAnsi"/>
                <w:color w:val="000000"/>
                <w:sz w:val="16"/>
                <w:szCs w:val="20"/>
                <w:lang w:eastAsia="cs-CZ"/>
              </w:rPr>
              <w:t xml:space="preserve"> pokud naplnění definice infrastruktury</w:t>
            </w:r>
          </w:p>
        </w:tc>
        <w:tc>
          <w:tcPr>
            <w:tcW w:w="460" w:type="pct"/>
            <w:tcBorders>
              <w:top w:val="none" w:sz="4" w:space="0" w:color="000000"/>
              <w:left w:val="none" w:sz="4" w:space="0" w:color="000000"/>
              <w:bottom w:val="single" w:sz="4" w:space="0" w:color="auto"/>
              <w:right w:val="single" w:sz="4" w:space="0" w:color="auto"/>
            </w:tcBorders>
            <w:vAlign w:val="center"/>
          </w:tcPr>
          <w:p w14:paraId="5ED80A8A"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r>
              <w:rPr>
                <w:rFonts w:asciiTheme="minorHAnsi" w:eastAsia="Times New Roman" w:hAnsiTheme="minorHAnsi" w:cstheme="minorHAnsi"/>
                <w:color w:val="000000"/>
                <w:sz w:val="16"/>
                <w:szCs w:val="20"/>
                <w:lang w:eastAsia="cs-CZ"/>
              </w:rPr>
              <w:br/>
            </w:r>
            <w:r>
              <w:rPr>
                <w:rFonts w:asciiTheme="minorHAnsi" w:eastAsia="Times New Roman" w:hAnsiTheme="minorHAnsi" w:cstheme="minorHAnsi"/>
                <w:color w:val="000000"/>
                <w:sz w:val="16"/>
                <w:szCs w:val="20"/>
                <w:lang w:eastAsia="cs-CZ"/>
              </w:rPr>
              <w:br/>
            </w:r>
            <w:proofErr w:type="gramStart"/>
            <w:r>
              <w:rPr>
                <w:rFonts w:asciiTheme="minorHAnsi" w:eastAsia="Times New Roman" w:hAnsiTheme="minorHAnsi" w:cstheme="minorHAnsi"/>
                <w:color w:val="000000"/>
                <w:sz w:val="16"/>
                <w:szCs w:val="20"/>
                <w:lang w:eastAsia="cs-CZ"/>
              </w:rPr>
              <w:t>CP</w:t>
            </w:r>
            <w:proofErr w:type="gramEnd"/>
            <w:r>
              <w:rPr>
                <w:rFonts w:asciiTheme="minorHAnsi" w:eastAsia="Times New Roman" w:hAnsiTheme="minorHAnsi" w:cstheme="minorHAnsi"/>
                <w:color w:val="000000"/>
                <w:sz w:val="16"/>
                <w:szCs w:val="20"/>
                <w:lang w:eastAsia="cs-CZ"/>
              </w:rPr>
              <w:t xml:space="preserve"> pokud naplnění definice infrastruktury</w:t>
            </w:r>
          </w:p>
        </w:tc>
        <w:tc>
          <w:tcPr>
            <w:tcW w:w="455" w:type="pct"/>
            <w:tcBorders>
              <w:top w:val="none" w:sz="4" w:space="0" w:color="000000"/>
              <w:left w:val="none" w:sz="4" w:space="0" w:color="000000"/>
              <w:bottom w:val="single" w:sz="4" w:space="0" w:color="auto"/>
              <w:right w:val="single" w:sz="4" w:space="0" w:color="auto"/>
            </w:tcBorders>
            <w:vAlign w:val="center"/>
          </w:tcPr>
          <w:p w14:paraId="21194014"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 není pro DNSH dostatečnou zárukou</w:t>
            </w:r>
          </w:p>
        </w:tc>
        <w:tc>
          <w:tcPr>
            <w:tcW w:w="456" w:type="pct"/>
            <w:tcBorders>
              <w:top w:val="none" w:sz="4" w:space="0" w:color="000000"/>
              <w:left w:val="none" w:sz="4" w:space="0" w:color="000000"/>
              <w:bottom w:val="single" w:sz="4" w:space="0" w:color="auto"/>
              <w:right w:val="single" w:sz="4" w:space="0" w:color="auto"/>
            </w:tcBorders>
            <w:vAlign w:val="center"/>
          </w:tcPr>
          <w:p w14:paraId="60BC00FA"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 není pro DNSH dostatečnou zárukou</w:t>
            </w:r>
          </w:p>
        </w:tc>
        <w:tc>
          <w:tcPr>
            <w:tcW w:w="461" w:type="pct"/>
            <w:tcBorders>
              <w:top w:val="none" w:sz="4" w:space="0" w:color="000000"/>
              <w:left w:val="none" w:sz="4" w:space="0" w:color="000000"/>
              <w:bottom w:val="single" w:sz="4" w:space="0" w:color="auto"/>
              <w:right w:val="single" w:sz="4" w:space="0" w:color="auto"/>
            </w:tcBorders>
            <w:vAlign w:val="center"/>
          </w:tcPr>
          <w:p w14:paraId="277E5C20"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 není pro DNSH dostatečnou zárukou</w:t>
            </w:r>
          </w:p>
        </w:tc>
        <w:tc>
          <w:tcPr>
            <w:tcW w:w="429" w:type="pct"/>
            <w:tcBorders>
              <w:top w:val="none" w:sz="4" w:space="0" w:color="000000"/>
              <w:left w:val="none" w:sz="4" w:space="0" w:color="000000"/>
              <w:bottom w:val="single" w:sz="4" w:space="0" w:color="auto"/>
              <w:right w:val="single" w:sz="4" w:space="0" w:color="auto"/>
            </w:tcBorders>
            <w:vAlign w:val="center"/>
          </w:tcPr>
          <w:p w14:paraId="35A10148"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 není pro DNSH dostatečnou zárukou</w:t>
            </w:r>
          </w:p>
        </w:tc>
      </w:tr>
      <w:tr w:rsidR="00602DCA" w14:paraId="6B1C17FB" w14:textId="77777777">
        <w:trPr>
          <w:trHeight w:val="20"/>
        </w:trPr>
        <w:tc>
          <w:tcPr>
            <w:tcW w:w="202" w:type="pct"/>
            <w:tcBorders>
              <w:top w:val="none" w:sz="4" w:space="0" w:color="000000"/>
              <w:left w:val="single" w:sz="4" w:space="0" w:color="auto"/>
              <w:bottom w:val="single" w:sz="4" w:space="0" w:color="auto"/>
              <w:right w:val="single" w:sz="4" w:space="0" w:color="auto"/>
            </w:tcBorders>
            <w:vAlign w:val="center"/>
          </w:tcPr>
          <w:p w14:paraId="2A8FC5ED" w14:textId="77777777" w:rsidR="00602DCA" w:rsidRDefault="00C5530C">
            <w:pPr>
              <w:spacing w:after="0" w:line="240" w:lineRule="auto"/>
              <w:jc w:val="righ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41</w:t>
            </w:r>
          </w:p>
        </w:tc>
        <w:tc>
          <w:tcPr>
            <w:tcW w:w="204" w:type="pct"/>
            <w:tcBorders>
              <w:top w:val="none" w:sz="4" w:space="0" w:color="000000"/>
              <w:left w:val="none" w:sz="4" w:space="0" w:color="000000"/>
              <w:bottom w:val="single" w:sz="4" w:space="0" w:color="auto"/>
              <w:right w:val="single" w:sz="4" w:space="0" w:color="auto"/>
            </w:tcBorders>
            <w:vAlign w:val="center"/>
          </w:tcPr>
          <w:p w14:paraId="68A8DF33" w14:textId="77777777" w:rsidR="00602DCA" w:rsidRDefault="00C5530C">
            <w:pPr>
              <w:spacing w:after="0" w:line="240" w:lineRule="auto"/>
              <w:jc w:val="righ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25</w:t>
            </w:r>
          </w:p>
        </w:tc>
        <w:tc>
          <w:tcPr>
            <w:tcW w:w="1165" w:type="pct"/>
            <w:tcBorders>
              <w:top w:val="none" w:sz="4" w:space="0" w:color="000000"/>
              <w:left w:val="none" w:sz="4" w:space="0" w:color="000000"/>
              <w:bottom w:val="single" w:sz="4" w:space="0" w:color="auto"/>
              <w:right w:val="single" w:sz="4" w:space="0" w:color="auto"/>
            </w:tcBorders>
            <w:vAlign w:val="center"/>
          </w:tcPr>
          <w:p w14:paraId="31879A05"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Renovace zvyšující energetickou účinnost stávajícího bytového a domovního fondu, demonstrační projekty a podpůrná opatření</w:t>
            </w:r>
          </w:p>
        </w:tc>
        <w:tc>
          <w:tcPr>
            <w:tcW w:w="304" w:type="pct"/>
            <w:tcBorders>
              <w:top w:val="none" w:sz="4" w:space="0" w:color="000000"/>
              <w:left w:val="none" w:sz="4" w:space="0" w:color="000000"/>
              <w:bottom w:val="single" w:sz="4" w:space="0" w:color="auto"/>
              <w:right w:val="single" w:sz="4" w:space="0" w:color="auto"/>
            </w:tcBorders>
            <w:vAlign w:val="center"/>
          </w:tcPr>
          <w:p w14:paraId="3A2C7A46"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w:t>
            </w:r>
          </w:p>
        </w:tc>
        <w:tc>
          <w:tcPr>
            <w:tcW w:w="259" w:type="pct"/>
            <w:tcBorders>
              <w:top w:val="none" w:sz="4" w:space="0" w:color="000000"/>
              <w:left w:val="none" w:sz="4" w:space="0" w:color="000000"/>
              <w:bottom w:val="single" w:sz="4" w:space="0" w:color="auto"/>
              <w:right w:val="single" w:sz="4" w:space="0" w:color="auto"/>
            </w:tcBorders>
            <w:vAlign w:val="center"/>
          </w:tcPr>
          <w:p w14:paraId="575B9BB5"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w:t>
            </w:r>
          </w:p>
        </w:tc>
        <w:tc>
          <w:tcPr>
            <w:tcW w:w="605" w:type="pct"/>
            <w:tcBorders>
              <w:top w:val="none" w:sz="4" w:space="0" w:color="000000"/>
              <w:left w:val="none" w:sz="4" w:space="0" w:color="000000"/>
              <w:bottom w:val="single" w:sz="4" w:space="0" w:color="auto"/>
              <w:right w:val="single" w:sz="4" w:space="0" w:color="auto"/>
            </w:tcBorders>
            <w:vAlign w:val="center"/>
          </w:tcPr>
          <w:p w14:paraId="70714525"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 není pro DNSH dostatečnou zárukou</w:t>
            </w:r>
            <w:r>
              <w:rPr>
                <w:rFonts w:asciiTheme="minorHAnsi" w:eastAsia="Times New Roman" w:hAnsiTheme="minorHAnsi" w:cstheme="minorHAnsi"/>
                <w:color w:val="000000"/>
                <w:sz w:val="16"/>
                <w:szCs w:val="20"/>
                <w:lang w:eastAsia="cs-CZ"/>
              </w:rPr>
              <w:br/>
            </w:r>
            <w:r>
              <w:rPr>
                <w:rFonts w:asciiTheme="minorHAnsi" w:eastAsia="Times New Roman" w:hAnsiTheme="minorHAnsi" w:cstheme="minorHAnsi"/>
                <w:color w:val="000000"/>
                <w:sz w:val="16"/>
                <w:szCs w:val="20"/>
                <w:lang w:eastAsia="cs-CZ"/>
              </w:rPr>
              <w:br/>
            </w:r>
            <w:proofErr w:type="gramStart"/>
            <w:r>
              <w:rPr>
                <w:rFonts w:asciiTheme="minorHAnsi" w:eastAsia="Times New Roman" w:hAnsiTheme="minorHAnsi" w:cstheme="minorHAnsi"/>
                <w:color w:val="000000"/>
                <w:sz w:val="16"/>
                <w:szCs w:val="20"/>
                <w:lang w:eastAsia="cs-CZ"/>
              </w:rPr>
              <w:t>CP</w:t>
            </w:r>
            <w:proofErr w:type="gramEnd"/>
            <w:r>
              <w:rPr>
                <w:rFonts w:asciiTheme="minorHAnsi" w:eastAsia="Times New Roman" w:hAnsiTheme="minorHAnsi" w:cstheme="minorHAnsi"/>
                <w:color w:val="000000"/>
                <w:sz w:val="16"/>
                <w:szCs w:val="20"/>
                <w:lang w:eastAsia="cs-CZ"/>
              </w:rPr>
              <w:t xml:space="preserve"> pokud naplnění definice infrastruktury</w:t>
            </w:r>
          </w:p>
        </w:tc>
        <w:tc>
          <w:tcPr>
            <w:tcW w:w="460" w:type="pct"/>
            <w:tcBorders>
              <w:top w:val="none" w:sz="4" w:space="0" w:color="000000"/>
              <w:left w:val="none" w:sz="4" w:space="0" w:color="000000"/>
              <w:bottom w:val="single" w:sz="4" w:space="0" w:color="auto"/>
              <w:right w:val="single" w:sz="4" w:space="0" w:color="auto"/>
            </w:tcBorders>
            <w:vAlign w:val="center"/>
          </w:tcPr>
          <w:p w14:paraId="447686D7"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r>
              <w:rPr>
                <w:rFonts w:asciiTheme="minorHAnsi" w:eastAsia="Times New Roman" w:hAnsiTheme="minorHAnsi" w:cstheme="minorHAnsi"/>
                <w:color w:val="000000"/>
                <w:sz w:val="16"/>
                <w:szCs w:val="20"/>
                <w:lang w:eastAsia="cs-CZ"/>
              </w:rPr>
              <w:br/>
            </w:r>
            <w:r>
              <w:rPr>
                <w:rFonts w:asciiTheme="minorHAnsi" w:eastAsia="Times New Roman" w:hAnsiTheme="minorHAnsi" w:cstheme="minorHAnsi"/>
                <w:color w:val="000000"/>
                <w:sz w:val="16"/>
                <w:szCs w:val="20"/>
                <w:lang w:eastAsia="cs-CZ"/>
              </w:rPr>
              <w:br/>
            </w:r>
            <w:proofErr w:type="gramStart"/>
            <w:r>
              <w:rPr>
                <w:rFonts w:asciiTheme="minorHAnsi" w:eastAsia="Times New Roman" w:hAnsiTheme="minorHAnsi" w:cstheme="minorHAnsi"/>
                <w:color w:val="000000"/>
                <w:sz w:val="16"/>
                <w:szCs w:val="20"/>
                <w:lang w:eastAsia="cs-CZ"/>
              </w:rPr>
              <w:t>CP</w:t>
            </w:r>
            <w:proofErr w:type="gramEnd"/>
            <w:r>
              <w:rPr>
                <w:rFonts w:asciiTheme="minorHAnsi" w:eastAsia="Times New Roman" w:hAnsiTheme="minorHAnsi" w:cstheme="minorHAnsi"/>
                <w:color w:val="000000"/>
                <w:sz w:val="16"/>
                <w:szCs w:val="20"/>
                <w:lang w:eastAsia="cs-CZ"/>
              </w:rPr>
              <w:t xml:space="preserve"> pokud naplnění definice infrastruktury</w:t>
            </w:r>
          </w:p>
        </w:tc>
        <w:tc>
          <w:tcPr>
            <w:tcW w:w="455" w:type="pct"/>
            <w:tcBorders>
              <w:top w:val="none" w:sz="4" w:space="0" w:color="000000"/>
              <w:left w:val="none" w:sz="4" w:space="0" w:color="000000"/>
              <w:bottom w:val="single" w:sz="4" w:space="0" w:color="auto"/>
              <w:right w:val="single" w:sz="4" w:space="0" w:color="auto"/>
            </w:tcBorders>
            <w:vAlign w:val="center"/>
          </w:tcPr>
          <w:p w14:paraId="121FBD40"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 není pro DNSH dostatečnou zárukou</w:t>
            </w:r>
          </w:p>
        </w:tc>
        <w:tc>
          <w:tcPr>
            <w:tcW w:w="456" w:type="pct"/>
            <w:tcBorders>
              <w:top w:val="none" w:sz="4" w:space="0" w:color="000000"/>
              <w:left w:val="none" w:sz="4" w:space="0" w:color="000000"/>
              <w:bottom w:val="single" w:sz="4" w:space="0" w:color="auto"/>
              <w:right w:val="single" w:sz="4" w:space="0" w:color="auto"/>
            </w:tcBorders>
            <w:vAlign w:val="center"/>
          </w:tcPr>
          <w:p w14:paraId="66ABFD3D"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 není pro DNSH dostatečnou zárukou</w:t>
            </w:r>
          </w:p>
        </w:tc>
        <w:tc>
          <w:tcPr>
            <w:tcW w:w="461" w:type="pct"/>
            <w:tcBorders>
              <w:top w:val="none" w:sz="4" w:space="0" w:color="000000"/>
              <w:left w:val="none" w:sz="4" w:space="0" w:color="000000"/>
              <w:bottom w:val="single" w:sz="4" w:space="0" w:color="auto"/>
              <w:right w:val="single" w:sz="4" w:space="0" w:color="auto"/>
            </w:tcBorders>
            <w:vAlign w:val="center"/>
          </w:tcPr>
          <w:p w14:paraId="6F1F07D1"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 není pro DNSH dostatečnou zárukou</w:t>
            </w:r>
          </w:p>
        </w:tc>
        <w:tc>
          <w:tcPr>
            <w:tcW w:w="429" w:type="pct"/>
            <w:tcBorders>
              <w:top w:val="none" w:sz="4" w:space="0" w:color="000000"/>
              <w:left w:val="none" w:sz="4" w:space="0" w:color="000000"/>
              <w:bottom w:val="single" w:sz="4" w:space="0" w:color="auto"/>
              <w:right w:val="single" w:sz="4" w:space="0" w:color="auto"/>
            </w:tcBorders>
            <w:vAlign w:val="center"/>
          </w:tcPr>
          <w:p w14:paraId="147BC408"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 není pro DNSH dostatečnou zárukou</w:t>
            </w:r>
          </w:p>
        </w:tc>
      </w:tr>
      <w:tr w:rsidR="00602DCA" w14:paraId="75DCD86F" w14:textId="77777777">
        <w:trPr>
          <w:trHeight w:val="20"/>
        </w:trPr>
        <w:tc>
          <w:tcPr>
            <w:tcW w:w="202" w:type="pct"/>
            <w:tcBorders>
              <w:top w:val="none" w:sz="4" w:space="0" w:color="000000"/>
              <w:left w:val="single" w:sz="4" w:space="0" w:color="auto"/>
              <w:bottom w:val="single" w:sz="4" w:space="0" w:color="auto"/>
              <w:right w:val="single" w:sz="4" w:space="0" w:color="auto"/>
            </w:tcBorders>
            <w:vAlign w:val="center"/>
          </w:tcPr>
          <w:p w14:paraId="2FD0F76A" w14:textId="77777777" w:rsidR="00602DCA" w:rsidRDefault="00C5530C">
            <w:pPr>
              <w:spacing w:after="0" w:line="240" w:lineRule="auto"/>
              <w:jc w:val="righ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42</w:t>
            </w:r>
          </w:p>
        </w:tc>
        <w:tc>
          <w:tcPr>
            <w:tcW w:w="204" w:type="pct"/>
            <w:tcBorders>
              <w:top w:val="none" w:sz="4" w:space="0" w:color="000000"/>
              <w:left w:val="none" w:sz="4" w:space="0" w:color="000000"/>
              <w:bottom w:val="single" w:sz="4" w:space="0" w:color="auto"/>
              <w:right w:val="single" w:sz="4" w:space="0" w:color="auto"/>
            </w:tcBorders>
            <w:vAlign w:val="center"/>
          </w:tcPr>
          <w:p w14:paraId="7EB06177" w14:textId="77777777" w:rsidR="00602DCA" w:rsidRDefault="00C5530C">
            <w:pPr>
              <w:spacing w:after="0" w:line="240" w:lineRule="auto"/>
              <w:rPr>
                <w:rFonts w:asciiTheme="minorHAnsi" w:eastAsia="Times New Roman" w:hAnsiTheme="minorHAnsi" w:cstheme="minorHAnsi"/>
                <w:color w:val="000000"/>
                <w:sz w:val="16"/>
                <w:szCs w:val="20"/>
                <w:lang w:eastAsia="cs-CZ"/>
              </w:rPr>
            </w:pPr>
            <w:proofErr w:type="gramStart"/>
            <w:r>
              <w:rPr>
                <w:rFonts w:asciiTheme="minorHAnsi" w:eastAsia="Times New Roman" w:hAnsiTheme="minorHAnsi" w:cstheme="minorHAnsi"/>
                <w:color w:val="000000"/>
                <w:sz w:val="16"/>
                <w:szCs w:val="20"/>
                <w:lang w:eastAsia="cs-CZ"/>
              </w:rPr>
              <w:t>025a</w:t>
            </w:r>
            <w:proofErr w:type="gramEnd"/>
          </w:p>
        </w:tc>
        <w:tc>
          <w:tcPr>
            <w:tcW w:w="1165" w:type="pct"/>
            <w:tcBorders>
              <w:top w:val="none" w:sz="4" w:space="0" w:color="000000"/>
              <w:left w:val="none" w:sz="4" w:space="0" w:color="000000"/>
              <w:bottom w:val="single" w:sz="4" w:space="0" w:color="auto"/>
              <w:right w:val="single" w:sz="4" w:space="0" w:color="auto"/>
            </w:tcBorders>
            <w:vAlign w:val="center"/>
          </w:tcPr>
          <w:p w14:paraId="4F9808C4" w14:textId="77777777" w:rsidR="00602DCA" w:rsidRDefault="00602DCA">
            <w:pPr>
              <w:spacing w:after="0" w:line="240" w:lineRule="auto"/>
              <w:rPr>
                <w:rFonts w:asciiTheme="minorHAnsi" w:eastAsia="Times New Roman" w:hAnsiTheme="minorHAnsi" w:cstheme="minorHAnsi"/>
                <w:color w:val="0563C1"/>
                <w:sz w:val="16"/>
                <w:szCs w:val="20"/>
                <w:u w:val="single"/>
                <w:lang w:eastAsia="cs-CZ"/>
              </w:rPr>
            </w:pPr>
            <w:hyperlink r:id="rId164" w:anchor="E0031" w:tooltip="https://eur-lex.europa.eu/legal-content/CS/TXT/?uri=CELEX%3A02021R1060-20210630&amp;qid=1659091609743#E0031" w:history="1">
              <w:r>
                <w:rPr>
                  <w:rFonts w:asciiTheme="minorHAnsi" w:eastAsia="Times New Roman" w:hAnsiTheme="minorHAnsi" w:cstheme="minorHAnsi"/>
                  <w:color w:val="0563C1"/>
                  <w:sz w:val="16"/>
                  <w:szCs w:val="20"/>
                  <w:u w:val="single"/>
                  <w:lang w:eastAsia="cs-CZ"/>
                </w:rPr>
                <w:t>Energeticky účinná renovace stávajícího bytového a domovního fondu, demonstrační projekty a podpůrná opatření v souladu s kritérii energetické účinnosti (10)</w:t>
              </w:r>
            </w:hyperlink>
          </w:p>
        </w:tc>
        <w:tc>
          <w:tcPr>
            <w:tcW w:w="304" w:type="pct"/>
            <w:tcBorders>
              <w:top w:val="none" w:sz="4" w:space="0" w:color="000000"/>
              <w:left w:val="none" w:sz="4" w:space="0" w:color="000000"/>
              <w:bottom w:val="single" w:sz="4" w:space="0" w:color="auto"/>
              <w:right w:val="single" w:sz="4" w:space="0" w:color="auto"/>
            </w:tcBorders>
            <w:vAlign w:val="center"/>
          </w:tcPr>
          <w:p w14:paraId="16952ED5"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100 %</w:t>
            </w:r>
          </w:p>
        </w:tc>
        <w:tc>
          <w:tcPr>
            <w:tcW w:w="259" w:type="pct"/>
            <w:tcBorders>
              <w:top w:val="none" w:sz="4" w:space="0" w:color="000000"/>
              <w:left w:val="none" w:sz="4" w:space="0" w:color="000000"/>
              <w:bottom w:val="single" w:sz="4" w:space="0" w:color="auto"/>
              <w:right w:val="single" w:sz="4" w:space="0" w:color="auto"/>
            </w:tcBorders>
            <w:vAlign w:val="center"/>
          </w:tcPr>
          <w:p w14:paraId="74325CDE"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w:t>
            </w:r>
          </w:p>
        </w:tc>
        <w:tc>
          <w:tcPr>
            <w:tcW w:w="605" w:type="pct"/>
            <w:tcBorders>
              <w:top w:val="none" w:sz="4" w:space="0" w:color="000000"/>
              <w:left w:val="none" w:sz="4" w:space="0" w:color="000000"/>
              <w:bottom w:val="single" w:sz="4" w:space="0" w:color="auto"/>
              <w:right w:val="single" w:sz="4" w:space="0" w:color="auto"/>
            </w:tcBorders>
            <w:vAlign w:val="center"/>
          </w:tcPr>
          <w:p w14:paraId="4B21B964"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splněno</w:t>
            </w:r>
          </w:p>
          <w:p w14:paraId="67D21E32" w14:textId="77777777" w:rsidR="00602DCA" w:rsidRDefault="00602DCA">
            <w:pPr>
              <w:spacing w:after="0" w:line="240" w:lineRule="auto"/>
              <w:jc w:val="left"/>
              <w:rPr>
                <w:rFonts w:asciiTheme="minorHAnsi" w:eastAsia="Times New Roman" w:hAnsiTheme="minorHAnsi" w:cstheme="minorHAnsi"/>
                <w:color w:val="000000"/>
                <w:sz w:val="16"/>
                <w:szCs w:val="20"/>
                <w:lang w:eastAsia="cs-CZ"/>
              </w:rPr>
            </w:pPr>
          </w:p>
          <w:p w14:paraId="02DD6173"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proofErr w:type="gramStart"/>
            <w:r>
              <w:rPr>
                <w:rFonts w:asciiTheme="minorHAnsi" w:eastAsia="Times New Roman" w:hAnsiTheme="minorHAnsi" w:cstheme="minorHAnsi"/>
                <w:color w:val="000000"/>
                <w:sz w:val="16"/>
                <w:szCs w:val="20"/>
                <w:lang w:eastAsia="cs-CZ"/>
              </w:rPr>
              <w:t>CP</w:t>
            </w:r>
            <w:proofErr w:type="gramEnd"/>
            <w:r>
              <w:rPr>
                <w:rFonts w:asciiTheme="minorHAnsi" w:eastAsia="Times New Roman" w:hAnsiTheme="minorHAnsi" w:cstheme="minorHAnsi"/>
                <w:color w:val="000000"/>
                <w:sz w:val="16"/>
                <w:szCs w:val="20"/>
                <w:lang w:eastAsia="cs-CZ"/>
              </w:rPr>
              <w:t xml:space="preserve"> pokud naplnění definice infrastruktury</w:t>
            </w:r>
          </w:p>
        </w:tc>
        <w:tc>
          <w:tcPr>
            <w:tcW w:w="460" w:type="pct"/>
            <w:tcBorders>
              <w:top w:val="none" w:sz="4" w:space="0" w:color="000000"/>
              <w:left w:val="none" w:sz="4" w:space="0" w:color="000000"/>
              <w:bottom w:val="single" w:sz="4" w:space="0" w:color="auto"/>
              <w:right w:val="single" w:sz="4" w:space="0" w:color="auto"/>
            </w:tcBorders>
            <w:vAlign w:val="center"/>
          </w:tcPr>
          <w:p w14:paraId="01F020DE"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r>
              <w:rPr>
                <w:rFonts w:asciiTheme="minorHAnsi" w:eastAsia="Times New Roman" w:hAnsiTheme="minorHAnsi" w:cstheme="minorHAnsi"/>
                <w:color w:val="000000"/>
                <w:sz w:val="16"/>
                <w:szCs w:val="20"/>
                <w:lang w:eastAsia="cs-CZ"/>
              </w:rPr>
              <w:br/>
            </w:r>
            <w:r>
              <w:rPr>
                <w:rFonts w:asciiTheme="minorHAnsi" w:eastAsia="Times New Roman" w:hAnsiTheme="minorHAnsi" w:cstheme="minorHAnsi"/>
                <w:color w:val="000000"/>
                <w:sz w:val="16"/>
                <w:szCs w:val="20"/>
                <w:lang w:eastAsia="cs-CZ"/>
              </w:rPr>
              <w:br/>
            </w:r>
            <w:proofErr w:type="gramStart"/>
            <w:r>
              <w:rPr>
                <w:rFonts w:asciiTheme="minorHAnsi" w:eastAsia="Times New Roman" w:hAnsiTheme="minorHAnsi" w:cstheme="minorHAnsi"/>
                <w:color w:val="000000"/>
                <w:sz w:val="16"/>
                <w:szCs w:val="20"/>
                <w:lang w:eastAsia="cs-CZ"/>
              </w:rPr>
              <w:t>CP</w:t>
            </w:r>
            <w:proofErr w:type="gramEnd"/>
            <w:r>
              <w:rPr>
                <w:rFonts w:asciiTheme="minorHAnsi" w:eastAsia="Times New Roman" w:hAnsiTheme="minorHAnsi" w:cstheme="minorHAnsi"/>
                <w:color w:val="000000"/>
                <w:sz w:val="16"/>
                <w:szCs w:val="20"/>
                <w:lang w:eastAsia="cs-CZ"/>
              </w:rPr>
              <w:t xml:space="preserve"> pokud naplnění definice infrastruktury</w:t>
            </w:r>
          </w:p>
        </w:tc>
        <w:tc>
          <w:tcPr>
            <w:tcW w:w="455" w:type="pct"/>
            <w:tcBorders>
              <w:top w:val="none" w:sz="4" w:space="0" w:color="000000"/>
              <w:left w:val="none" w:sz="4" w:space="0" w:color="000000"/>
              <w:bottom w:val="single" w:sz="4" w:space="0" w:color="auto"/>
              <w:right w:val="single" w:sz="4" w:space="0" w:color="auto"/>
            </w:tcBorders>
            <w:vAlign w:val="center"/>
          </w:tcPr>
          <w:p w14:paraId="74299EF1"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 není pro DNSH dostatečnou zárukou</w:t>
            </w:r>
          </w:p>
        </w:tc>
        <w:tc>
          <w:tcPr>
            <w:tcW w:w="456" w:type="pct"/>
            <w:tcBorders>
              <w:top w:val="none" w:sz="4" w:space="0" w:color="000000"/>
              <w:left w:val="none" w:sz="4" w:space="0" w:color="000000"/>
              <w:bottom w:val="single" w:sz="4" w:space="0" w:color="auto"/>
              <w:right w:val="single" w:sz="4" w:space="0" w:color="auto"/>
            </w:tcBorders>
            <w:vAlign w:val="center"/>
          </w:tcPr>
          <w:p w14:paraId="7BC38086"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 není pro DNSH dostatečnou zárukou</w:t>
            </w:r>
          </w:p>
        </w:tc>
        <w:tc>
          <w:tcPr>
            <w:tcW w:w="461" w:type="pct"/>
            <w:tcBorders>
              <w:top w:val="none" w:sz="4" w:space="0" w:color="000000"/>
              <w:left w:val="none" w:sz="4" w:space="0" w:color="000000"/>
              <w:bottom w:val="single" w:sz="4" w:space="0" w:color="auto"/>
              <w:right w:val="single" w:sz="4" w:space="0" w:color="auto"/>
            </w:tcBorders>
            <w:vAlign w:val="center"/>
          </w:tcPr>
          <w:p w14:paraId="16268C7E"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 není pro DNSH dostatečnou zárukou</w:t>
            </w:r>
          </w:p>
        </w:tc>
        <w:tc>
          <w:tcPr>
            <w:tcW w:w="429" w:type="pct"/>
            <w:tcBorders>
              <w:top w:val="none" w:sz="4" w:space="0" w:color="000000"/>
              <w:left w:val="none" w:sz="4" w:space="0" w:color="000000"/>
              <w:bottom w:val="single" w:sz="4" w:space="0" w:color="auto"/>
              <w:right w:val="single" w:sz="4" w:space="0" w:color="auto"/>
            </w:tcBorders>
            <w:vAlign w:val="center"/>
          </w:tcPr>
          <w:p w14:paraId="5FE88255"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 není pro DNSH dostatečnou zárukou</w:t>
            </w:r>
          </w:p>
        </w:tc>
      </w:tr>
      <w:tr w:rsidR="00602DCA" w14:paraId="1010F387" w14:textId="77777777">
        <w:trPr>
          <w:trHeight w:val="20"/>
        </w:trPr>
        <w:tc>
          <w:tcPr>
            <w:tcW w:w="202" w:type="pct"/>
            <w:tcBorders>
              <w:top w:val="none" w:sz="4" w:space="0" w:color="000000"/>
              <w:left w:val="single" w:sz="4" w:space="0" w:color="auto"/>
              <w:bottom w:val="single" w:sz="4" w:space="0" w:color="auto"/>
              <w:right w:val="single" w:sz="4" w:space="0" w:color="auto"/>
            </w:tcBorders>
            <w:vAlign w:val="center"/>
          </w:tcPr>
          <w:p w14:paraId="34680732" w14:textId="77777777" w:rsidR="00602DCA" w:rsidRDefault="00C5530C">
            <w:pPr>
              <w:spacing w:after="0" w:line="240" w:lineRule="auto"/>
              <w:jc w:val="righ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43</w:t>
            </w:r>
          </w:p>
        </w:tc>
        <w:tc>
          <w:tcPr>
            <w:tcW w:w="204" w:type="pct"/>
            <w:tcBorders>
              <w:top w:val="none" w:sz="4" w:space="0" w:color="000000"/>
              <w:left w:val="none" w:sz="4" w:space="0" w:color="000000"/>
              <w:bottom w:val="single" w:sz="4" w:space="0" w:color="auto"/>
              <w:right w:val="single" w:sz="4" w:space="0" w:color="auto"/>
            </w:tcBorders>
            <w:vAlign w:val="center"/>
          </w:tcPr>
          <w:p w14:paraId="15E8E029" w14:textId="77777777" w:rsidR="00602DCA" w:rsidRDefault="00C5530C">
            <w:pPr>
              <w:spacing w:after="0" w:line="240" w:lineRule="auto"/>
              <w:rPr>
                <w:rFonts w:asciiTheme="minorHAnsi" w:eastAsia="Times New Roman" w:hAnsiTheme="minorHAnsi" w:cstheme="minorHAnsi"/>
                <w:color w:val="000000"/>
                <w:sz w:val="16"/>
                <w:szCs w:val="20"/>
                <w:lang w:eastAsia="cs-CZ"/>
              </w:rPr>
            </w:pPr>
            <w:proofErr w:type="gramStart"/>
            <w:r>
              <w:rPr>
                <w:rFonts w:asciiTheme="minorHAnsi" w:eastAsia="Times New Roman" w:hAnsiTheme="minorHAnsi" w:cstheme="minorHAnsi"/>
                <w:color w:val="000000"/>
                <w:sz w:val="16"/>
                <w:szCs w:val="20"/>
                <w:lang w:eastAsia="cs-CZ"/>
              </w:rPr>
              <w:t>025b</w:t>
            </w:r>
            <w:proofErr w:type="gramEnd"/>
          </w:p>
        </w:tc>
        <w:tc>
          <w:tcPr>
            <w:tcW w:w="1165" w:type="pct"/>
            <w:tcBorders>
              <w:top w:val="none" w:sz="4" w:space="0" w:color="000000"/>
              <w:left w:val="none" w:sz="4" w:space="0" w:color="000000"/>
              <w:bottom w:val="single" w:sz="4" w:space="0" w:color="auto"/>
              <w:right w:val="single" w:sz="4" w:space="0" w:color="auto"/>
            </w:tcBorders>
            <w:vAlign w:val="center"/>
          </w:tcPr>
          <w:p w14:paraId="21EC33F4" w14:textId="77777777" w:rsidR="00602DCA" w:rsidRDefault="00602DCA">
            <w:pPr>
              <w:spacing w:after="0" w:line="240" w:lineRule="auto"/>
              <w:rPr>
                <w:rFonts w:asciiTheme="minorHAnsi" w:eastAsia="Times New Roman" w:hAnsiTheme="minorHAnsi" w:cstheme="minorHAnsi"/>
                <w:color w:val="0563C1"/>
                <w:sz w:val="16"/>
                <w:szCs w:val="20"/>
                <w:u w:val="single"/>
                <w:lang w:eastAsia="cs-CZ"/>
              </w:rPr>
            </w:pPr>
            <w:hyperlink r:id="rId165" w:anchor="E0032" w:tooltip="https://eur-lex.europa.eu/legal-content/CS/TXT/?uri=CELEX%3A02021R1060-20210630&amp;qid=1659091609743#E0032" w:history="1">
              <w:r>
                <w:rPr>
                  <w:rFonts w:asciiTheme="minorHAnsi" w:eastAsia="Times New Roman" w:hAnsiTheme="minorHAnsi" w:cstheme="minorHAnsi"/>
                  <w:color w:val="0563C1"/>
                  <w:sz w:val="16"/>
                  <w:szCs w:val="20"/>
                  <w:u w:val="single"/>
                  <w:lang w:eastAsia="cs-CZ"/>
                </w:rPr>
                <w:t>Výstavba nových energeticky účinných budov (11)</w:t>
              </w:r>
            </w:hyperlink>
          </w:p>
        </w:tc>
        <w:tc>
          <w:tcPr>
            <w:tcW w:w="304" w:type="pct"/>
            <w:tcBorders>
              <w:top w:val="none" w:sz="4" w:space="0" w:color="000000"/>
              <w:left w:val="none" w:sz="4" w:space="0" w:color="000000"/>
              <w:bottom w:val="single" w:sz="4" w:space="0" w:color="auto"/>
              <w:right w:val="single" w:sz="4" w:space="0" w:color="auto"/>
            </w:tcBorders>
            <w:vAlign w:val="center"/>
          </w:tcPr>
          <w:p w14:paraId="7D91CDCF"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w:t>
            </w:r>
          </w:p>
        </w:tc>
        <w:tc>
          <w:tcPr>
            <w:tcW w:w="259" w:type="pct"/>
            <w:tcBorders>
              <w:top w:val="none" w:sz="4" w:space="0" w:color="000000"/>
              <w:left w:val="none" w:sz="4" w:space="0" w:color="000000"/>
              <w:bottom w:val="single" w:sz="4" w:space="0" w:color="auto"/>
              <w:right w:val="single" w:sz="4" w:space="0" w:color="auto"/>
            </w:tcBorders>
            <w:vAlign w:val="center"/>
          </w:tcPr>
          <w:p w14:paraId="5D918AEA"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w:t>
            </w:r>
          </w:p>
        </w:tc>
        <w:tc>
          <w:tcPr>
            <w:tcW w:w="605" w:type="pct"/>
            <w:tcBorders>
              <w:top w:val="none" w:sz="4" w:space="0" w:color="000000"/>
              <w:left w:val="none" w:sz="4" w:space="0" w:color="000000"/>
              <w:bottom w:val="single" w:sz="4" w:space="0" w:color="auto"/>
              <w:right w:val="single" w:sz="4" w:space="0" w:color="auto"/>
            </w:tcBorders>
            <w:vAlign w:val="bottom"/>
          </w:tcPr>
          <w:p w14:paraId="338B11A5"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 není pro DNSH dostatečnou zárukou, nutný CP</w:t>
            </w:r>
          </w:p>
        </w:tc>
        <w:tc>
          <w:tcPr>
            <w:tcW w:w="460" w:type="pct"/>
            <w:tcBorders>
              <w:top w:val="none" w:sz="4" w:space="0" w:color="000000"/>
              <w:left w:val="none" w:sz="4" w:space="0" w:color="000000"/>
              <w:bottom w:val="single" w:sz="4" w:space="0" w:color="auto"/>
              <w:right w:val="single" w:sz="4" w:space="0" w:color="auto"/>
            </w:tcBorders>
            <w:vAlign w:val="bottom"/>
          </w:tcPr>
          <w:p w14:paraId="7930AA39"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 není pro DNSH dostatečnou zárukou, nutný CP</w:t>
            </w:r>
          </w:p>
        </w:tc>
        <w:tc>
          <w:tcPr>
            <w:tcW w:w="455" w:type="pct"/>
            <w:tcBorders>
              <w:top w:val="none" w:sz="4" w:space="0" w:color="000000"/>
              <w:left w:val="none" w:sz="4" w:space="0" w:color="000000"/>
              <w:bottom w:val="single" w:sz="4" w:space="0" w:color="auto"/>
              <w:right w:val="single" w:sz="4" w:space="0" w:color="auto"/>
            </w:tcBorders>
            <w:vAlign w:val="bottom"/>
          </w:tcPr>
          <w:p w14:paraId="5AFF5141"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 není pro DNSH dostatečnou zárukou</w:t>
            </w:r>
          </w:p>
        </w:tc>
        <w:tc>
          <w:tcPr>
            <w:tcW w:w="456" w:type="pct"/>
            <w:tcBorders>
              <w:top w:val="none" w:sz="4" w:space="0" w:color="000000"/>
              <w:left w:val="none" w:sz="4" w:space="0" w:color="000000"/>
              <w:bottom w:val="single" w:sz="4" w:space="0" w:color="auto"/>
              <w:right w:val="single" w:sz="4" w:space="0" w:color="auto"/>
            </w:tcBorders>
            <w:vAlign w:val="bottom"/>
          </w:tcPr>
          <w:p w14:paraId="0FDD10E5"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 není pro DNSH dostatečnou zárukou</w:t>
            </w:r>
          </w:p>
        </w:tc>
        <w:tc>
          <w:tcPr>
            <w:tcW w:w="461" w:type="pct"/>
            <w:tcBorders>
              <w:top w:val="none" w:sz="4" w:space="0" w:color="000000"/>
              <w:left w:val="none" w:sz="4" w:space="0" w:color="000000"/>
              <w:bottom w:val="single" w:sz="4" w:space="0" w:color="auto"/>
              <w:right w:val="single" w:sz="4" w:space="0" w:color="auto"/>
            </w:tcBorders>
            <w:vAlign w:val="bottom"/>
          </w:tcPr>
          <w:p w14:paraId="2EDDD259"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 není pro DNSH dostatečnou zárukou</w:t>
            </w:r>
          </w:p>
        </w:tc>
        <w:tc>
          <w:tcPr>
            <w:tcW w:w="429" w:type="pct"/>
            <w:tcBorders>
              <w:top w:val="none" w:sz="4" w:space="0" w:color="000000"/>
              <w:left w:val="none" w:sz="4" w:space="0" w:color="000000"/>
              <w:bottom w:val="single" w:sz="4" w:space="0" w:color="auto"/>
              <w:right w:val="single" w:sz="4" w:space="0" w:color="auto"/>
            </w:tcBorders>
            <w:vAlign w:val="bottom"/>
          </w:tcPr>
          <w:p w14:paraId="0EDB59CE"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 není pro DNSH dostatečnou zárukou</w:t>
            </w:r>
          </w:p>
        </w:tc>
      </w:tr>
      <w:tr w:rsidR="00602DCA" w14:paraId="2090C2D4" w14:textId="77777777">
        <w:trPr>
          <w:trHeight w:val="20"/>
        </w:trPr>
        <w:tc>
          <w:tcPr>
            <w:tcW w:w="202" w:type="pct"/>
            <w:tcBorders>
              <w:top w:val="none" w:sz="4" w:space="0" w:color="000000"/>
              <w:left w:val="single" w:sz="4" w:space="0" w:color="auto"/>
              <w:bottom w:val="single" w:sz="4" w:space="0" w:color="auto"/>
              <w:right w:val="single" w:sz="4" w:space="0" w:color="auto"/>
            </w:tcBorders>
            <w:vAlign w:val="center"/>
          </w:tcPr>
          <w:p w14:paraId="755B44A7" w14:textId="77777777" w:rsidR="00602DCA" w:rsidRDefault="00C5530C">
            <w:pPr>
              <w:spacing w:after="0" w:line="240" w:lineRule="auto"/>
              <w:jc w:val="righ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lastRenderedPageBreak/>
              <w:t>44</w:t>
            </w:r>
          </w:p>
        </w:tc>
        <w:tc>
          <w:tcPr>
            <w:tcW w:w="204" w:type="pct"/>
            <w:tcBorders>
              <w:top w:val="none" w:sz="4" w:space="0" w:color="000000"/>
              <w:left w:val="none" w:sz="4" w:space="0" w:color="000000"/>
              <w:bottom w:val="single" w:sz="4" w:space="0" w:color="auto"/>
              <w:right w:val="single" w:sz="4" w:space="0" w:color="auto"/>
            </w:tcBorders>
            <w:vAlign w:val="center"/>
          </w:tcPr>
          <w:p w14:paraId="4965A6DD" w14:textId="77777777" w:rsidR="00602DCA" w:rsidRDefault="00C5530C">
            <w:pPr>
              <w:spacing w:after="0" w:line="240" w:lineRule="auto"/>
              <w:jc w:val="righ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26</w:t>
            </w:r>
          </w:p>
        </w:tc>
        <w:tc>
          <w:tcPr>
            <w:tcW w:w="1165" w:type="pct"/>
            <w:tcBorders>
              <w:top w:val="none" w:sz="4" w:space="0" w:color="000000"/>
              <w:left w:val="none" w:sz="4" w:space="0" w:color="000000"/>
              <w:bottom w:val="single" w:sz="4" w:space="0" w:color="auto"/>
              <w:right w:val="single" w:sz="4" w:space="0" w:color="auto"/>
            </w:tcBorders>
            <w:vAlign w:val="center"/>
          </w:tcPr>
          <w:p w14:paraId="5BBF5136"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Energeticky účinná renovace nebo opatření na zvýšení energetické účinnosti veřejné infrastruktury, demonstrační projekty a podpůrná opatření</w:t>
            </w:r>
          </w:p>
        </w:tc>
        <w:tc>
          <w:tcPr>
            <w:tcW w:w="304" w:type="pct"/>
            <w:tcBorders>
              <w:top w:val="none" w:sz="4" w:space="0" w:color="000000"/>
              <w:left w:val="none" w:sz="4" w:space="0" w:color="000000"/>
              <w:bottom w:val="single" w:sz="4" w:space="0" w:color="auto"/>
              <w:right w:val="single" w:sz="4" w:space="0" w:color="auto"/>
            </w:tcBorders>
            <w:vAlign w:val="center"/>
          </w:tcPr>
          <w:p w14:paraId="559B7828"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w:t>
            </w:r>
          </w:p>
        </w:tc>
        <w:tc>
          <w:tcPr>
            <w:tcW w:w="259" w:type="pct"/>
            <w:tcBorders>
              <w:top w:val="none" w:sz="4" w:space="0" w:color="000000"/>
              <w:left w:val="none" w:sz="4" w:space="0" w:color="000000"/>
              <w:bottom w:val="single" w:sz="4" w:space="0" w:color="auto"/>
              <w:right w:val="single" w:sz="4" w:space="0" w:color="auto"/>
            </w:tcBorders>
            <w:vAlign w:val="center"/>
          </w:tcPr>
          <w:p w14:paraId="485D73D1"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w:t>
            </w:r>
          </w:p>
        </w:tc>
        <w:tc>
          <w:tcPr>
            <w:tcW w:w="605" w:type="pct"/>
            <w:tcBorders>
              <w:top w:val="none" w:sz="4" w:space="0" w:color="000000"/>
              <w:left w:val="none" w:sz="4" w:space="0" w:color="000000"/>
              <w:bottom w:val="single" w:sz="4" w:space="0" w:color="auto"/>
              <w:right w:val="single" w:sz="4" w:space="0" w:color="auto"/>
            </w:tcBorders>
            <w:vAlign w:val="bottom"/>
          </w:tcPr>
          <w:p w14:paraId="4430F83C"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 xml:space="preserve">40 % není pro DNSH dostatečnou zárukou, </w:t>
            </w:r>
          </w:p>
          <w:p w14:paraId="25AFF170" w14:textId="77777777" w:rsidR="00602DCA" w:rsidRDefault="00602DCA">
            <w:pPr>
              <w:spacing w:after="0" w:line="240" w:lineRule="auto"/>
              <w:jc w:val="left"/>
              <w:rPr>
                <w:rFonts w:asciiTheme="minorHAnsi" w:eastAsia="Times New Roman" w:hAnsiTheme="minorHAnsi" w:cstheme="minorHAnsi"/>
                <w:color w:val="000000"/>
                <w:sz w:val="16"/>
                <w:szCs w:val="20"/>
                <w:lang w:eastAsia="cs-CZ"/>
              </w:rPr>
            </w:pPr>
          </w:p>
          <w:p w14:paraId="69CE0EC8"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proofErr w:type="gramStart"/>
            <w:r>
              <w:rPr>
                <w:rFonts w:asciiTheme="minorHAnsi" w:eastAsia="Times New Roman" w:hAnsiTheme="minorHAnsi" w:cstheme="minorHAnsi"/>
                <w:color w:val="000000"/>
                <w:sz w:val="16"/>
                <w:szCs w:val="20"/>
                <w:lang w:eastAsia="cs-CZ"/>
              </w:rPr>
              <w:t>CP</w:t>
            </w:r>
            <w:proofErr w:type="gramEnd"/>
            <w:r>
              <w:rPr>
                <w:rFonts w:asciiTheme="minorHAnsi" w:eastAsia="Times New Roman" w:hAnsiTheme="minorHAnsi" w:cstheme="minorHAnsi"/>
                <w:color w:val="000000"/>
                <w:sz w:val="16"/>
                <w:szCs w:val="20"/>
                <w:lang w:eastAsia="cs-CZ"/>
              </w:rPr>
              <w:t xml:space="preserve"> pokud naplnění definice infrastruktury</w:t>
            </w:r>
          </w:p>
        </w:tc>
        <w:tc>
          <w:tcPr>
            <w:tcW w:w="460" w:type="pct"/>
            <w:tcBorders>
              <w:top w:val="none" w:sz="4" w:space="0" w:color="000000"/>
              <w:left w:val="none" w:sz="4" w:space="0" w:color="000000"/>
              <w:bottom w:val="single" w:sz="4" w:space="0" w:color="auto"/>
              <w:right w:val="single" w:sz="4" w:space="0" w:color="auto"/>
            </w:tcBorders>
            <w:vAlign w:val="bottom"/>
          </w:tcPr>
          <w:p w14:paraId="2119F83C"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r>
              <w:rPr>
                <w:rFonts w:asciiTheme="minorHAnsi" w:eastAsia="Times New Roman" w:hAnsiTheme="minorHAnsi" w:cstheme="minorHAnsi"/>
                <w:color w:val="000000"/>
                <w:sz w:val="16"/>
                <w:szCs w:val="20"/>
                <w:lang w:eastAsia="cs-CZ"/>
              </w:rPr>
              <w:br/>
            </w:r>
            <w:r>
              <w:rPr>
                <w:rFonts w:asciiTheme="minorHAnsi" w:eastAsia="Times New Roman" w:hAnsiTheme="minorHAnsi" w:cstheme="minorHAnsi"/>
                <w:color w:val="000000"/>
                <w:sz w:val="16"/>
                <w:szCs w:val="20"/>
                <w:lang w:eastAsia="cs-CZ"/>
              </w:rPr>
              <w:br/>
            </w:r>
            <w:proofErr w:type="gramStart"/>
            <w:r>
              <w:rPr>
                <w:rFonts w:asciiTheme="minorHAnsi" w:eastAsia="Times New Roman" w:hAnsiTheme="minorHAnsi" w:cstheme="minorHAnsi"/>
                <w:color w:val="000000"/>
                <w:sz w:val="16"/>
                <w:szCs w:val="20"/>
                <w:lang w:eastAsia="cs-CZ"/>
              </w:rPr>
              <w:t>CP</w:t>
            </w:r>
            <w:proofErr w:type="gramEnd"/>
            <w:r>
              <w:rPr>
                <w:rFonts w:asciiTheme="minorHAnsi" w:eastAsia="Times New Roman" w:hAnsiTheme="minorHAnsi" w:cstheme="minorHAnsi"/>
                <w:color w:val="000000"/>
                <w:sz w:val="16"/>
                <w:szCs w:val="20"/>
                <w:lang w:eastAsia="cs-CZ"/>
              </w:rPr>
              <w:t xml:space="preserve"> pokud naplnění definice infrastruktury</w:t>
            </w:r>
          </w:p>
        </w:tc>
        <w:tc>
          <w:tcPr>
            <w:tcW w:w="455" w:type="pct"/>
            <w:tcBorders>
              <w:top w:val="none" w:sz="4" w:space="0" w:color="000000"/>
              <w:left w:val="none" w:sz="4" w:space="0" w:color="000000"/>
              <w:bottom w:val="single" w:sz="4" w:space="0" w:color="auto"/>
              <w:right w:val="single" w:sz="4" w:space="0" w:color="auto"/>
            </w:tcBorders>
            <w:vAlign w:val="bottom"/>
          </w:tcPr>
          <w:p w14:paraId="7C54C6A6"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 není pro DNSH dostatečnou zárukou</w:t>
            </w:r>
          </w:p>
        </w:tc>
        <w:tc>
          <w:tcPr>
            <w:tcW w:w="456" w:type="pct"/>
            <w:tcBorders>
              <w:top w:val="none" w:sz="4" w:space="0" w:color="000000"/>
              <w:left w:val="none" w:sz="4" w:space="0" w:color="000000"/>
              <w:bottom w:val="single" w:sz="4" w:space="0" w:color="auto"/>
              <w:right w:val="single" w:sz="4" w:space="0" w:color="auto"/>
            </w:tcBorders>
            <w:vAlign w:val="bottom"/>
          </w:tcPr>
          <w:p w14:paraId="5B55B8A0"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 není pro DNSH dostatečnou zárukou</w:t>
            </w:r>
          </w:p>
        </w:tc>
        <w:tc>
          <w:tcPr>
            <w:tcW w:w="461" w:type="pct"/>
            <w:tcBorders>
              <w:top w:val="none" w:sz="4" w:space="0" w:color="000000"/>
              <w:left w:val="none" w:sz="4" w:space="0" w:color="000000"/>
              <w:bottom w:val="single" w:sz="4" w:space="0" w:color="auto"/>
              <w:right w:val="single" w:sz="4" w:space="0" w:color="auto"/>
            </w:tcBorders>
            <w:vAlign w:val="bottom"/>
          </w:tcPr>
          <w:p w14:paraId="0298C8BE"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 není pro DNSH dostatečnou zárukou</w:t>
            </w:r>
          </w:p>
        </w:tc>
        <w:tc>
          <w:tcPr>
            <w:tcW w:w="429" w:type="pct"/>
            <w:tcBorders>
              <w:top w:val="none" w:sz="4" w:space="0" w:color="000000"/>
              <w:left w:val="none" w:sz="4" w:space="0" w:color="000000"/>
              <w:bottom w:val="single" w:sz="4" w:space="0" w:color="auto"/>
              <w:right w:val="single" w:sz="4" w:space="0" w:color="auto"/>
            </w:tcBorders>
            <w:vAlign w:val="bottom"/>
          </w:tcPr>
          <w:p w14:paraId="3A59C2BE"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 není pro DNSH dostatečnou zárukou</w:t>
            </w:r>
          </w:p>
        </w:tc>
      </w:tr>
      <w:tr w:rsidR="00602DCA" w14:paraId="6BCE25BE" w14:textId="77777777">
        <w:trPr>
          <w:trHeight w:val="20"/>
        </w:trPr>
        <w:tc>
          <w:tcPr>
            <w:tcW w:w="202" w:type="pct"/>
            <w:tcBorders>
              <w:top w:val="none" w:sz="4" w:space="0" w:color="000000"/>
              <w:left w:val="single" w:sz="4" w:space="0" w:color="auto"/>
              <w:bottom w:val="single" w:sz="4" w:space="0" w:color="auto"/>
              <w:right w:val="single" w:sz="4" w:space="0" w:color="auto"/>
            </w:tcBorders>
            <w:vAlign w:val="center"/>
          </w:tcPr>
          <w:p w14:paraId="6C8EF44A" w14:textId="77777777" w:rsidR="00602DCA" w:rsidRDefault="00C5530C">
            <w:pPr>
              <w:spacing w:after="0" w:line="240" w:lineRule="auto"/>
              <w:jc w:val="righ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45</w:t>
            </w:r>
          </w:p>
        </w:tc>
        <w:tc>
          <w:tcPr>
            <w:tcW w:w="204" w:type="pct"/>
            <w:tcBorders>
              <w:top w:val="none" w:sz="4" w:space="0" w:color="000000"/>
              <w:left w:val="none" w:sz="4" w:space="0" w:color="000000"/>
              <w:bottom w:val="single" w:sz="4" w:space="0" w:color="auto"/>
              <w:right w:val="single" w:sz="4" w:space="0" w:color="auto"/>
            </w:tcBorders>
            <w:vAlign w:val="center"/>
          </w:tcPr>
          <w:p w14:paraId="433E9A57" w14:textId="77777777" w:rsidR="00602DCA" w:rsidRDefault="00C5530C">
            <w:pPr>
              <w:spacing w:after="0" w:line="240" w:lineRule="auto"/>
              <w:rPr>
                <w:rFonts w:asciiTheme="minorHAnsi" w:eastAsia="Times New Roman" w:hAnsiTheme="minorHAnsi" w:cstheme="minorHAnsi"/>
                <w:color w:val="000000"/>
                <w:sz w:val="16"/>
                <w:szCs w:val="20"/>
                <w:lang w:eastAsia="cs-CZ"/>
              </w:rPr>
            </w:pPr>
            <w:proofErr w:type="gramStart"/>
            <w:r>
              <w:rPr>
                <w:rFonts w:asciiTheme="minorHAnsi" w:eastAsia="Times New Roman" w:hAnsiTheme="minorHAnsi" w:cstheme="minorHAnsi"/>
                <w:color w:val="000000"/>
                <w:sz w:val="16"/>
                <w:szCs w:val="20"/>
                <w:lang w:eastAsia="cs-CZ"/>
              </w:rPr>
              <w:t>026a</w:t>
            </w:r>
            <w:proofErr w:type="gramEnd"/>
          </w:p>
        </w:tc>
        <w:tc>
          <w:tcPr>
            <w:tcW w:w="1165" w:type="pct"/>
            <w:tcBorders>
              <w:top w:val="none" w:sz="4" w:space="0" w:color="000000"/>
              <w:left w:val="none" w:sz="4" w:space="0" w:color="000000"/>
              <w:bottom w:val="single" w:sz="4" w:space="0" w:color="auto"/>
              <w:right w:val="single" w:sz="4" w:space="0" w:color="auto"/>
            </w:tcBorders>
            <w:vAlign w:val="center"/>
          </w:tcPr>
          <w:p w14:paraId="53B3E554" w14:textId="77777777" w:rsidR="00602DCA" w:rsidRDefault="00602DCA">
            <w:pPr>
              <w:spacing w:after="0" w:line="240" w:lineRule="auto"/>
              <w:rPr>
                <w:rFonts w:asciiTheme="minorHAnsi" w:eastAsia="Times New Roman" w:hAnsiTheme="minorHAnsi" w:cstheme="minorHAnsi"/>
                <w:color w:val="0563C1"/>
                <w:sz w:val="16"/>
                <w:szCs w:val="20"/>
                <w:u w:val="single"/>
                <w:lang w:eastAsia="cs-CZ"/>
              </w:rPr>
            </w:pPr>
            <w:hyperlink r:id="rId166" w:anchor="E0033" w:tooltip="https://eur-lex.europa.eu/legal-content/CS/TXT/?uri=CELEX%3A02021R1060-20210630&amp;qid=1659091609743#E0033" w:history="1">
              <w:r>
                <w:rPr>
                  <w:rFonts w:asciiTheme="minorHAnsi" w:eastAsia="Times New Roman" w:hAnsiTheme="minorHAnsi" w:cstheme="minorHAnsi"/>
                  <w:color w:val="0563C1"/>
                  <w:sz w:val="16"/>
                  <w:szCs w:val="20"/>
                  <w:u w:val="single"/>
                  <w:lang w:eastAsia="cs-CZ"/>
                </w:rPr>
                <w:t>Energeticky účinná renovace nebo opatření na zvýšení energetické účinnosti veřejné infrastruktury, demonstrační projekty a podpůrná opatření v souladu s kritérii energetické účinnosti (12)</w:t>
              </w:r>
            </w:hyperlink>
          </w:p>
        </w:tc>
        <w:tc>
          <w:tcPr>
            <w:tcW w:w="304" w:type="pct"/>
            <w:tcBorders>
              <w:top w:val="none" w:sz="4" w:space="0" w:color="000000"/>
              <w:left w:val="none" w:sz="4" w:space="0" w:color="000000"/>
              <w:bottom w:val="single" w:sz="4" w:space="0" w:color="auto"/>
              <w:right w:val="single" w:sz="4" w:space="0" w:color="auto"/>
            </w:tcBorders>
            <w:vAlign w:val="center"/>
          </w:tcPr>
          <w:p w14:paraId="3771ACAB"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100 %</w:t>
            </w:r>
          </w:p>
        </w:tc>
        <w:tc>
          <w:tcPr>
            <w:tcW w:w="259" w:type="pct"/>
            <w:tcBorders>
              <w:top w:val="none" w:sz="4" w:space="0" w:color="000000"/>
              <w:left w:val="none" w:sz="4" w:space="0" w:color="000000"/>
              <w:bottom w:val="single" w:sz="4" w:space="0" w:color="auto"/>
              <w:right w:val="single" w:sz="4" w:space="0" w:color="auto"/>
            </w:tcBorders>
            <w:vAlign w:val="center"/>
          </w:tcPr>
          <w:p w14:paraId="1EF9FE34"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w:t>
            </w:r>
          </w:p>
        </w:tc>
        <w:tc>
          <w:tcPr>
            <w:tcW w:w="605" w:type="pct"/>
            <w:tcBorders>
              <w:top w:val="none" w:sz="4" w:space="0" w:color="000000"/>
              <w:left w:val="none" w:sz="4" w:space="0" w:color="000000"/>
              <w:bottom w:val="single" w:sz="4" w:space="0" w:color="auto"/>
              <w:right w:val="single" w:sz="4" w:space="0" w:color="auto"/>
            </w:tcBorders>
            <w:vAlign w:val="center"/>
          </w:tcPr>
          <w:p w14:paraId="7799E1CF"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splněno</w:t>
            </w:r>
          </w:p>
          <w:p w14:paraId="6578C8FE" w14:textId="77777777" w:rsidR="00602DCA" w:rsidRDefault="00602DCA">
            <w:pPr>
              <w:spacing w:after="0" w:line="240" w:lineRule="auto"/>
              <w:jc w:val="left"/>
              <w:rPr>
                <w:rFonts w:asciiTheme="minorHAnsi" w:eastAsia="Times New Roman" w:hAnsiTheme="minorHAnsi" w:cstheme="minorHAnsi"/>
                <w:color w:val="000000"/>
                <w:sz w:val="16"/>
                <w:szCs w:val="20"/>
                <w:lang w:eastAsia="cs-CZ"/>
              </w:rPr>
            </w:pPr>
          </w:p>
          <w:p w14:paraId="65C3AFC8"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proofErr w:type="gramStart"/>
            <w:r>
              <w:rPr>
                <w:rFonts w:asciiTheme="minorHAnsi" w:eastAsia="Times New Roman" w:hAnsiTheme="minorHAnsi" w:cstheme="minorHAnsi"/>
                <w:color w:val="000000"/>
                <w:sz w:val="16"/>
                <w:szCs w:val="20"/>
                <w:lang w:eastAsia="cs-CZ"/>
              </w:rPr>
              <w:t>CP</w:t>
            </w:r>
            <w:proofErr w:type="gramEnd"/>
            <w:r>
              <w:rPr>
                <w:rFonts w:asciiTheme="minorHAnsi" w:eastAsia="Times New Roman" w:hAnsiTheme="minorHAnsi" w:cstheme="minorHAnsi"/>
                <w:color w:val="000000"/>
                <w:sz w:val="16"/>
                <w:szCs w:val="20"/>
                <w:lang w:eastAsia="cs-CZ"/>
              </w:rPr>
              <w:t xml:space="preserve"> pokud naplnění definice infrastruktury</w:t>
            </w:r>
          </w:p>
        </w:tc>
        <w:tc>
          <w:tcPr>
            <w:tcW w:w="460" w:type="pct"/>
            <w:tcBorders>
              <w:top w:val="none" w:sz="4" w:space="0" w:color="000000"/>
              <w:left w:val="none" w:sz="4" w:space="0" w:color="000000"/>
              <w:bottom w:val="single" w:sz="4" w:space="0" w:color="auto"/>
              <w:right w:val="single" w:sz="4" w:space="0" w:color="auto"/>
            </w:tcBorders>
            <w:vAlign w:val="bottom"/>
          </w:tcPr>
          <w:p w14:paraId="1F3B80FF"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r>
              <w:rPr>
                <w:rFonts w:asciiTheme="minorHAnsi" w:eastAsia="Times New Roman" w:hAnsiTheme="minorHAnsi" w:cstheme="minorHAnsi"/>
                <w:color w:val="000000"/>
                <w:sz w:val="16"/>
                <w:szCs w:val="20"/>
                <w:lang w:eastAsia="cs-CZ"/>
              </w:rPr>
              <w:br/>
            </w:r>
            <w:r>
              <w:rPr>
                <w:rFonts w:asciiTheme="minorHAnsi" w:eastAsia="Times New Roman" w:hAnsiTheme="minorHAnsi" w:cstheme="minorHAnsi"/>
                <w:color w:val="000000"/>
                <w:sz w:val="16"/>
                <w:szCs w:val="20"/>
                <w:lang w:eastAsia="cs-CZ"/>
              </w:rPr>
              <w:br/>
            </w:r>
            <w:proofErr w:type="gramStart"/>
            <w:r>
              <w:rPr>
                <w:rFonts w:asciiTheme="minorHAnsi" w:eastAsia="Times New Roman" w:hAnsiTheme="minorHAnsi" w:cstheme="minorHAnsi"/>
                <w:color w:val="000000"/>
                <w:sz w:val="16"/>
                <w:szCs w:val="20"/>
                <w:lang w:eastAsia="cs-CZ"/>
              </w:rPr>
              <w:t>CP</w:t>
            </w:r>
            <w:proofErr w:type="gramEnd"/>
            <w:r>
              <w:rPr>
                <w:rFonts w:asciiTheme="minorHAnsi" w:eastAsia="Times New Roman" w:hAnsiTheme="minorHAnsi" w:cstheme="minorHAnsi"/>
                <w:color w:val="000000"/>
                <w:sz w:val="16"/>
                <w:szCs w:val="20"/>
                <w:lang w:eastAsia="cs-CZ"/>
              </w:rPr>
              <w:t xml:space="preserve"> pokud naplnění definice infrastruktury</w:t>
            </w:r>
          </w:p>
        </w:tc>
        <w:tc>
          <w:tcPr>
            <w:tcW w:w="455" w:type="pct"/>
            <w:tcBorders>
              <w:top w:val="none" w:sz="4" w:space="0" w:color="000000"/>
              <w:left w:val="none" w:sz="4" w:space="0" w:color="000000"/>
              <w:bottom w:val="single" w:sz="4" w:space="0" w:color="auto"/>
              <w:right w:val="single" w:sz="4" w:space="0" w:color="auto"/>
            </w:tcBorders>
            <w:vAlign w:val="bottom"/>
          </w:tcPr>
          <w:p w14:paraId="48D07B59"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 není pro DNSH dostatečnou zárukou</w:t>
            </w:r>
          </w:p>
        </w:tc>
        <w:tc>
          <w:tcPr>
            <w:tcW w:w="456" w:type="pct"/>
            <w:tcBorders>
              <w:top w:val="none" w:sz="4" w:space="0" w:color="000000"/>
              <w:left w:val="none" w:sz="4" w:space="0" w:color="000000"/>
              <w:bottom w:val="single" w:sz="4" w:space="0" w:color="auto"/>
              <w:right w:val="single" w:sz="4" w:space="0" w:color="auto"/>
            </w:tcBorders>
            <w:vAlign w:val="bottom"/>
          </w:tcPr>
          <w:p w14:paraId="0118CE77"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 není pro DNSH dostatečnou zárukou</w:t>
            </w:r>
          </w:p>
        </w:tc>
        <w:tc>
          <w:tcPr>
            <w:tcW w:w="461" w:type="pct"/>
            <w:tcBorders>
              <w:top w:val="none" w:sz="4" w:space="0" w:color="000000"/>
              <w:left w:val="none" w:sz="4" w:space="0" w:color="000000"/>
              <w:bottom w:val="single" w:sz="4" w:space="0" w:color="auto"/>
              <w:right w:val="single" w:sz="4" w:space="0" w:color="auto"/>
            </w:tcBorders>
            <w:vAlign w:val="bottom"/>
          </w:tcPr>
          <w:p w14:paraId="2FB5697F"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 není pro DNSH dostatečnou zárukou</w:t>
            </w:r>
          </w:p>
        </w:tc>
        <w:tc>
          <w:tcPr>
            <w:tcW w:w="429" w:type="pct"/>
            <w:tcBorders>
              <w:top w:val="none" w:sz="4" w:space="0" w:color="000000"/>
              <w:left w:val="none" w:sz="4" w:space="0" w:color="000000"/>
              <w:bottom w:val="single" w:sz="4" w:space="0" w:color="auto"/>
              <w:right w:val="single" w:sz="4" w:space="0" w:color="auto"/>
            </w:tcBorders>
            <w:vAlign w:val="bottom"/>
          </w:tcPr>
          <w:p w14:paraId="5D9D04CD"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 není pro DNSH dostatečnou zárukou</w:t>
            </w:r>
          </w:p>
        </w:tc>
      </w:tr>
      <w:tr w:rsidR="00602DCA" w14:paraId="493A9A6A" w14:textId="77777777">
        <w:trPr>
          <w:trHeight w:val="20"/>
        </w:trPr>
        <w:tc>
          <w:tcPr>
            <w:tcW w:w="202" w:type="pct"/>
            <w:tcBorders>
              <w:top w:val="none" w:sz="4" w:space="0" w:color="000000"/>
              <w:left w:val="single" w:sz="4" w:space="0" w:color="auto"/>
              <w:bottom w:val="single" w:sz="4" w:space="0" w:color="auto"/>
              <w:right w:val="single" w:sz="4" w:space="0" w:color="auto"/>
            </w:tcBorders>
            <w:vAlign w:val="center"/>
          </w:tcPr>
          <w:p w14:paraId="5E8AD685" w14:textId="77777777" w:rsidR="00602DCA" w:rsidRDefault="00C5530C">
            <w:pPr>
              <w:spacing w:after="0" w:line="240" w:lineRule="auto"/>
              <w:jc w:val="righ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46</w:t>
            </w:r>
          </w:p>
        </w:tc>
        <w:tc>
          <w:tcPr>
            <w:tcW w:w="204" w:type="pct"/>
            <w:tcBorders>
              <w:top w:val="none" w:sz="4" w:space="0" w:color="000000"/>
              <w:left w:val="none" w:sz="4" w:space="0" w:color="000000"/>
              <w:bottom w:val="single" w:sz="4" w:space="0" w:color="auto"/>
              <w:right w:val="single" w:sz="4" w:space="0" w:color="auto"/>
            </w:tcBorders>
            <w:vAlign w:val="center"/>
          </w:tcPr>
          <w:p w14:paraId="0F5486C2" w14:textId="77777777" w:rsidR="00602DCA" w:rsidRDefault="00C5530C">
            <w:pPr>
              <w:spacing w:after="0" w:line="240" w:lineRule="auto"/>
              <w:jc w:val="righ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27</w:t>
            </w:r>
          </w:p>
        </w:tc>
        <w:tc>
          <w:tcPr>
            <w:tcW w:w="1165" w:type="pct"/>
            <w:tcBorders>
              <w:top w:val="none" w:sz="4" w:space="0" w:color="000000"/>
              <w:left w:val="none" w:sz="4" w:space="0" w:color="000000"/>
              <w:bottom w:val="single" w:sz="4" w:space="0" w:color="auto"/>
              <w:right w:val="single" w:sz="4" w:space="0" w:color="auto"/>
            </w:tcBorders>
            <w:vAlign w:val="center"/>
          </w:tcPr>
          <w:p w14:paraId="38C27D2B"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Podpora subjektů, které poskytují služby přispívající k nízkouhlíkovému hospodářství a k odolnosti vůči změně klimatu, včetně opatření ke zvýšení povědomí</w:t>
            </w:r>
          </w:p>
        </w:tc>
        <w:tc>
          <w:tcPr>
            <w:tcW w:w="304" w:type="pct"/>
            <w:tcBorders>
              <w:top w:val="none" w:sz="4" w:space="0" w:color="000000"/>
              <w:left w:val="none" w:sz="4" w:space="0" w:color="000000"/>
              <w:bottom w:val="single" w:sz="4" w:space="0" w:color="auto"/>
              <w:right w:val="single" w:sz="4" w:space="0" w:color="auto"/>
            </w:tcBorders>
            <w:vAlign w:val="center"/>
          </w:tcPr>
          <w:p w14:paraId="1848B968"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100 %</w:t>
            </w:r>
          </w:p>
        </w:tc>
        <w:tc>
          <w:tcPr>
            <w:tcW w:w="259" w:type="pct"/>
            <w:tcBorders>
              <w:top w:val="none" w:sz="4" w:space="0" w:color="000000"/>
              <w:left w:val="none" w:sz="4" w:space="0" w:color="000000"/>
              <w:bottom w:val="single" w:sz="4" w:space="0" w:color="auto"/>
              <w:right w:val="single" w:sz="4" w:space="0" w:color="auto"/>
            </w:tcBorders>
            <w:vAlign w:val="center"/>
          </w:tcPr>
          <w:p w14:paraId="38FD9C01"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w:t>
            </w:r>
          </w:p>
        </w:tc>
        <w:tc>
          <w:tcPr>
            <w:tcW w:w="1065" w:type="pct"/>
            <w:gridSpan w:val="2"/>
            <w:tcBorders>
              <w:top w:val="single" w:sz="4" w:space="0" w:color="auto"/>
              <w:left w:val="none" w:sz="4" w:space="0" w:color="000000"/>
              <w:bottom w:val="single" w:sz="4" w:space="0" w:color="auto"/>
              <w:right w:val="single" w:sz="4" w:space="0" w:color="auto"/>
            </w:tcBorders>
            <w:vAlign w:val="center"/>
          </w:tcPr>
          <w:p w14:paraId="7456A84E"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je splněno – možné přiřadit oběma cílům, pokud je podpora zaměřena jak na snižování emisí a energetickou účinnost, tak na adaptační opatření</w:t>
            </w:r>
            <w:r>
              <w:rPr>
                <w:rFonts w:asciiTheme="minorHAnsi" w:eastAsia="Times New Roman" w:hAnsiTheme="minorHAnsi" w:cstheme="minorHAnsi"/>
                <w:color w:val="000000"/>
                <w:sz w:val="16"/>
                <w:szCs w:val="20"/>
                <w:lang w:eastAsia="cs-CZ"/>
              </w:rPr>
              <w:br/>
            </w:r>
            <w:r>
              <w:rPr>
                <w:rFonts w:asciiTheme="minorHAnsi" w:eastAsia="Times New Roman" w:hAnsiTheme="minorHAnsi" w:cstheme="minorHAnsi"/>
                <w:color w:val="000000"/>
                <w:sz w:val="16"/>
                <w:szCs w:val="20"/>
                <w:lang w:eastAsia="cs-CZ"/>
              </w:rPr>
              <w:br/>
            </w:r>
            <w:proofErr w:type="gramStart"/>
            <w:r>
              <w:rPr>
                <w:rFonts w:asciiTheme="minorHAnsi" w:eastAsia="Times New Roman" w:hAnsiTheme="minorHAnsi" w:cstheme="minorHAnsi"/>
                <w:color w:val="000000"/>
                <w:sz w:val="16"/>
                <w:szCs w:val="20"/>
                <w:lang w:eastAsia="cs-CZ"/>
              </w:rPr>
              <w:t>CP</w:t>
            </w:r>
            <w:proofErr w:type="gramEnd"/>
            <w:r>
              <w:rPr>
                <w:rFonts w:asciiTheme="minorHAnsi" w:eastAsia="Times New Roman" w:hAnsiTheme="minorHAnsi" w:cstheme="minorHAnsi"/>
                <w:color w:val="000000"/>
                <w:sz w:val="16"/>
                <w:szCs w:val="20"/>
                <w:lang w:eastAsia="cs-CZ"/>
              </w:rPr>
              <w:t xml:space="preserve"> pokud naplnění definice infrastruktury</w:t>
            </w:r>
          </w:p>
        </w:tc>
        <w:tc>
          <w:tcPr>
            <w:tcW w:w="455" w:type="pct"/>
            <w:tcBorders>
              <w:top w:val="none" w:sz="4" w:space="0" w:color="000000"/>
              <w:left w:val="none" w:sz="4" w:space="0" w:color="000000"/>
              <w:bottom w:val="single" w:sz="4" w:space="0" w:color="auto"/>
              <w:right w:val="single" w:sz="4" w:space="0" w:color="auto"/>
            </w:tcBorders>
            <w:vAlign w:val="center"/>
          </w:tcPr>
          <w:p w14:paraId="3B839F4A"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 není pro DNSH dostatečnou zárukou</w:t>
            </w:r>
          </w:p>
        </w:tc>
        <w:tc>
          <w:tcPr>
            <w:tcW w:w="456" w:type="pct"/>
            <w:tcBorders>
              <w:top w:val="none" w:sz="4" w:space="0" w:color="000000"/>
              <w:left w:val="none" w:sz="4" w:space="0" w:color="000000"/>
              <w:bottom w:val="single" w:sz="4" w:space="0" w:color="auto"/>
              <w:right w:val="single" w:sz="4" w:space="0" w:color="auto"/>
            </w:tcBorders>
            <w:vAlign w:val="center"/>
          </w:tcPr>
          <w:p w14:paraId="4382A38A"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 není pro DNSH dostatečnou zárukou</w:t>
            </w:r>
          </w:p>
        </w:tc>
        <w:tc>
          <w:tcPr>
            <w:tcW w:w="461" w:type="pct"/>
            <w:tcBorders>
              <w:top w:val="none" w:sz="4" w:space="0" w:color="000000"/>
              <w:left w:val="none" w:sz="4" w:space="0" w:color="000000"/>
              <w:bottom w:val="single" w:sz="4" w:space="0" w:color="auto"/>
              <w:right w:val="single" w:sz="4" w:space="0" w:color="auto"/>
            </w:tcBorders>
            <w:vAlign w:val="center"/>
          </w:tcPr>
          <w:p w14:paraId="05C8ADD1"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 není pro DNSH dostatečnou zárukou</w:t>
            </w:r>
          </w:p>
        </w:tc>
        <w:tc>
          <w:tcPr>
            <w:tcW w:w="429" w:type="pct"/>
            <w:tcBorders>
              <w:top w:val="none" w:sz="4" w:space="0" w:color="000000"/>
              <w:left w:val="none" w:sz="4" w:space="0" w:color="000000"/>
              <w:bottom w:val="single" w:sz="4" w:space="0" w:color="auto"/>
              <w:right w:val="single" w:sz="4" w:space="0" w:color="auto"/>
            </w:tcBorders>
            <w:vAlign w:val="center"/>
          </w:tcPr>
          <w:p w14:paraId="7EC0E5BE"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 není pro DNSH dostatečnou zárukou</w:t>
            </w:r>
          </w:p>
        </w:tc>
      </w:tr>
      <w:tr w:rsidR="00602DCA" w14:paraId="2860BD37" w14:textId="77777777">
        <w:trPr>
          <w:trHeight w:val="20"/>
        </w:trPr>
        <w:tc>
          <w:tcPr>
            <w:tcW w:w="202" w:type="pct"/>
            <w:tcBorders>
              <w:top w:val="none" w:sz="4" w:space="0" w:color="000000"/>
              <w:left w:val="single" w:sz="4" w:space="0" w:color="auto"/>
              <w:bottom w:val="single" w:sz="4" w:space="0" w:color="auto"/>
              <w:right w:val="single" w:sz="4" w:space="0" w:color="auto"/>
            </w:tcBorders>
            <w:vAlign w:val="center"/>
          </w:tcPr>
          <w:p w14:paraId="6842C007" w14:textId="77777777" w:rsidR="00602DCA" w:rsidRDefault="00C5530C">
            <w:pPr>
              <w:spacing w:after="0" w:line="240" w:lineRule="auto"/>
              <w:jc w:val="righ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47</w:t>
            </w:r>
          </w:p>
        </w:tc>
        <w:tc>
          <w:tcPr>
            <w:tcW w:w="204" w:type="pct"/>
            <w:tcBorders>
              <w:top w:val="none" w:sz="4" w:space="0" w:color="000000"/>
              <w:left w:val="none" w:sz="4" w:space="0" w:color="000000"/>
              <w:bottom w:val="single" w:sz="4" w:space="0" w:color="auto"/>
              <w:right w:val="single" w:sz="4" w:space="0" w:color="auto"/>
            </w:tcBorders>
            <w:vAlign w:val="center"/>
          </w:tcPr>
          <w:p w14:paraId="63CDBF7B" w14:textId="77777777" w:rsidR="00602DCA" w:rsidRDefault="00C5530C">
            <w:pPr>
              <w:spacing w:after="0" w:line="240" w:lineRule="auto"/>
              <w:jc w:val="righ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28</w:t>
            </w:r>
          </w:p>
        </w:tc>
        <w:tc>
          <w:tcPr>
            <w:tcW w:w="1165" w:type="pct"/>
            <w:tcBorders>
              <w:top w:val="none" w:sz="4" w:space="0" w:color="000000"/>
              <w:left w:val="none" w:sz="4" w:space="0" w:color="000000"/>
              <w:bottom w:val="single" w:sz="4" w:space="0" w:color="auto"/>
              <w:right w:val="single" w:sz="4" w:space="0" w:color="auto"/>
            </w:tcBorders>
            <w:vAlign w:val="center"/>
          </w:tcPr>
          <w:p w14:paraId="6737C3F2"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Obnovitelná energie: větrná</w:t>
            </w:r>
          </w:p>
        </w:tc>
        <w:tc>
          <w:tcPr>
            <w:tcW w:w="304" w:type="pct"/>
            <w:tcBorders>
              <w:top w:val="none" w:sz="4" w:space="0" w:color="000000"/>
              <w:left w:val="none" w:sz="4" w:space="0" w:color="000000"/>
              <w:bottom w:val="single" w:sz="4" w:space="0" w:color="auto"/>
              <w:right w:val="single" w:sz="4" w:space="0" w:color="auto"/>
            </w:tcBorders>
            <w:vAlign w:val="center"/>
          </w:tcPr>
          <w:p w14:paraId="61651B31"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100 %</w:t>
            </w:r>
          </w:p>
        </w:tc>
        <w:tc>
          <w:tcPr>
            <w:tcW w:w="259" w:type="pct"/>
            <w:tcBorders>
              <w:top w:val="none" w:sz="4" w:space="0" w:color="000000"/>
              <w:left w:val="none" w:sz="4" w:space="0" w:color="000000"/>
              <w:bottom w:val="single" w:sz="4" w:space="0" w:color="auto"/>
              <w:right w:val="single" w:sz="4" w:space="0" w:color="auto"/>
            </w:tcBorders>
            <w:vAlign w:val="center"/>
          </w:tcPr>
          <w:p w14:paraId="7ED0FF70"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w:t>
            </w:r>
          </w:p>
        </w:tc>
        <w:tc>
          <w:tcPr>
            <w:tcW w:w="605" w:type="pct"/>
            <w:tcBorders>
              <w:top w:val="none" w:sz="4" w:space="0" w:color="000000"/>
              <w:left w:val="none" w:sz="4" w:space="0" w:color="000000"/>
              <w:bottom w:val="single" w:sz="4" w:space="0" w:color="auto"/>
              <w:right w:val="single" w:sz="4" w:space="0" w:color="auto"/>
            </w:tcBorders>
            <w:vAlign w:val="center"/>
          </w:tcPr>
          <w:p w14:paraId="32E46752"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splněno</w:t>
            </w:r>
          </w:p>
          <w:p w14:paraId="7F5C8389" w14:textId="77777777" w:rsidR="00602DCA" w:rsidRDefault="00602DCA">
            <w:pPr>
              <w:spacing w:after="0" w:line="240" w:lineRule="auto"/>
              <w:jc w:val="left"/>
              <w:rPr>
                <w:rFonts w:asciiTheme="minorHAnsi" w:eastAsia="Times New Roman" w:hAnsiTheme="minorHAnsi" w:cstheme="minorHAnsi"/>
                <w:color w:val="000000"/>
                <w:sz w:val="16"/>
                <w:szCs w:val="20"/>
                <w:lang w:eastAsia="cs-CZ"/>
              </w:rPr>
            </w:pPr>
          </w:p>
          <w:p w14:paraId="1B2F1B4E"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proofErr w:type="gramStart"/>
            <w:r>
              <w:rPr>
                <w:rFonts w:asciiTheme="minorHAnsi" w:eastAsia="Times New Roman" w:hAnsiTheme="minorHAnsi" w:cstheme="minorHAnsi"/>
                <w:color w:val="000000"/>
                <w:sz w:val="16"/>
                <w:szCs w:val="20"/>
                <w:lang w:eastAsia="cs-CZ"/>
              </w:rPr>
              <w:t>CP</w:t>
            </w:r>
            <w:proofErr w:type="gramEnd"/>
            <w:r>
              <w:rPr>
                <w:rFonts w:asciiTheme="minorHAnsi" w:eastAsia="Times New Roman" w:hAnsiTheme="minorHAnsi" w:cstheme="minorHAnsi"/>
                <w:color w:val="000000"/>
                <w:sz w:val="16"/>
                <w:szCs w:val="20"/>
                <w:lang w:eastAsia="cs-CZ"/>
              </w:rPr>
              <w:t xml:space="preserve"> pokud naplnění definice infrastruktury</w:t>
            </w:r>
          </w:p>
        </w:tc>
        <w:tc>
          <w:tcPr>
            <w:tcW w:w="460" w:type="pct"/>
            <w:tcBorders>
              <w:top w:val="none" w:sz="4" w:space="0" w:color="000000"/>
              <w:left w:val="none" w:sz="4" w:space="0" w:color="000000"/>
              <w:bottom w:val="single" w:sz="4" w:space="0" w:color="auto"/>
              <w:right w:val="single" w:sz="4" w:space="0" w:color="auto"/>
            </w:tcBorders>
            <w:vAlign w:val="center"/>
          </w:tcPr>
          <w:p w14:paraId="79372E9D"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r>
              <w:rPr>
                <w:rFonts w:asciiTheme="minorHAnsi" w:eastAsia="Times New Roman" w:hAnsiTheme="minorHAnsi" w:cstheme="minorHAnsi"/>
                <w:color w:val="000000"/>
                <w:sz w:val="16"/>
                <w:szCs w:val="20"/>
                <w:lang w:eastAsia="cs-CZ"/>
              </w:rPr>
              <w:br/>
            </w:r>
            <w:r>
              <w:rPr>
                <w:rFonts w:asciiTheme="minorHAnsi" w:eastAsia="Times New Roman" w:hAnsiTheme="minorHAnsi" w:cstheme="minorHAnsi"/>
                <w:color w:val="000000"/>
                <w:sz w:val="16"/>
                <w:szCs w:val="20"/>
                <w:lang w:eastAsia="cs-CZ"/>
              </w:rPr>
              <w:br/>
            </w:r>
            <w:proofErr w:type="gramStart"/>
            <w:r>
              <w:rPr>
                <w:rFonts w:asciiTheme="minorHAnsi" w:eastAsia="Times New Roman" w:hAnsiTheme="minorHAnsi" w:cstheme="minorHAnsi"/>
                <w:color w:val="000000"/>
                <w:sz w:val="16"/>
                <w:szCs w:val="20"/>
                <w:lang w:eastAsia="cs-CZ"/>
              </w:rPr>
              <w:t>CP</w:t>
            </w:r>
            <w:proofErr w:type="gramEnd"/>
            <w:r>
              <w:rPr>
                <w:rFonts w:asciiTheme="minorHAnsi" w:eastAsia="Times New Roman" w:hAnsiTheme="minorHAnsi" w:cstheme="minorHAnsi"/>
                <w:color w:val="000000"/>
                <w:sz w:val="16"/>
                <w:szCs w:val="20"/>
                <w:lang w:eastAsia="cs-CZ"/>
              </w:rPr>
              <w:t xml:space="preserve"> pokud naplnění definice infrastruktury</w:t>
            </w:r>
          </w:p>
        </w:tc>
        <w:tc>
          <w:tcPr>
            <w:tcW w:w="455" w:type="pct"/>
            <w:tcBorders>
              <w:top w:val="none" w:sz="4" w:space="0" w:color="000000"/>
              <w:left w:val="none" w:sz="4" w:space="0" w:color="000000"/>
              <w:bottom w:val="single" w:sz="4" w:space="0" w:color="auto"/>
              <w:right w:val="single" w:sz="4" w:space="0" w:color="auto"/>
            </w:tcBorders>
            <w:vAlign w:val="center"/>
          </w:tcPr>
          <w:p w14:paraId="55042E7A"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 není pro DNSH dostatečnou zárukou</w:t>
            </w:r>
          </w:p>
        </w:tc>
        <w:tc>
          <w:tcPr>
            <w:tcW w:w="456" w:type="pct"/>
            <w:tcBorders>
              <w:top w:val="none" w:sz="4" w:space="0" w:color="000000"/>
              <w:left w:val="none" w:sz="4" w:space="0" w:color="000000"/>
              <w:bottom w:val="single" w:sz="4" w:space="0" w:color="auto"/>
              <w:right w:val="single" w:sz="4" w:space="0" w:color="auto"/>
            </w:tcBorders>
            <w:vAlign w:val="center"/>
          </w:tcPr>
          <w:p w14:paraId="1C77D876"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 není pro DNSH dostatečnou zárukou</w:t>
            </w:r>
          </w:p>
        </w:tc>
        <w:tc>
          <w:tcPr>
            <w:tcW w:w="461" w:type="pct"/>
            <w:tcBorders>
              <w:top w:val="none" w:sz="4" w:space="0" w:color="000000"/>
              <w:left w:val="none" w:sz="4" w:space="0" w:color="000000"/>
              <w:bottom w:val="single" w:sz="4" w:space="0" w:color="auto"/>
              <w:right w:val="single" w:sz="4" w:space="0" w:color="auto"/>
            </w:tcBorders>
            <w:vAlign w:val="center"/>
          </w:tcPr>
          <w:p w14:paraId="3CB7EE0D"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 není pro DNSH dostatečnou zárukou</w:t>
            </w:r>
          </w:p>
        </w:tc>
        <w:tc>
          <w:tcPr>
            <w:tcW w:w="429" w:type="pct"/>
            <w:tcBorders>
              <w:top w:val="none" w:sz="4" w:space="0" w:color="000000"/>
              <w:left w:val="none" w:sz="4" w:space="0" w:color="000000"/>
              <w:bottom w:val="single" w:sz="4" w:space="0" w:color="auto"/>
              <w:right w:val="single" w:sz="4" w:space="0" w:color="auto"/>
            </w:tcBorders>
            <w:vAlign w:val="center"/>
          </w:tcPr>
          <w:p w14:paraId="773431A0"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 není pro DNSH dostatečnou zárukou</w:t>
            </w:r>
          </w:p>
        </w:tc>
      </w:tr>
      <w:tr w:rsidR="00602DCA" w14:paraId="56134EE8" w14:textId="77777777">
        <w:trPr>
          <w:trHeight w:val="20"/>
        </w:trPr>
        <w:tc>
          <w:tcPr>
            <w:tcW w:w="202" w:type="pct"/>
            <w:tcBorders>
              <w:top w:val="none" w:sz="4" w:space="0" w:color="000000"/>
              <w:left w:val="single" w:sz="4" w:space="0" w:color="auto"/>
              <w:bottom w:val="single" w:sz="4" w:space="0" w:color="auto"/>
              <w:right w:val="single" w:sz="4" w:space="0" w:color="auto"/>
            </w:tcBorders>
            <w:vAlign w:val="center"/>
          </w:tcPr>
          <w:p w14:paraId="2247A4A6" w14:textId="77777777" w:rsidR="00602DCA" w:rsidRDefault="00C5530C">
            <w:pPr>
              <w:spacing w:after="0" w:line="240" w:lineRule="auto"/>
              <w:jc w:val="righ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48</w:t>
            </w:r>
          </w:p>
        </w:tc>
        <w:tc>
          <w:tcPr>
            <w:tcW w:w="204" w:type="pct"/>
            <w:tcBorders>
              <w:top w:val="none" w:sz="4" w:space="0" w:color="000000"/>
              <w:left w:val="none" w:sz="4" w:space="0" w:color="000000"/>
              <w:bottom w:val="single" w:sz="4" w:space="0" w:color="auto"/>
              <w:right w:val="single" w:sz="4" w:space="0" w:color="auto"/>
            </w:tcBorders>
            <w:vAlign w:val="center"/>
          </w:tcPr>
          <w:p w14:paraId="31843A97" w14:textId="77777777" w:rsidR="00602DCA" w:rsidRDefault="00C5530C">
            <w:pPr>
              <w:spacing w:after="0" w:line="240" w:lineRule="auto"/>
              <w:jc w:val="righ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29</w:t>
            </w:r>
          </w:p>
        </w:tc>
        <w:tc>
          <w:tcPr>
            <w:tcW w:w="1165" w:type="pct"/>
            <w:tcBorders>
              <w:top w:val="none" w:sz="4" w:space="0" w:color="000000"/>
              <w:left w:val="none" w:sz="4" w:space="0" w:color="000000"/>
              <w:bottom w:val="single" w:sz="4" w:space="0" w:color="auto"/>
              <w:right w:val="single" w:sz="4" w:space="0" w:color="auto"/>
            </w:tcBorders>
            <w:vAlign w:val="center"/>
          </w:tcPr>
          <w:p w14:paraId="38C874DE"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Obnovitelná energie: solární</w:t>
            </w:r>
          </w:p>
        </w:tc>
        <w:tc>
          <w:tcPr>
            <w:tcW w:w="304" w:type="pct"/>
            <w:tcBorders>
              <w:top w:val="none" w:sz="4" w:space="0" w:color="000000"/>
              <w:left w:val="none" w:sz="4" w:space="0" w:color="000000"/>
              <w:bottom w:val="single" w:sz="4" w:space="0" w:color="auto"/>
              <w:right w:val="single" w:sz="4" w:space="0" w:color="auto"/>
            </w:tcBorders>
            <w:vAlign w:val="center"/>
          </w:tcPr>
          <w:p w14:paraId="7D384375"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100 %</w:t>
            </w:r>
          </w:p>
        </w:tc>
        <w:tc>
          <w:tcPr>
            <w:tcW w:w="259" w:type="pct"/>
            <w:tcBorders>
              <w:top w:val="none" w:sz="4" w:space="0" w:color="000000"/>
              <w:left w:val="none" w:sz="4" w:space="0" w:color="000000"/>
              <w:bottom w:val="single" w:sz="4" w:space="0" w:color="auto"/>
              <w:right w:val="single" w:sz="4" w:space="0" w:color="auto"/>
            </w:tcBorders>
            <w:vAlign w:val="center"/>
          </w:tcPr>
          <w:p w14:paraId="7280E566"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w:t>
            </w:r>
          </w:p>
        </w:tc>
        <w:tc>
          <w:tcPr>
            <w:tcW w:w="605" w:type="pct"/>
            <w:tcBorders>
              <w:top w:val="none" w:sz="4" w:space="0" w:color="000000"/>
              <w:left w:val="none" w:sz="4" w:space="0" w:color="000000"/>
              <w:bottom w:val="single" w:sz="4" w:space="0" w:color="auto"/>
              <w:right w:val="single" w:sz="4" w:space="0" w:color="auto"/>
            </w:tcBorders>
            <w:vAlign w:val="center"/>
          </w:tcPr>
          <w:p w14:paraId="55ED6AAC"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splněno</w:t>
            </w:r>
          </w:p>
          <w:p w14:paraId="102222A0" w14:textId="77777777" w:rsidR="00602DCA" w:rsidRDefault="00602DCA">
            <w:pPr>
              <w:spacing w:after="0" w:line="240" w:lineRule="auto"/>
              <w:jc w:val="left"/>
              <w:rPr>
                <w:rFonts w:asciiTheme="minorHAnsi" w:eastAsia="Times New Roman" w:hAnsiTheme="minorHAnsi" w:cstheme="minorHAnsi"/>
                <w:color w:val="000000"/>
                <w:sz w:val="16"/>
                <w:szCs w:val="20"/>
                <w:lang w:eastAsia="cs-CZ"/>
              </w:rPr>
            </w:pPr>
          </w:p>
          <w:p w14:paraId="08971B50"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proofErr w:type="gramStart"/>
            <w:r>
              <w:rPr>
                <w:rFonts w:asciiTheme="minorHAnsi" w:eastAsia="Times New Roman" w:hAnsiTheme="minorHAnsi" w:cstheme="minorHAnsi"/>
                <w:color w:val="000000"/>
                <w:sz w:val="16"/>
                <w:szCs w:val="20"/>
                <w:lang w:eastAsia="cs-CZ"/>
              </w:rPr>
              <w:t>CP</w:t>
            </w:r>
            <w:proofErr w:type="gramEnd"/>
            <w:r>
              <w:rPr>
                <w:rFonts w:asciiTheme="minorHAnsi" w:eastAsia="Times New Roman" w:hAnsiTheme="minorHAnsi" w:cstheme="minorHAnsi"/>
                <w:color w:val="000000"/>
                <w:sz w:val="16"/>
                <w:szCs w:val="20"/>
                <w:lang w:eastAsia="cs-CZ"/>
              </w:rPr>
              <w:t xml:space="preserve"> pokud naplnění definice infrastruktury</w:t>
            </w:r>
          </w:p>
        </w:tc>
        <w:tc>
          <w:tcPr>
            <w:tcW w:w="460" w:type="pct"/>
            <w:tcBorders>
              <w:top w:val="none" w:sz="4" w:space="0" w:color="000000"/>
              <w:left w:val="none" w:sz="4" w:space="0" w:color="000000"/>
              <w:bottom w:val="single" w:sz="4" w:space="0" w:color="auto"/>
              <w:right w:val="single" w:sz="4" w:space="0" w:color="auto"/>
            </w:tcBorders>
            <w:vAlign w:val="center"/>
          </w:tcPr>
          <w:p w14:paraId="27FF6E9B"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r>
              <w:rPr>
                <w:rFonts w:asciiTheme="minorHAnsi" w:eastAsia="Times New Roman" w:hAnsiTheme="minorHAnsi" w:cstheme="minorHAnsi"/>
                <w:color w:val="000000"/>
                <w:sz w:val="16"/>
                <w:szCs w:val="20"/>
                <w:lang w:eastAsia="cs-CZ"/>
              </w:rPr>
              <w:br/>
            </w:r>
            <w:r>
              <w:rPr>
                <w:rFonts w:asciiTheme="minorHAnsi" w:eastAsia="Times New Roman" w:hAnsiTheme="minorHAnsi" w:cstheme="minorHAnsi"/>
                <w:color w:val="000000"/>
                <w:sz w:val="16"/>
                <w:szCs w:val="20"/>
                <w:lang w:eastAsia="cs-CZ"/>
              </w:rPr>
              <w:br/>
            </w:r>
            <w:proofErr w:type="gramStart"/>
            <w:r>
              <w:rPr>
                <w:rFonts w:asciiTheme="minorHAnsi" w:eastAsia="Times New Roman" w:hAnsiTheme="minorHAnsi" w:cstheme="minorHAnsi"/>
                <w:color w:val="000000"/>
                <w:sz w:val="16"/>
                <w:szCs w:val="20"/>
                <w:lang w:eastAsia="cs-CZ"/>
              </w:rPr>
              <w:t>CP</w:t>
            </w:r>
            <w:proofErr w:type="gramEnd"/>
            <w:r>
              <w:rPr>
                <w:rFonts w:asciiTheme="minorHAnsi" w:eastAsia="Times New Roman" w:hAnsiTheme="minorHAnsi" w:cstheme="minorHAnsi"/>
                <w:color w:val="000000"/>
                <w:sz w:val="16"/>
                <w:szCs w:val="20"/>
                <w:lang w:eastAsia="cs-CZ"/>
              </w:rPr>
              <w:t xml:space="preserve"> pokud naplnění definice infrastruktury</w:t>
            </w:r>
          </w:p>
        </w:tc>
        <w:tc>
          <w:tcPr>
            <w:tcW w:w="455" w:type="pct"/>
            <w:tcBorders>
              <w:top w:val="none" w:sz="4" w:space="0" w:color="000000"/>
              <w:left w:val="none" w:sz="4" w:space="0" w:color="000000"/>
              <w:bottom w:val="single" w:sz="4" w:space="0" w:color="auto"/>
              <w:right w:val="single" w:sz="4" w:space="0" w:color="auto"/>
            </w:tcBorders>
            <w:vAlign w:val="center"/>
          </w:tcPr>
          <w:p w14:paraId="0D430009"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 není pro DNSH dostatečnou zárukou</w:t>
            </w:r>
          </w:p>
        </w:tc>
        <w:tc>
          <w:tcPr>
            <w:tcW w:w="456" w:type="pct"/>
            <w:tcBorders>
              <w:top w:val="none" w:sz="4" w:space="0" w:color="000000"/>
              <w:left w:val="none" w:sz="4" w:space="0" w:color="000000"/>
              <w:bottom w:val="single" w:sz="4" w:space="0" w:color="auto"/>
              <w:right w:val="single" w:sz="4" w:space="0" w:color="auto"/>
            </w:tcBorders>
            <w:vAlign w:val="center"/>
          </w:tcPr>
          <w:p w14:paraId="5E6516EF"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 není pro DNSH dostatečnou zárukou</w:t>
            </w:r>
          </w:p>
        </w:tc>
        <w:tc>
          <w:tcPr>
            <w:tcW w:w="461" w:type="pct"/>
            <w:tcBorders>
              <w:top w:val="none" w:sz="4" w:space="0" w:color="000000"/>
              <w:left w:val="none" w:sz="4" w:space="0" w:color="000000"/>
              <w:bottom w:val="single" w:sz="4" w:space="0" w:color="auto"/>
              <w:right w:val="single" w:sz="4" w:space="0" w:color="auto"/>
            </w:tcBorders>
            <w:vAlign w:val="center"/>
          </w:tcPr>
          <w:p w14:paraId="672DBB78"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 není pro DNSH dostatečnou zárukou</w:t>
            </w:r>
          </w:p>
        </w:tc>
        <w:tc>
          <w:tcPr>
            <w:tcW w:w="429" w:type="pct"/>
            <w:tcBorders>
              <w:top w:val="none" w:sz="4" w:space="0" w:color="000000"/>
              <w:left w:val="none" w:sz="4" w:space="0" w:color="000000"/>
              <w:bottom w:val="single" w:sz="4" w:space="0" w:color="auto"/>
              <w:right w:val="single" w:sz="4" w:space="0" w:color="auto"/>
            </w:tcBorders>
            <w:vAlign w:val="center"/>
          </w:tcPr>
          <w:p w14:paraId="607DD2F8"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 není pro DNSH dostatečnou zárukou</w:t>
            </w:r>
          </w:p>
        </w:tc>
      </w:tr>
      <w:tr w:rsidR="00602DCA" w14:paraId="4FA1F221" w14:textId="77777777">
        <w:trPr>
          <w:trHeight w:val="20"/>
        </w:trPr>
        <w:tc>
          <w:tcPr>
            <w:tcW w:w="202" w:type="pct"/>
            <w:tcBorders>
              <w:top w:val="none" w:sz="4" w:space="0" w:color="000000"/>
              <w:left w:val="single" w:sz="4" w:space="0" w:color="auto"/>
              <w:bottom w:val="single" w:sz="4" w:space="0" w:color="auto"/>
              <w:right w:val="single" w:sz="4" w:space="0" w:color="auto"/>
            </w:tcBorders>
            <w:vAlign w:val="center"/>
          </w:tcPr>
          <w:p w14:paraId="3DC6F9D1" w14:textId="77777777" w:rsidR="00602DCA" w:rsidRDefault="00C5530C">
            <w:pPr>
              <w:spacing w:after="0" w:line="240" w:lineRule="auto"/>
              <w:jc w:val="righ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49</w:t>
            </w:r>
          </w:p>
        </w:tc>
        <w:tc>
          <w:tcPr>
            <w:tcW w:w="204" w:type="pct"/>
            <w:tcBorders>
              <w:top w:val="none" w:sz="4" w:space="0" w:color="000000"/>
              <w:left w:val="none" w:sz="4" w:space="0" w:color="000000"/>
              <w:bottom w:val="single" w:sz="4" w:space="0" w:color="auto"/>
              <w:right w:val="single" w:sz="4" w:space="0" w:color="auto"/>
            </w:tcBorders>
            <w:vAlign w:val="center"/>
          </w:tcPr>
          <w:p w14:paraId="156A911C" w14:textId="77777777" w:rsidR="00602DCA" w:rsidRDefault="00C5530C">
            <w:pPr>
              <w:spacing w:after="0" w:line="240" w:lineRule="auto"/>
              <w:jc w:val="righ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30</w:t>
            </w:r>
          </w:p>
        </w:tc>
        <w:tc>
          <w:tcPr>
            <w:tcW w:w="1165" w:type="pct"/>
            <w:tcBorders>
              <w:top w:val="none" w:sz="4" w:space="0" w:color="000000"/>
              <w:left w:val="none" w:sz="4" w:space="0" w:color="000000"/>
              <w:bottom w:val="single" w:sz="4" w:space="0" w:color="auto"/>
              <w:right w:val="single" w:sz="4" w:space="0" w:color="auto"/>
            </w:tcBorders>
            <w:vAlign w:val="center"/>
          </w:tcPr>
          <w:p w14:paraId="344D8BE8" w14:textId="77777777" w:rsidR="00602DCA" w:rsidRDefault="00602DCA">
            <w:pPr>
              <w:spacing w:after="0" w:line="240" w:lineRule="auto"/>
              <w:rPr>
                <w:rFonts w:asciiTheme="minorHAnsi" w:eastAsia="Times New Roman" w:hAnsiTheme="minorHAnsi" w:cstheme="minorHAnsi"/>
                <w:color w:val="0563C1"/>
                <w:sz w:val="16"/>
                <w:szCs w:val="20"/>
                <w:u w:val="single"/>
                <w:lang w:eastAsia="cs-CZ"/>
              </w:rPr>
            </w:pPr>
            <w:hyperlink r:id="rId167" w:anchor="E0034" w:tooltip="https://eur-lex.europa.eu/legal-content/CS/TXT/?uri=CELEX%3A02021R1060-20210630&amp;qid=1659091609743#E0034" w:history="1">
              <w:r>
                <w:rPr>
                  <w:rFonts w:asciiTheme="minorHAnsi" w:eastAsia="Times New Roman" w:hAnsiTheme="minorHAnsi" w:cstheme="minorHAnsi"/>
                  <w:color w:val="0563C1"/>
                  <w:sz w:val="16"/>
                  <w:szCs w:val="20"/>
                  <w:u w:val="single"/>
                  <w:lang w:eastAsia="cs-CZ"/>
                </w:rPr>
                <w:t>Obnovitelná energie: z biomasy (13)</w:t>
              </w:r>
            </w:hyperlink>
          </w:p>
        </w:tc>
        <w:tc>
          <w:tcPr>
            <w:tcW w:w="304" w:type="pct"/>
            <w:tcBorders>
              <w:top w:val="none" w:sz="4" w:space="0" w:color="000000"/>
              <w:left w:val="none" w:sz="4" w:space="0" w:color="000000"/>
              <w:bottom w:val="single" w:sz="4" w:space="0" w:color="auto"/>
              <w:right w:val="single" w:sz="4" w:space="0" w:color="auto"/>
            </w:tcBorders>
            <w:vAlign w:val="center"/>
          </w:tcPr>
          <w:p w14:paraId="1DFD079E"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w:t>
            </w:r>
          </w:p>
        </w:tc>
        <w:tc>
          <w:tcPr>
            <w:tcW w:w="259" w:type="pct"/>
            <w:tcBorders>
              <w:top w:val="none" w:sz="4" w:space="0" w:color="000000"/>
              <w:left w:val="none" w:sz="4" w:space="0" w:color="000000"/>
              <w:bottom w:val="single" w:sz="4" w:space="0" w:color="auto"/>
              <w:right w:val="single" w:sz="4" w:space="0" w:color="auto"/>
            </w:tcBorders>
            <w:vAlign w:val="center"/>
          </w:tcPr>
          <w:p w14:paraId="0F1A050E"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w:t>
            </w:r>
          </w:p>
        </w:tc>
        <w:tc>
          <w:tcPr>
            <w:tcW w:w="605" w:type="pct"/>
            <w:tcBorders>
              <w:top w:val="none" w:sz="4" w:space="0" w:color="000000"/>
              <w:left w:val="none" w:sz="4" w:space="0" w:color="000000"/>
              <w:bottom w:val="single" w:sz="4" w:space="0" w:color="auto"/>
              <w:right w:val="single" w:sz="4" w:space="0" w:color="auto"/>
            </w:tcBorders>
            <w:vAlign w:val="center"/>
          </w:tcPr>
          <w:p w14:paraId="74409697"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 xml:space="preserve">40 % není pro DNSH dostatečnou zárukou, nutný </w:t>
            </w:r>
            <w:proofErr w:type="gramStart"/>
            <w:r>
              <w:rPr>
                <w:rFonts w:asciiTheme="minorHAnsi" w:eastAsia="Times New Roman" w:hAnsiTheme="minorHAnsi" w:cstheme="minorHAnsi"/>
                <w:color w:val="000000"/>
                <w:sz w:val="16"/>
                <w:szCs w:val="20"/>
                <w:lang w:eastAsia="cs-CZ"/>
              </w:rPr>
              <w:t>CP</w:t>
            </w:r>
            <w:proofErr w:type="gramEnd"/>
            <w:r>
              <w:rPr>
                <w:rFonts w:asciiTheme="minorHAnsi" w:eastAsia="Times New Roman" w:hAnsiTheme="minorHAnsi" w:cstheme="minorHAnsi"/>
                <w:color w:val="000000"/>
                <w:sz w:val="16"/>
                <w:szCs w:val="20"/>
                <w:lang w:eastAsia="cs-CZ"/>
              </w:rPr>
              <w:t xml:space="preserve"> pokud naplnění definice infrastruktury</w:t>
            </w:r>
          </w:p>
        </w:tc>
        <w:tc>
          <w:tcPr>
            <w:tcW w:w="460" w:type="pct"/>
            <w:tcBorders>
              <w:top w:val="none" w:sz="4" w:space="0" w:color="000000"/>
              <w:left w:val="none" w:sz="4" w:space="0" w:color="000000"/>
              <w:bottom w:val="single" w:sz="4" w:space="0" w:color="auto"/>
              <w:right w:val="single" w:sz="4" w:space="0" w:color="auto"/>
            </w:tcBorders>
            <w:vAlign w:val="center"/>
          </w:tcPr>
          <w:p w14:paraId="6CDE1B02"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 není pro DNSH dostatečnou zárukou</w:t>
            </w:r>
          </w:p>
          <w:p w14:paraId="1FBF1B2F" w14:textId="77777777" w:rsidR="00602DCA" w:rsidRDefault="00602DCA">
            <w:pPr>
              <w:spacing w:after="0" w:line="240" w:lineRule="auto"/>
              <w:jc w:val="left"/>
              <w:rPr>
                <w:rFonts w:asciiTheme="minorHAnsi" w:eastAsia="Times New Roman" w:hAnsiTheme="minorHAnsi" w:cstheme="minorHAnsi"/>
                <w:color w:val="000000"/>
                <w:sz w:val="16"/>
                <w:szCs w:val="20"/>
                <w:lang w:eastAsia="cs-CZ"/>
              </w:rPr>
            </w:pPr>
          </w:p>
          <w:p w14:paraId="01828C81"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proofErr w:type="gramStart"/>
            <w:r>
              <w:rPr>
                <w:rFonts w:asciiTheme="minorHAnsi" w:eastAsia="Times New Roman" w:hAnsiTheme="minorHAnsi" w:cstheme="minorHAnsi"/>
                <w:color w:val="000000"/>
                <w:sz w:val="16"/>
                <w:szCs w:val="20"/>
                <w:lang w:eastAsia="cs-CZ"/>
              </w:rPr>
              <w:t>CP</w:t>
            </w:r>
            <w:proofErr w:type="gramEnd"/>
            <w:r>
              <w:rPr>
                <w:rFonts w:asciiTheme="minorHAnsi" w:eastAsia="Times New Roman" w:hAnsiTheme="minorHAnsi" w:cstheme="minorHAnsi"/>
                <w:color w:val="000000"/>
                <w:sz w:val="16"/>
                <w:szCs w:val="20"/>
                <w:lang w:eastAsia="cs-CZ"/>
              </w:rPr>
              <w:t xml:space="preserve"> pokud naplnění definice infrastruktury</w:t>
            </w:r>
          </w:p>
        </w:tc>
        <w:tc>
          <w:tcPr>
            <w:tcW w:w="455" w:type="pct"/>
            <w:tcBorders>
              <w:top w:val="none" w:sz="4" w:space="0" w:color="000000"/>
              <w:left w:val="none" w:sz="4" w:space="0" w:color="000000"/>
              <w:bottom w:val="single" w:sz="4" w:space="0" w:color="auto"/>
              <w:right w:val="single" w:sz="4" w:space="0" w:color="auto"/>
            </w:tcBorders>
            <w:vAlign w:val="center"/>
          </w:tcPr>
          <w:p w14:paraId="0854EDB5"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 není pro DNSH dostatečnou zárukou</w:t>
            </w:r>
          </w:p>
        </w:tc>
        <w:tc>
          <w:tcPr>
            <w:tcW w:w="456" w:type="pct"/>
            <w:tcBorders>
              <w:top w:val="none" w:sz="4" w:space="0" w:color="000000"/>
              <w:left w:val="none" w:sz="4" w:space="0" w:color="000000"/>
              <w:bottom w:val="single" w:sz="4" w:space="0" w:color="auto"/>
              <w:right w:val="single" w:sz="4" w:space="0" w:color="auto"/>
            </w:tcBorders>
            <w:vAlign w:val="center"/>
          </w:tcPr>
          <w:p w14:paraId="3D2FFF1D"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 není pro DNSH dostatečnou zárukou</w:t>
            </w:r>
          </w:p>
        </w:tc>
        <w:tc>
          <w:tcPr>
            <w:tcW w:w="461" w:type="pct"/>
            <w:tcBorders>
              <w:top w:val="none" w:sz="4" w:space="0" w:color="000000"/>
              <w:left w:val="none" w:sz="4" w:space="0" w:color="000000"/>
              <w:bottom w:val="single" w:sz="4" w:space="0" w:color="auto"/>
              <w:right w:val="single" w:sz="4" w:space="0" w:color="auto"/>
            </w:tcBorders>
            <w:vAlign w:val="center"/>
          </w:tcPr>
          <w:p w14:paraId="755AD004"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 není pro DNSH dostatečnou zárukou</w:t>
            </w:r>
          </w:p>
        </w:tc>
        <w:tc>
          <w:tcPr>
            <w:tcW w:w="429" w:type="pct"/>
            <w:tcBorders>
              <w:top w:val="none" w:sz="4" w:space="0" w:color="000000"/>
              <w:left w:val="none" w:sz="4" w:space="0" w:color="000000"/>
              <w:bottom w:val="single" w:sz="4" w:space="0" w:color="auto"/>
              <w:right w:val="single" w:sz="4" w:space="0" w:color="auto"/>
            </w:tcBorders>
            <w:vAlign w:val="center"/>
          </w:tcPr>
          <w:p w14:paraId="37EB0EC2"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 není pro DNSH dostatečnou zárukou</w:t>
            </w:r>
          </w:p>
        </w:tc>
      </w:tr>
      <w:tr w:rsidR="00602DCA" w14:paraId="4C4841EE" w14:textId="77777777">
        <w:trPr>
          <w:trHeight w:val="20"/>
        </w:trPr>
        <w:tc>
          <w:tcPr>
            <w:tcW w:w="202" w:type="pct"/>
            <w:tcBorders>
              <w:top w:val="none" w:sz="4" w:space="0" w:color="000000"/>
              <w:left w:val="single" w:sz="4" w:space="0" w:color="auto"/>
              <w:bottom w:val="single" w:sz="4" w:space="0" w:color="auto"/>
              <w:right w:val="single" w:sz="4" w:space="0" w:color="auto"/>
            </w:tcBorders>
            <w:vAlign w:val="center"/>
          </w:tcPr>
          <w:p w14:paraId="12D2CB09" w14:textId="77777777" w:rsidR="00602DCA" w:rsidRDefault="00C5530C">
            <w:pPr>
              <w:spacing w:after="0" w:line="240" w:lineRule="auto"/>
              <w:jc w:val="righ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50</w:t>
            </w:r>
          </w:p>
        </w:tc>
        <w:tc>
          <w:tcPr>
            <w:tcW w:w="204" w:type="pct"/>
            <w:tcBorders>
              <w:top w:val="none" w:sz="4" w:space="0" w:color="000000"/>
              <w:left w:val="none" w:sz="4" w:space="0" w:color="000000"/>
              <w:bottom w:val="single" w:sz="4" w:space="0" w:color="auto"/>
              <w:right w:val="single" w:sz="4" w:space="0" w:color="auto"/>
            </w:tcBorders>
            <w:vAlign w:val="center"/>
          </w:tcPr>
          <w:p w14:paraId="3BC3D317" w14:textId="77777777" w:rsidR="00602DCA" w:rsidRDefault="00C5530C">
            <w:pPr>
              <w:spacing w:after="0" w:line="240" w:lineRule="auto"/>
              <w:rPr>
                <w:rFonts w:asciiTheme="minorHAnsi" w:eastAsia="Times New Roman" w:hAnsiTheme="minorHAnsi" w:cstheme="minorHAnsi"/>
                <w:color w:val="000000"/>
                <w:sz w:val="16"/>
                <w:szCs w:val="20"/>
                <w:lang w:eastAsia="cs-CZ"/>
              </w:rPr>
            </w:pPr>
            <w:proofErr w:type="gramStart"/>
            <w:r>
              <w:rPr>
                <w:rFonts w:asciiTheme="minorHAnsi" w:eastAsia="Times New Roman" w:hAnsiTheme="minorHAnsi" w:cstheme="minorHAnsi"/>
                <w:color w:val="000000"/>
                <w:sz w:val="16"/>
                <w:szCs w:val="20"/>
                <w:lang w:eastAsia="cs-CZ"/>
              </w:rPr>
              <w:t>030a</w:t>
            </w:r>
            <w:proofErr w:type="gramEnd"/>
          </w:p>
        </w:tc>
        <w:tc>
          <w:tcPr>
            <w:tcW w:w="1165" w:type="pct"/>
            <w:tcBorders>
              <w:top w:val="none" w:sz="4" w:space="0" w:color="000000"/>
              <w:left w:val="none" w:sz="4" w:space="0" w:color="000000"/>
              <w:bottom w:val="single" w:sz="4" w:space="0" w:color="auto"/>
              <w:right w:val="single" w:sz="4" w:space="0" w:color="auto"/>
            </w:tcBorders>
            <w:vAlign w:val="center"/>
          </w:tcPr>
          <w:p w14:paraId="6285E362" w14:textId="77777777" w:rsidR="00602DCA" w:rsidRDefault="00602DCA">
            <w:pPr>
              <w:spacing w:after="0" w:line="240" w:lineRule="auto"/>
              <w:rPr>
                <w:rFonts w:asciiTheme="minorHAnsi" w:eastAsia="Times New Roman" w:hAnsiTheme="minorHAnsi" w:cstheme="minorHAnsi"/>
                <w:color w:val="0563C1"/>
                <w:sz w:val="16"/>
                <w:szCs w:val="20"/>
                <w:u w:val="single"/>
                <w:lang w:eastAsia="cs-CZ"/>
              </w:rPr>
            </w:pPr>
            <w:hyperlink r:id="rId168" w:anchor="E0035" w:tooltip="https://eur-lex.europa.eu/legal-content/CS/TXT/?uri=CELEX%3A02021R1060-20210630&amp;qid=1659091609743#E0035" w:history="1">
              <w:r>
                <w:rPr>
                  <w:rFonts w:asciiTheme="minorHAnsi" w:eastAsia="Times New Roman" w:hAnsiTheme="minorHAnsi" w:cstheme="minorHAnsi"/>
                  <w:color w:val="0563C1"/>
                  <w:sz w:val="16"/>
                  <w:szCs w:val="20"/>
                  <w:u w:val="single"/>
                  <w:lang w:eastAsia="cs-CZ"/>
                </w:rPr>
                <w:t>Obnovitelná energie: z biomasy s vysokými úsporami emisí skleníkových plynů (14)</w:t>
              </w:r>
            </w:hyperlink>
          </w:p>
        </w:tc>
        <w:tc>
          <w:tcPr>
            <w:tcW w:w="304" w:type="pct"/>
            <w:tcBorders>
              <w:top w:val="none" w:sz="4" w:space="0" w:color="000000"/>
              <w:left w:val="none" w:sz="4" w:space="0" w:color="000000"/>
              <w:bottom w:val="single" w:sz="4" w:space="0" w:color="auto"/>
              <w:right w:val="single" w:sz="4" w:space="0" w:color="auto"/>
            </w:tcBorders>
            <w:vAlign w:val="center"/>
          </w:tcPr>
          <w:p w14:paraId="45711220"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100 %</w:t>
            </w:r>
          </w:p>
        </w:tc>
        <w:tc>
          <w:tcPr>
            <w:tcW w:w="259" w:type="pct"/>
            <w:tcBorders>
              <w:top w:val="none" w:sz="4" w:space="0" w:color="000000"/>
              <w:left w:val="none" w:sz="4" w:space="0" w:color="000000"/>
              <w:bottom w:val="single" w:sz="4" w:space="0" w:color="auto"/>
              <w:right w:val="single" w:sz="4" w:space="0" w:color="auto"/>
            </w:tcBorders>
            <w:vAlign w:val="center"/>
          </w:tcPr>
          <w:p w14:paraId="1DD12234"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w:t>
            </w:r>
          </w:p>
        </w:tc>
        <w:tc>
          <w:tcPr>
            <w:tcW w:w="605" w:type="pct"/>
            <w:tcBorders>
              <w:top w:val="none" w:sz="4" w:space="0" w:color="000000"/>
              <w:left w:val="none" w:sz="4" w:space="0" w:color="000000"/>
              <w:bottom w:val="single" w:sz="4" w:space="0" w:color="auto"/>
              <w:right w:val="single" w:sz="4" w:space="0" w:color="auto"/>
            </w:tcBorders>
            <w:vAlign w:val="center"/>
          </w:tcPr>
          <w:p w14:paraId="7B19F0CA"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splněno</w:t>
            </w:r>
          </w:p>
          <w:p w14:paraId="2D3775A9" w14:textId="77777777" w:rsidR="00602DCA" w:rsidRDefault="00602DCA">
            <w:pPr>
              <w:spacing w:after="0" w:line="240" w:lineRule="auto"/>
              <w:jc w:val="left"/>
              <w:rPr>
                <w:rFonts w:asciiTheme="minorHAnsi" w:eastAsia="Times New Roman" w:hAnsiTheme="minorHAnsi" w:cstheme="minorHAnsi"/>
                <w:color w:val="000000"/>
                <w:sz w:val="16"/>
                <w:szCs w:val="20"/>
                <w:lang w:eastAsia="cs-CZ"/>
              </w:rPr>
            </w:pPr>
          </w:p>
          <w:p w14:paraId="43A9AD09"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proofErr w:type="gramStart"/>
            <w:r>
              <w:rPr>
                <w:rFonts w:asciiTheme="minorHAnsi" w:eastAsia="Times New Roman" w:hAnsiTheme="minorHAnsi" w:cstheme="minorHAnsi"/>
                <w:color w:val="000000"/>
                <w:sz w:val="16"/>
                <w:szCs w:val="20"/>
                <w:lang w:eastAsia="cs-CZ"/>
              </w:rPr>
              <w:t>CP</w:t>
            </w:r>
            <w:proofErr w:type="gramEnd"/>
            <w:r>
              <w:rPr>
                <w:rFonts w:asciiTheme="minorHAnsi" w:eastAsia="Times New Roman" w:hAnsiTheme="minorHAnsi" w:cstheme="minorHAnsi"/>
                <w:color w:val="000000"/>
                <w:sz w:val="16"/>
                <w:szCs w:val="20"/>
                <w:lang w:eastAsia="cs-CZ"/>
              </w:rPr>
              <w:t xml:space="preserve"> pokud naplnění definice infrastruktury</w:t>
            </w:r>
          </w:p>
        </w:tc>
        <w:tc>
          <w:tcPr>
            <w:tcW w:w="460" w:type="pct"/>
            <w:tcBorders>
              <w:top w:val="none" w:sz="4" w:space="0" w:color="000000"/>
              <w:left w:val="none" w:sz="4" w:space="0" w:color="000000"/>
              <w:bottom w:val="single" w:sz="4" w:space="0" w:color="auto"/>
              <w:right w:val="single" w:sz="4" w:space="0" w:color="auto"/>
            </w:tcBorders>
            <w:vAlign w:val="center"/>
          </w:tcPr>
          <w:p w14:paraId="5F600789"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r>
              <w:rPr>
                <w:rFonts w:asciiTheme="minorHAnsi" w:eastAsia="Times New Roman" w:hAnsiTheme="minorHAnsi" w:cstheme="minorHAnsi"/>
                <w:color w:val="000000"/>
                <w:sz w:val="16"/>
                <w:szCs w:val="20"/>
                <w:lang w:eastAsia="cs-CZ"/>
              </w:rPr>
              <w:br/>
            </w:r>
            <w:r>
              <w:rPr>
                <w:rFonts w:asciiTheme="minorHAnsi" w:eastAsia="Times New Roman" w:hAnsiTheme="minorHAnsi" w:cstheme="minorHAnsi"/>
                <w:color w:val="000000"/>
                <w:sz w:val="16"/>
                <w:szCs w:val="20"/>
                <w:lang w:eastAsia="cs-CZ"/>
              </w:rPr>
              <w:br/>
            </w:r>
            <w:proofErr w:type="gramStart"/>
            <w:r>
              <w:rPr>
                <w:rFonts w:asciiTheme="minorHAnsi" w:eastAsia="Times New Roman" w:hAnsiTheme="minorHAnsi" w:cstheme="minorHAnsi"/>
                <w:color w:val="000000"/>
                <w:sz w:val="16"/>
                <w:szCs w:val="20"/>
                <w:lang w:eastAsia="cs-CZ"/>
              </w:rPr>
              <w:t>CP</w:t>
            </w:r>
            <w:proofErr w:type="gramEnd"/>
            <w:r>
              <w:rPr>
                <w:rFonts w:asciiTheme="minorHAnsi" w:eastAsia="Times New Roman" w:hAnsiTheme="minorHAnsi" w:cstheme="minorHAnsi"/>
                <w:color w:val="000000"/>
                <w:sz w:val="16"/>
                <w:szCs w:val="20"/>
                <w:lang w:eastAsia="cs-CZ"/>
              </w:rPr>
              <w:t xml:space="preserve"> pokud naplnění definice infrastruktury</w:t>
            </w:r>
          </w:p>
        </w:tc>
        <w:tc>
          <w:tcPr>
            <w:tcW w:w="455" w:type="pct"/>
            <w:tcBorders>
              <w:top w:val="none" w:sz="4" w:space="0" w:color="000000"/>
              <w:left w:val="none" w:sz="4" w:space="0" w:color="000000"/>
              <w:bottom w:val="single" w:sz="4" w:space="0" w:color="auto"/>
              <w:right w:val="single" w:sz="4" w:space="0" w:color="auto"/>
            </w:tcBorders>
            <w:vAlign w:val="center"/>
          </w:tcPr>
          <w:p w14:paraId="020E07BD"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 není pro DNSH dostatečnou zárukou</w:t>
            </w:r>
          </w:p>
        </w:tc>
        <w:tc>
          <w:tcPr>
            <w:tcW w:w="456" w:type="pct"/>
            <w:tcBorders>
              <w:top w:val="none" w:sz="4" w:space="0" w:color="000000"/>
              <w:left w:val="none" w:sz="4" w:space="0" w:color="000000"/>
              <w:bottom w:val="single" w:sz="4" w:space="0" w:color="auto"/>
              <w:right w:val="single" w:sz="4" w:space="0" w:color="auto"/>
            </w:tcBorders>
            <w:vAlign w:val="center"/>
          </w:tcPr>
          <w:p w14:paraId="6F4B7F86"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 není pro DNSH dostatečnou zárukou</w:t>
            </w:r>
          </w:p>
        </w:tc>
        <w:tc>
          <w:tcPr>
            <w:tcW w:w="461" w:type="pct"/>
            <w:tcBorders>
              <w:top w:val="none" w:sz="4" w:space="0" w:color="000000"/>
              <w:left w:val="none" w:sz="4" w:space="0" w:color="000000"/>
              <w:bottom w:val="single" w:sz="4" w:space="0" w:color="auto"/>
              <w:right w:val="single" w:sz="4" w:space="0" w:color="auto"/>
            </w:tcBorders>
            <w:vAlign w:val="center"/>
          </w:tcPr>
          <w:p w14:paraId="3E683BC8"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 není pro DNSH dostatečnou zárukou</w:t>
            </w:r>
          </w:p>
        </w:tc>
        <w:tc>
          <w:tcPr>
            <w:tcW w:w="429" w:type="pct"/>
            <w:tcBorders>
              <w:top w:val="none" w:sz="4" w:space="0" w:color="000000"/>
              <w:left w:val="none" w:sz="4" w:space="0" w:color="000000"/>
              <w:bottom w:val="single" w:sz="4" w:space="0" w:color="auto"/>
              <w:right w:val="single" w:sz="4" w:space="0" w:color="auto"/>
            </w:tcBorders>
            <w:vAlign w:val="center"/>
          </w:tcPr>
          <w:p w14:paraId="3FCA3B0D"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 není pro DNSH dostatečnou zárukou</w:t>
            </w:r>
          </w:p>
        </w:tc>
      </w:tr>
      <w:tr w:rsidR="00602DCA" w14:paraId="78843A7B" w14:textId="77777777">
        <w:trPr>
          <w:trHeight w:val="20"/>
        </w:trPr>
        <w:tc>
          <w:tcPr>
            <w:tcW w:w="202" w:type="pct"/>
            <w:tcBorders>
              <w:top w:val="none" w:sz="4" w:space="0" w:color="000000"/>
              <w:left w:val="single" w:sz="4" w:space="0" w:color="auto"/>
              <w:bottom w:val="single" w:sz="4" w:space="0" w:color="auto"/>
              <w:right w:val="single" w:sz="4" w:space="0" w:color="auto"/>
            </w:tcBorders>
            <w:vAlign w:val="center"/>
          </w:tcPr>
          <w:p w14:paraId="0B1629FF" w14:textId="77777777" w:rsidR="00602DCA" w:rsidRDefault="00C5530C">
            <w:pPr>
              <w:spacing w:after="0" w:line="240" w:lineRule="auto"/>
              <w:jc w:val="righ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51</w:t>
            </w:r>
          </w:p>
        </w:tc>
        <w:tc>
          <w:tcPr>
            <w:tcW w:w="204" w:type="pct"/>
            <w:tcBorders>
              <w:top w:val="none" w:sz="4" w:space="0" w:color="000000"/>
              <w:left w:val="none" w:sz="4" w:space="0" w:color="000000"/>
              <w:bottom w:val="single" w:sz="4" w:space="0" w:color="auto"/>
              <w:right w:val="single" w:sz="4" w:space="0" w:color="auto"/>
            </w:tcBorders>
            <w:vAlign w:val="center"/>
          </w:tcPr>
          <w:p w14:paraId="6C55C9A4" w14:textId="77777777" w:rsidR="00602DCA" w:rsidRDefault="00C5530C">
            <w:pPr>
              <w:spacing w:after="0" w:line="240" w:lineRule="auto"/>
              <w:jc w:val="righ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31</w:t>
            </w:r>
          </w:p>
        </w:tc>
        <w:tc>
          <w:tcPr>
            <w:tcW w:w="1165" w:type="pct"/>
            <w:tcBorders>
              <w:top w:val="none" w:sz="4" w:space="0" w:color="000000"/>
              <w:left w:val="none" w:sz="4" w:space="0" w:color="000000"/>
              <w:bottom w:val="single" w:sz="4" w:space="0" w:color="auto"/>
              <w:right w:val="single" w:sz="4" w:space="0" w:color="auto"/>
            </w:tcBorders>
            <w:vAlign w:val="center"/>
          </w:tcPr>
          <w:p w14:paraId="322586A6"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Obnovitelná energie: mořská</w:t>
            </w:r>
          </w:p>
        </w:tc>
        <w:tc>
          <w:tcPr>
            <w:tcW w:w="304" w:type="pct"/>
            <w:tcBorders>
              <w:top w:val="none" w:sz="4" w:space="0" w:color="000000"/>
              <w:left w:val="none" w:sz="4" w:space="0" w:color="000000"/>
              <w:bottom w:val="single" w:sz="4" w:space="0" w:color="auto"/>
              <w:right w:val="single" w:sz="4" w:space="0" w:color="auto"/>
            </w:tcBorders>
            <w:vAlign w:val="center"/>
          </w:tcPr>
          <w:p w14:paraId="64AB61B3"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100 %</w:t>
            </w:r>
          </w:p>
        </w:tc>
        <w:tc>
          <w:tcPr>
            <w:tcW w:w="259" w:type="pct"/>
            <w:tcBorders>
              <w:top w:val="none" w:sz="4" w:space="0" w:color="000000"/>
              <w:left w:val="none" w:sz="4" w:space="0" w:color="000000"/>
              <w:bottom w:val="single" w:sz="4" w:space="0" w:color="auto"/>
              <w:right w:val="single" w:sz="4" w:space="0" w:color="auto"/>
            </w:tcBorders>
            <w:vAlign w:val="center"/>
          </w:tcPr>
          <w:p w14:paraId="1DCFF03D"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w:t>
            </w:r>
          </w:p>
        </w:tc>
        <w:tc>
          <w:tcPr>
            <w:tcW w:w="605" w:type="pct"/>
            <w:tcBorders>
              <w:top w:val="none" w:sz="4" w:space="0" w:color="000000"/>
              <w:left w:val="none" w:sz="4" w:space="0" w:color="000000"/>
              <w:bottom w:val="single" w:sz="4" w:space="0" w:color="auto"/>
              <w:right w:val="single" w:sz="4" w:space="0" w:color="auto"/>
            </w:tcBorders>
            <w:vAlign w:val="center"/>
          </w:tcPr>
          <w:p w14:paraId="4D401054"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splněno</w:t>
            </w:r>
          </w:p>
          <w:p w14:paraId="2DBF3AE3" w14:textId="77777777" w:rsidR="00602DCA" w:rsidRDefault="00602DCA">
            <w:pPr>
              <w:spacing w:after="0" w:line="240" w:lineRule="auto"/>
              <w:jc w:val="left"/>
              <w:rPr>
                <w:rFonts w:asciiTheme="minorHAnsi" w:eastAsia="Times New Roman" w:hAnsiTheme="minorHAnsi" w:cstheme="minorHAnsi"/>
                <w:color w:val="000000"/>
                <w:sz w:val="16"/>
                <w:szCs w:val="20"/>
                <w:lang w:eastAsia="cs-CZ"/>
              </w:rPr>
            </w:pPr>
          </w:p>
          <w:p w14:paraId="1C42DE2C"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proofErr w:type="gramStart"/>
            <w:r>
              <w:rPr>
                <w:rFonts w:asciiTheme="minorHAnsi" w:eastAsia="Times New Roman" w:hAnsiTheme="minorHAnsi" w:cstheme="minorHAnsi"/>
                <w:color w:val="000000"/>
                <w:sz w:val="16"/>
                <w:szCs w:val="20"/>
                <w:lang w:eastAsia="cs-CZ"/>
              </w:rPr>
              <w:lastRenderedPageBreak/>
              <w:t>CP</w:t>
            </w:r>
            <w:proofErr w:type="gramEnd"/>
            <w:r>
              <w:rPr>
                <w:rFonts w:asciiTheme="minorHAnsi" w:eastAsia="Times New Roman" w:hAnsiTheme="minorHAnsi" w:cstheme="minorHAnsi"/>
                <w:color w:val="000000"/>
                <w:sz w:val="16"/>
                <w:szCs w:val="20"/>
                <w:lang w:eastAsia="cs-CZ"/>
              </w:rPr>
              <w:t xml:space="preserve"> pokud naplnění definice infrastruktury</w:t>
            </w:r>
          </w:p>
        </w:tc>
        <w:tc>
          <w:tcPr>
            <w:tcW w:w="460" w:type="pct"/>
            <w:tcBorders>
              <w:top w:val="none" w:sz="4" w:space="0" w:color="000000"/>
              <w:left w:val="none" w:sz="4" w:space="0" w:color="000000"/>
              <w:bottom w:val="single" w:sz="4" w:space="0" w:color="auto"/>
              <w:right w:val="single" w:sz="4" w:space="0" w:color="auto"/>
            </w:tcBorders>
            <w:vAlign w:val="center"/>
          </w:tcPr>
          <w:p w14:paraId="4C52114E"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lastRenderedPageBreak/>
              <w:t>DNSH nutné posoudit</w:t>
            </w:r>
            <w:r>
              <w:rPr>
                <w:rFonts w:asciiTheme="minorHAnsi" w:eastAsia="Times New Roman" w:hAnsiTheme="minorHAnsi" w:cstheme="minorHAnsi"/>
                <w:color w:val="000000"/>
                <w:sz w:val="16"/>
                <w:szCs w:val="20"/>
                <w:lang w:eastAsia="cs-CZ"/>
              </w:rPr>
              <w:br/>
            </w:r>
            <w:r>
              <w:rPr>
                <w:rFonts w:asciiTheme="minorHAnsi" w:eastAsia="Times New Roman" w:hAnsiTheme="minorHAnsi" w:cstheme="minorHAnsi"/>
                <w:color w:val="000000"/>
                <w:sz w:val="16"/>
                <w:szCs w:val="20"/>
                <w:lang w:eastAsia="cs-CZ"/>
              </w:rPr>
              <w:lastRenderedPageBreak/>
              <w:br/>
            </w:r>
            <w:proofErr w:type="gramStart"/>
            <w:r>
              <w:rPr>
                <w:rFonts w:asciiTheme="minorHAnsi" w:eastAsia="Times New Roman" w:hAnsiTheme="minorHAnsi" w:cstheme="minorHAnsi"/>
                <w:color w:val="000000"/>
                <w:sz w:val="16"/>
                <w:szCs w:val="20"/>
                <w:lang w:eastAsia="cs-CZ"/>
              </w:rPr>
              <w:t>CP</w:t>
            </w:r>
            <w:proofErr w:type="gramEnd"/>
            <w:r>
              <w:rPr>
                <w:rFonts w:asciiTheme="minorHAnsi" w:eastAsia="Times New Roman" w:hAnsiTheme="minorHAnsi" w:cstheme="minorHAnsi"/>
                <w:color w:val="000000"/>
                <w:sz w:val="16"/>
                <w:szCs w:val="20"/>
                <w:lang w:eastAsia="cs-CZ"/>
              </w:rPr>
              <w:t xml:space="preserve"> pokud naplnění definice infrastruktury</w:t>
            </w:r>
          </w:p>
        </w:tc>
        <w:tc>
          <w:tcPr>
            <w:tcW w:w="455" w:type="pct"/>
            <w:tcBorders>
              <w:top w:val="none" w:sz="4" w:space="0" w:color="000000"/>
              <w:left w:val="none" w:sz="4" w:space="0" w:color="000000"/>
              <w:bottom w:val="single" w:sz="4" w:space="0" w:color="auto"/>
              <w:right w:val="single" w:sz="4" w:space="0" w:color="auto"/>
            </w:tcBorders>
            <w:vAlign w:val="center"/>
          </w:tcPr>
          <w:p w14:paraId="036EB694"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lastRenderedPageBreak/>
              <w:t xml:space="preserve">40 % není pro DNSH </w:t>
            </w:r>
            <w:r>
              <w:rPr>
                <w:rFonts w:asciiTheme="minorHAnsi" w:eastAsia="Times New Roman" w:hAnsiTheme="minorHAnsi" w:cstheme="minorHAnsi"/>
                <w:color w:val="000000"/>
                <w:sz w:val="16"/>
                <w:szCs w:val="20"/>
                <w:lang w:eastAsia="cs-CZ"/>
              </w:rPr>
              <w:lastRenderedPageBreak/>
              <w:t>dostatečnou zárukou</w:t>
            </w:r>
          </w:p>
        </w:tc>
        <w:tc>
          <w:tcPr>
            <w:tcW w:w="456" w:type="pct"/>
            <w:tcBorders>
              <w:top w:val="none" w:sz="4" w:space="0" w:color="000000"/>
              <w:left w:val="none" w:sz="4" w:space="0" w:color="000000"/>
              <w:bottom w:val="single" w:sz="4" w:space="0" w:color="auto"/>
              <w:right w:val="single" w:sz="4" w:space="0" w:color="auto"/>
            </w:tcBorders>
            <w:vAlign w:val="center"/>
          </w:tcPr>
          <w:p w14:paraId="495F0C0E"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lastRenderedPageBreak/>
              <w:t xml:space="preserve">40 % není pro DNSH </w:t>
            </w:r>
            <w:r>
              <w:rPr>
                <w:rFonts w:asciiTheme="minorHAnsi" w:eastAsia="Times New Roman" w:hAnsiTheme="minorHAnsi" w:cstheme="minorHAnsi"/>
                <w:color w:val="000000"/>
                <w:sz w:val="16"/>
                <w:szCs w:val="20"/>
                <w:lang w:eastAsia="cs-CZ"/>
              </w:rPr>
              <w:lastRenderedPageBreak/>
              <w:t>dostatečnou zárukou</w:t>
            </w:r>
          </w:p>
        </w:tc>
        <w:tc>
          <w:tcPr>
            <w:tcW w:w="461" w:type="pct"/>
            <w:tcBorders>
              <w:top w:val="none" w:sz="4" w:space="0" w:color="000000"/>
              <w:left w:val="none" w:sz="4" w:space="0" w:color="000000"/>
              <w:bottom w:val="single" w:sz="4" w:space="0" w:color="auto"/>
              <w:right w:val="single" w:sz="4" w:space="0" w:color="auto"/>
            </w:tcBorders>
            <w:vAlign w:val="center"/>
          </w:tcPr>
          <w:p w14:paraId="5E5E4914"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lastRenderedPageBreak/>
              <w:t xml:space="preserve">40 % není pro DNSH </w:t>
            </w:r>
            <w:r>
              <w:rPr>
                <w:rFonts w:asciiTheme="minorHAnsi" w:eastAsia="Times New Roman" w:hAnsiTheme="minorHAnsi" w:cstheme="minorHAnsi"/>
                <w:color w:val="000000"/>
                <w:sz w:val="16"/>
                <w:szCs w:val="20"/>
                <w:lang w:eastAsia="cs-CZ"/>
              </w:rPr>
              <w:lastRenderedPageBreak/>
              <w:t>dostatečnou zárukou</w:t>
            </w:r>
          </w:p>
        </w:tc>
        <w:tc>
          <w:tcPr>
            <w:tcW w:w="429" w:type="pct"/>
            <w:tcBorders>
              <w:top w:val="none" w:sz="4" w:space="0" w:color="000000"/>
              <w:left w:val="none" w:sz="4" w:space="0" w:color="000000"/>
              <w:bottom w:val="single" w:sz="4" w:space="0" w:color="auto"/>
              <w:right w:val="single" w:sz="4" w:space="0" w:color="auto"/>
            </w:tcBorders>
            <w:vAlign w:val="center"/>
          </w:tcPr>
          <w:p w14:paraId="622675DB"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lastRenderedPageBreak/>
              <w:t xml:space="preserve">40 % není pro DNSH </w:t>
            </w:r>
            <w:r>
              <w:rPr>
                <w:rFonts w:asciiTheme="minorHAnsi" w:eastAsia="Times New Roman" w:hAnsiTheme="minorHAnsi" w:cstheme="minorHAnsi"/>
                <w:color w:val="000000"/>
                <w:sz w:val="16"/>
                <w:szCs w:val="20"/>
                <w:lang w:eastAsia="cs-CZ"/>
              </w:rPr>
              <w:lastRenderedPageBreak/>
              <w:t>dostatečnou zárukou</w:t>
            </w:r>
          </w:p>
        </w:tc>
      </w:tr>
      <w:tr w:rsidR="00602DCA" w14:paraId="363FF714" w14:textId="77777777">
        <w:trPr>
          <w:trHeight w:val="20"/>
        </w:trPr>
        <w:tc>
          <w:tcPr>
            <w:tcW w:w="202" w:type="pct"/>
            <w:tcBorders>
              <w:top w:val="none" w:sz="4" w:space="0" w:color="000000"/>
              <w:left w:val="single" w:sz="4" w:space="0" w:color="auto"/>
              <w:bottom w:val="single" w:sz="4" w:space="0" w:color="auto"/>
              <w:right w:val="single" w:sz="4" w:space="0" w:color="auto"/>
            </w:tcBorders>
            <w:vAlign w:val="center"/>
          </w:tcPr>
          <w:p w14:paraId="03C47E6B" w14:textId="77777777" w:rsidR="00602DCA" w:rsidRDefault="00C5530C">
            <w:pPr>
              <w:spacing w:after="0" w:line="240" w:lineRule="auto"/>
              <w:jc w:val="righ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lastRenderedPageBreak/>
              <w:t>52</w:t>
            </w:r>
          </w:p>
        </w:tc>
        <w:tc>
          <w:tcPr>
            <w:tcW w:w="204" w:type="pct"/>
            <w:tcBorders>
              <w:top w:val="none" w:sz="4" w:space="0" w:color="000000"/>
              <w:left w:val="none" w:sz="4" w:space="0" w:color="000000"/>
              <w:bottom w:val="single" w:sz="4" w:space="0" w:color="auto"/>
              <w:right w:val="single" w:sz="4" w:space="0" w:color="auto"/>
            </w:tcBorders>
            <w:vAlign w:val="center"/>
          </w:tcPr>
          <w:p w14:paraId="24327A8E" w14:textId="77777777" w:rsidR="00602DCA" w:rsidRDefault="00C5530C">
            <w:pPr>
              <w:spacing w:after="0" w:line="240" w:lineRule="auto"/>
              <w:jc w:val="righ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32</w:t>
            </w:r>
          </w:p>
        </w:tc>
        <w:tc>
          <w:tcPr>
            <w:tcW w:w="1165" w:type="pct"/>
            <w:tcBorders>
              <w:top w:val="none" w:sz="4" w:space="0" w:color="000000"/>
              <w:left w:val="none" w:sz="4" w:space="0" w:color="000000"/>
              <w:bottom w:val="single" w:sz="4" w:space="0" w:color="auto"/>
              <w:right w:val="single" w:sz="4" w:space="0" w:color="auto"/>
            </w:tcBorders>
            <w:vAlign w:val="center"/>
          </w:tcPr>
          <w:p w14:paraId="3F946F74"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Jiné obnovitelné zdroje energie (včetně geotermální energie)</w:t>
            </w:r>
          </w:p>
        </w:tc>
        <w:tc>
          <w:tcPr>
            <w:tcW w:w="304" w:type="pct"/>
            <w:tcBorders>
              <w:top w:val="none" w:sz="4" w:space="0" w:color="000000"/>
              <w:left w:val="none" w:sz="4" w:space="0" w:color="000000"/>
              <w:bottom w:val="single" w:sz="4" w:space="0" w:color="auto"/>
              <w:right w:val="single" w:sz="4" w:space="0" w:color="auto"/>
            </w:tcBorders>
            <w:vAlign w:val="center"/>
          </w:tcPr>
          <w:p w14:paraId="3C849520"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100 %</w:t>
            </w:r>
          </w:p>
        </w:tc>
        <w:tc>
          <w:tcPr>
            <w:tcW w:w="259" w:type="pct"/>
            <w:tcBorders>
              <w:top w:val="none" w:sz="4" w:space="0" w:color="000000"/>
              <w:left w:val="none" w:sz="4" w:space="0" w:color="000000"/>
              <w:bottom w:val="single" w:sz="4" w:space="0" w:color="auto"/>
              <w:right w:val="single" w:sz="4" w:space="0" w:color="auto"/>
            </w:tcBorders>
            <w:vAlign w:val="center"/>
          </w:tcPr>
          <w:p w14:paraId="4559BA40"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w:t>
            </w:r>
          </w:p>
        </w:tc>
        <w:tc>
          <w:tcPr>
            <w:tcW w:w="605" w:type="pct"/>
            <w:tcBorders>
              <w:top w:val="none" w:sz="4" w:space="0" w:color="000000"/>
              <w:left w:val="none" w:sz="4" w:space="0" w:color="000000"/>
              <w:bottom w:val="single" w:sz="4" w:space="0" w:color="auto"/>
              <w:right w:val="single" w:sz="4" w:space="0" w:color="auto"/>
            </w:tcBorders>
            <w:vAlign w:val="center"/>
          </w:tcPr>
          <w:p w14:paraId="1E4B09FC"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splněno</w:t>
            </w:r>
          </w:p>
          <w:p w14:paraId="3FCACF21" w14:textId="77777777" w:rsidR="00602DCA" w:rsidRDefault="00602DCA">
            <w:pPr>
              <w:spacing w:after="0" w:line="240" w:lineRule="auto"/>
              <w:jc w:val="left"/>
              <w:rPr>
                <w:rFonts w:asciiTheme="minorHAnsi" w:eastAsia="Times New Roman" w:hAnsiTheme="minorHAnsi" w:cstheme="minorHAnsi"/>
                <w:color w:val="000000"/>
                <w:sz w:val="16"/>
                <w:szCs w:val="20"/>
                <w:lang w:eastAsia="cs-CZ"/>
              </w:rPr>
            </w:pPr>
          </w:p>
          <w:p w14:paraId="627902DF"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proofErr w:type="gramStart"/>
            <w:r>
              <w:rPr>
                <w:rFonts w:asciiTheme="minorHAnsi" w:eastAsia="Times New Roman" w:hAnsiTheme="minorHAnsi" w:cstheme="minorHAnsi"/>
                <w:color w:val="000000"/>
                <w:sz w:val="16"/>
                <w:szCs w:val="20"/>
                <w:lang w:eastAsia="cs-CZ"/>
              </w:rPr>
              <w:t>CP</w:t>
            </w:r>
            <w:proofErr w:type="gramEnd"/>
            <w:r>
              <w:rPr>
                <w:rFonts w:asciiTheme="minorHAnsi" w:eastAsia="Times New Roman" w:hAnsiTheme="minorHAnsi" w:cstheme="minorHAnsi"/>
                <w:color w:val="000000"/>
                <w:sz w:val="16"/>
                <w:szCs w:val="20"/>
                <w:lang w:eastAsia="cs-CZ"/>
              </w:rPr>
              <w:t xml:space="preserve"> pokud naplnění definice infrastruktury</w:t>
            </w:r>
          </w:p>
          <w:p w14:paraId="577015B4" w14:textId="77777777" w:rsidR="00602DCA" w:rsidRDefault="00602DCA">
            <w:pPr>
              <w:spacing w:after="0" w:line="240" w:lineRule="auto"/>
              <w:jc w:val="left"/>
              <w:rPr>
                <w:rFonts w:asciiTheme="minorHAnsi" w:eastAsia="Times New Roman" w:hAnsiTheme="minorHAnsi" w:cstheme="minorHAnsi"/>
                <w:color w:val="000000"/>
                <w:sz w:val="16"/>
                <w:szCs w:val="20"/>
                <w:lang w:eastAsia="cs-CZ"/>
              </w:rPr>
            </w:pPr>
          </w:p>
        </w:tc>
        <w:tc>
          <w:tcPr>
            <w:tcW w:w="460" w:type="pct"/>
            <w:tcBorders>
              <w:top w:val="none" w:sz="4" w:space="0" w:color="000000"/>
              <w:left w:val="none" w:sz="4" w:space="0" w:color="000000"/>
              <w:bottom w:val="single" w:sz="4" w:space="0" w:color="auto"/>
              <w:right w:val="single" w:sz="4" w:space="0" w:color="auto"/>
            </w:tcBorders>
            <w:vAlign w:val="center"/>
          </w:tcPr>
          <w:p w14:paraId="01FD7B6D"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r>
              <w:rPr>
                <w:rFonts w:asciiTheme="minorHAnsi" w:eastAsia="Times New Roman" w:hAnsiTheme="minorHAnsi" w:cstheme="minorHAnsi"/>
                <w:color w:val="000000"/>
                <w:sz w:val="16"/>
                <w:szCs w:val="20"/>
                <w:lang w:eastAsia="cs-CZ"/>
              </w:rPr>
              <w:br/>
            </w:r>
            <w:r>
              <w:rPr>
                <w:rFonts w:asciiTheme="minorHAnsi" w:eastAsia="Times New Roman" w:hAnsiTheme="minorHAnsi" w:cstheme="minorHAnsi"/>
                <w:color w:val="000000"/>
                <w:sz w:val="16"/>
                <w:szCs w:val="20"/>
                <w:lang w:eastAsia="cs-CZ"/>
              </w:rPr>
              <w:br/>
            </w:r>
            <w:proofErr w:type="gramStart"/>
            <w:r>
              <w:rPr>
                <w:rFonts w:asciiTheme="minorHAnsi" w:eastAsia="Times New Roman" w:hAnsiTheme="minorHAnsi" w:cstheme="minorHAnsi"/>
                <w:color w:val="000000"/>
                <w:sz w:val="16"/>
                <w:szCs w:val="20"/>
                <w:lang w:eastAsia="cs-CZ"/>
              </w:rPr>
              <w:t>CP</w:t>
            </w:r>
            <w:proofErr w:type="gramEnd"/>
            <w:r>
              <w:rPr>
                <w:rFonts w:asciiTheme="minorHAnsi" w:eastAsia="Times New Roman" w:hAnsiTheme="minorHAnsi" w:cstheme="minorHAnsi"/>
                <w:color w:val="000000"/>
                <w:sz w:val="16"/>
                <w:szCs w:val="20"/>
                <w:lang w:eastAsia="cs-CZ"/>
              </w:rPr>
              <w:t xml:space="preserve"> pokud naplnění definice infrastruktury</w:t>
            </w:r>
          </w:p>
        </w:tc>
        <w:tc>
          <w:tcPr>
            <w:tcW w:w="455" w:type="pct"/>
            <w:tcBorders>
              <w:top w:val="none" w:sz="4" w:space="0" w:color="000000"/>
              <w:left w:val="none" w:sz="4" w:space="0" w:color="000000"/>
              <w:bottom w:val="single" w:sz="4" w:space="0" w:color="auto"/>
              <w:right w:val="single" w:sz="4" w:space="0" w:color="auto"/>
            </w:tcBorders>
            <w:vAlign w:val="center"/>
          </w:tcPr>
          <w:p w14:paraId="7474C0B0"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 není pro DNSH dostatečnou zárukou</w:t>
            </w:r>
          </w:p>
        </w:tc>
        <w:tc>
          <w:tcPr>
            <w:tcW w:w="456" w:type="pct"/>
            <w:tcBorders>
              <w:top w:val="none" w:sz="4" w:space="0" w:color="000000"/>
              <w:left w:val="none" w:sz="4" w:space="0" w:color="000000"/>
              <w:bottom w:val="single" w:sz="4" w:space="0" w:color="auto"/>
              <w:right w:val="single" w:sz="4" w:space="0" w:color="auto"/>
            </w:tcBorders>
            <w:vAlign w:val="center"/>
          </w:tcPr>
          <w:p w14:paraId="3E1113B4"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 není pro DNSH dostatečnou zárukou</w:t>
            </w:r>
          </w:p>
        </w:tc>
        <w:tc>
          <w:tcPr>
            <w:tcW w:w="461" w:type="pct"/>
            <w:tcBorders>
              <w:top w:val="none" w:sz="4" w:space="0" w:color="000000"/>
              <w:left w:val="none" w:sz="4" w:space="0" w:color="000000"/>
              <w:bottom w:val="single" w:sz="4" w:space="0" w:color="auto"/>
              <w:right w:val="single" w:sz="4" w:space="0" w:color="auto"/>
            </w:tcBorders>
            <w:vAlign w:val="center"/>
          </w:tcPr>
          <w:p w14:paraId="302DC339"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 není pro DNSH dostatečnou zárukou</w:t>
            </w:r>
          </w:p>
        </w:tc>
        <w:tc>
          <w:tcPr>
            <w:tcW w:w="429" w:type="pct"/>
            <w:tcBorders>
              <w:top w:val="none" w:sz="4" w:space="0" w:color="000000"/>
              <w:left w:val="none" w:sz="4" w:space="0" w:color="000000"/>
              <w:bottom w:val="single" w:sz="4" w:space="0" w:color="auto"/>
              <w:right w:val="single" w:sz="4" w:space="0" w:color="auto"/>
            </w:tcBorders>
            <w:vAlign w:val="center"/>
          </w:tcPr>
          <w:p w14:paraId="66A72B96"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 není pro DNSH dostatečnou zárukou</w:t>
            </w:r>
          </w:p>
        </w:tc>
      </w:tr>
      <w:tr w:rsidR="00602DCA" w14:paraId="2176E8CE" w14:textId="77777777">
        <w:trPr>
          <w:trHeight w:val="20"/>
        </w:trPr>
        <w:tc>
          <w:tcPr>
            <w:tcW w:w="202" w:type="pct"/>
            <w:tcBorders>
              <w:top w:val="none" w:sz="4" w:space="0" w:color="000000"/>
              <w:left w:val="single" w:sz="4" w:space="0" w:color="auto"/>
              <w:bottom w:val="single" w:sz="4" w:space="0" w:color="auto"/>
              <w:right w:val="single" w:sz="4" w:space="0" w:color="auto"/>
            </w:tcBorders>
            <w:vAlign w:val="center"/>
          </w:tcPr>
          <w:p w14:paraId="4EF68F15" w14:textId="77777777" w:rsidR="00602DCA" w:rsidRDefault="00C5530C">
            <w:pPr>
              <w:spacing w:after="0" w:line="240" w:lineRule="auto"/>
              <w:jc w:val="righ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53</w:t>
            </w:r>
          </w:p>
        </w:tc>
        <w:tc>
          <w:tcPr>
            <w:tcW w:w="204" w:type="pct"/>
            <w:tcBorders>
              <w:top w:val="none" w:sz="4" w:space="0" w:color="000000"/>
              <w:left w:val="none" w:sz="4" w:space="0" w:color="000000"/>
              <w:bottom w:val="single" w:sz="4" w:space="0" w:color="auto"/>
              <w:right w:val="single" w:sz="4" w:space="0" w:color="auto"/>
            </w:tcBorders>
            <w:vAlign w:val="center"/>
          </w:tcPr>
          <w:p w14:paraId="63DC0A25" w14:textId="77777777" w:rsidR="00602DCA" w:rsidRDefault="00C5530C">
            <w:pPr>
              <w:spacing w:after="0" w:line="240" w:lineRule="auto"/>
              <w:jc w:val="righ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33</w:t>
            </w:r>
          </w:p>
        </w:tc>
        <w:tc>
          <w:tcPr>
            <w:tcW w:w="1165" w:type="pct"/>
            <w:tcBorders>
              <w:top w:val="none" w:sz="4" w:space="0" w:color="000000"/>
              <w:left w:val="none" w:sz="4" w:space="0" w:color="000000"/>
              <w:bottom w:val="single" w:sz="4" w:space="0" w:color="auto"/>
              <w:right w:val="single" w:sz="4" w:space="0" w:color="auto"/>
            </w:tcBorders>
            <w:vAlign w:val="center"/>
          </w:tcPr>
          <w:p w14:paraId="0B7E0E67"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Inteligentní energetické systémy (včetně inteligentních sítí a systémů IKT) a související skladování</w:t>
            </w:r>
          </w:p>
        </w:tc>
        <w:tc>
          <w:tcPr>
            <w:tcW w:w="304" w:type="pct"/>
            <w:tcBorders>
              <w:top w:val="none" w:sz="4" w:space="0" w:color="000000"/>
              <w:left w:val="none" w:sz="4" w:space="0" w:color="000000"/>
              <w:bottom w:val="single" w:sz="4" w:space="0" w:color="auto"/>
              <w:right w:val="single" w:sz="4" w:space="0" w:color="auto"/>
            </w:tcBorders>
            <w:vAlign w:val="center"/>
          </w:tcPr>
          <w:p w14:paraId="7DFB3A8A"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100 %</w:t>
            </w:r>
          </w:p>
        </w:tc>
        <w:tc>
          <w:tcPr>
            <w:tcW w:w="259" w:type="pct"/>
            <w:tcBorders>
              <w:top w:val="none" w:sz="4" w:space="0" w:color="000000"/>
              <w:left w:val="none" w:sz="4" w:space="0" w:color="000000"/>
              <w:bottom w:val="single" w:sz="4" w:space="0" w:color="auto"/>
              <w:right w:val="single" w:sz="4" w:space="0" w:color="auto"/>
            </w:tcBorders>
            <w:vAlign w:val="center"/>
          </w:tcPr>
          <w:p w14:paraId="2A01B805"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w:t>
            </w:r>
          </w:p>
        </w:tc>
        <w:tc>
          <w:tcPr>
            <w:tcW w:w="605" w:type="pct"/>
            <w:tcBorders>
              <w:top w:val="none" w:sz="4" w:space="0" w:color="000000"/>
              <w:left w:val="none" w:sz="4" w:space="0" w:color="000000"/>
              <w:bottom w:val="single" w:sz="4" w:space="0" w:color="auto"/>
              <w:right w:val="single" w:sz="4" w:space="0" w:color="auto"/>
            </w:tcBorders>
            <w:vAlign w:val="center"/>
          </w:tcPr>
          <w:p w14:paraId="1EFD6346"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splněno</w:t>
            </w:r>
          </w:p>
          <w:p w14:paraId="79D62488" w14:textId="77777777" w:rsidR="00602DCA" w:rsidRDefault="00602DCA">
            <w:pPr>
              <w:spacing w:after="0" w:line="240" w:lineRule="auto"/>
              <w:jc w:val="left"/>
              <w:rPr>
                <w:rFonts w:asciiTheme="minorHAnsi" w:eastAsia="Times New Roman" w:hAnsiTheme="minorHAnsi" w:cstheme="minorHAnsi"/>
                <w:color w:val="000000"/>
                <w:sz w:val="16"/>
                <w:szCs w:val="20"/>
                <w:lang w:eastAsia="cs-CZ"/>
              </w:rPr>
            </w:pPr>
          </w:p>
          <w:p w14:paraId="274466C6"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proofErr w:type="gramStart"/>
            <w:r>
              <w:rPr>
                <w:rFonts w:asciiTheme="minorHAnsi" w:eastAsia="Times New Roman" w:hAnsiTheme="minorHAnsi" w:cstheme="minorHAnsi"/>
                <w:color w:val="000000"/>
                <w:sz w:val="16"/>
                <w:szCs w:val="20"/>
                <w:lang w:eastAsia="cs-CZ"/>
              </w:rPr>
              <w:t>CP</w:t>
            </w:r>
            <w:proofErr w:type="gramEnd"/>
            <w:r>
              <w:rPr>
                <w:rFonts w:asciiTheme="minorHAnsi" w:eastAsia="Times New Roman" w:hAnsiTheme="minorHAnsi" w:cstheme="minorHAnsi"/>
                <w:color w:val="000000"/>
                <w:sz w:val="16"/>
                <w:szCs w:val="20"/>
                <w:lang w:eastAsia="cs-CZ"/>
              </w:rPr>
              <w:t xml:space="preserve"> pokud naplnění definice infrastruktury</w:t>
            </w:r>
          </w:p>
        </w:tc>
        <w:tc>
          <w:tcPr>
            <w:tcW w:w="460" w:type="pct"/>
            <w:tcBorders>
              <w:top w:val="none" w:sz="4" w:space="0" w:color="000000"/>
              <w:left w:val="none" w:sz="4" w:space="0" w:color="000000"/>
              <w:bottom w:val="single" w:sz="4" w:space="0" w:color="auto"/>
              <w:right w:val="single" w:sz="4" w:space="0" w:color="auto"/>
            </w:tcBorders>
            <w:vAlign w:val="center"/>
          </w:tcPr>
          <w:p w14:paraId="06278D07"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r>
              <w:rPr>
                <w:rFonts w:asciiTheme="minorHAnsi" w:eastAsia="Times New Roman" w:hAnsiTheme="minorHAnsi" w:cstheme="minorHAnsi"/>
                <w:color w:val="000000"/>
                <w:sz w:val="16"/>
                <w:szCs w:val="20"/>
                <w:lang w:eastAsia="cs-CZ"/>
              </w:rPr>
              <w:br/>
            </w:r>
            <w:r>
              <w:rPr>
                <w:rFonts w:asciiTheme="minorHAnsi" w:eastAsia="Times New Roman" w:hAnsiTheme="minorHAnsi" w:cstheme="minorHAnsi"/>
                <w:color w:val="000000"/>
                <w:sz w:val="16"/>
                <w:szCs w:val="20"/>
                <w:lang w:eastAsia="cs-CZ"/>
              </w:rPr>
              <w:br/>
            </w:r>
            <w:proofErr w:type="gramStart"/>
            <w:r>
              <w:rPr>
                <w:rFonts w:asciiTheme="minorHAnsi" w:eastAsia="Times New Roman" w:hAnsiTheme="minorHAnsi" w:cstheme="minorHAnsi"/>
                <w:color w:val="000000"/>
                <w:sz w:val="16"/>
                <w:szCs w:val="20"/>
                <w:lang w:eastAsia="cs-CZ"/>
              </w:rPr>
              <w:t>CP</w:t>
            </w:r>
            <w:proofErr w:type="gramEnd"/>
            <w:r>
              <w:rPr>
                <w:rFonts w:asciiTheme="minorHAnsi" w:eastAsia="Times New Roman" w:hAnsiTheme="minorHAnsi" w:cstheme="minorHAnsi"/>
                <w:color w:val="000000"/>
                <w:sz w:val="16"/>
                <w:szCs w:val="20"/>
                <w:lang w:eastAsia="cs-CZ"/>
              </w:rPr>
              <w:t xml:space="preserve"> pokud naplnění definice infrastruktury</w:t>
            </w:r>
          </w:p>
        </w:tc>
        <w:tc>
          <w:tcPr>
            <w:tcW w:w="455" w:type="pct"/>
            <w:tcBorders>
              <w:top w:val="none" w:sz="4" w:space="0" w:color="000000"/>
              <w:left w:val="none" w:sz="4" w:space="0" w:color="000000"/>
              <w:bottom w:val="single" w:sz="4" w:space="0" w:color="auto"/>
              <w:right w:val="single" w:sz="4" w:space="0" w:color="auto"/>
            </w:tcBorders>
            <w:vAlign w:val="center"/>
          </w:tcPr>
          <w:p w14:paraId="365A09E1"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 není pro DNSH dostatečnou zárukou</w:t>
            </w:r>
          </w:p>
        </w:tc>
        <w:tc>
          <w:tcPr>
            <w:tcW w:w="456" w:type="pct"/>
            <w:tcBorders>
              <w:top w:val="none" w:sz="4" w:space="0" w:color="000000"/>
              <w:left w:val="none" w:sz="4" w:space="0" w:color="000000"/>
              <w:bottom w:val="single" w:sz="4" w:space="0" w:color="auto"/>
              <w:right w:val="single" w:sz="4" w:space="0" w:color="auto"/>
            </w:tcBorders>
            <w:vAlign w:val="center"/>
          </w:tcPr>
          <w:p w14:paraId="3739C964"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 není pro DNSH dostatečnou zárukou</w:t>
            </w:r>
          </w:p>
        </w:tc>
        <w:tc>
          <w:tcPr>
            <w:tcW w:w="461" w:type="pct"/>
            <w:tcBorders>
              <w:top w:val="none" w:sz="4" w:space="0" w:color="000000"/>
              <w:left w:val="none" w:sz="4" w:space="0" w:color="000000"/>
              <w:bottom w:val="single" w:sz="4" w:space="0" w:color="auto"/>
              <w:right w:val="single" w:sz="4" w:space="0" w:color="auto"/>
            </w:tcBorders>
            <w:vAlign w:val="center"/>
          </w:tcPr>
          <w:p w14:paraId="3EEFD433"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 není pro DNSH dostatečnou zárukou</w:t>
            </w:r>
          </w:p>
        </w:tc>
        <w:tc>
          <w:tcPr>
            <w:tcW w:w="429" w:type="pct"/>
            <w:tcBorders>
              <w:top w:val="none" w:sz="4" w:space="0" w:color="000000"/>
              <w:left w:val="none" w:sz="4" w:space="0" w:color="000000"/>
              <w:bottom w:val="single" w:sz="4" w:space="0" w:color="auto"/>
              <w:right w:val="single" w:sz="4" w:space="0" w:color="auto"/>
            </w:tcBorders>
            <w:vAlign w:val="center"/>
          </w:tcPr>
          <w:p w14:paraId="11AC7E53"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 není pro DNSH dostatečnou zárukou</w:t>
            </w:r>
          </w:p>
        </w:tc>
      </w:tr>
      <w:tr w:rsidR="00602DCA" w14:paraId="017E3CC3" w14:textId="77777777">
        <w:trPr>
          <w:trHeight w:val="20"/>
        </w:trPr>
        <w:tc>
          <w:tcPr>
            <w:tcW w:w="202" w:type="pct"/>
            <w:tcBorders>
              <w:top w:val="none" w:sz="4" w:space="0" w:color="000000"/>
              <w:left w:val="single" w:sz="4" w:space="0" w:color="auto"/>
              <w:bottom w:val="single" w:sz="4" w:space="0" w:color="auto"/>
              <w:right w:val="single" w:sz="4" w:space="0" w:color="auto"/>
            </w:tcBorders>
            <w:vAlign w:val="center"/>
          </w:tcPr>
          <w:p w14:paraId="69CDF895" w14:textId="77777777" w:rsidR="00602DCA" w:rsidRDefault="00C5530C">
            <w:pPr>
              <w:spacing w:after="0" w:line="240" w:lineRule="auto"/>
              <w:jc w:val="righ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54</w:t>
            </w:r>
          </w:p>
        </w:tc>
        <w:tc>
          <w:tcPr>
            <w:tcW w:w="204" w:type="pct"/>
            <w:tcBorders>
              <w:top w:val="none" w:sz="4" w:space="0" w:color="000000"/>
              <w:left w:val="none" w:sz="4" w:space="0" w:color="000000"/>
              <w:bottom w:val="single" w:sz="4" w:space="0" w:color="auto"/>
              <w:right w:val="single" w:sz="4" w:space="0" w:color="auto"/>
            </w:tcBorders>
            <w:vAlign w:val="center"/>
          </w:tcPr>
          <w:p w14:paraId="1DC64C7D" w14:textId="77777777" w:rsidR="00602DCA" w:rsidRDefault="00C5530C">
            <w:pPr>
              <w:spacing w:after="0" w:line="240" w:lineRule="auto"/>
              <w:jc w:val="righ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34</w:t>
            </w:r>
          </w:p>
        </w:tc>
        <w:tc>
          <w:tcPr>
            <w:tcW w:w="1165" w:type="pct"/>
            <w:tcBorders>
              <w:top w:val="none" w:sz="4" w:space="0" w:color="000000"/>
              <w:left w:val="none" w:sz="4" w:space="0" w:color="000000"/>
              <w:bottom w:val="single" w:sz="4" w:space="0" w:color="auto"/>
              <w:right w:val="single" w:sz="4" w:space="0" w:color="auto"/>
            </w:tcBorders>
            <w:vAlign w:val="center"/>
          </w:tcPr>
          <w:p w14:paraId="5B712183"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Vysoce účinná kombinovaná výroba tepla a elektřiny, dálkové vytápění a chlazení</w:t>
            </w:r>
          </w:p>
        </w:tc>
        <w:tc>
          <w:tcPr>
            <w:tcW w:w="304" w:type="pct"/>
            <w:tcBorders>
              <w:top w:val="none" w:sz="4" w:space="0" w:color="000000"/>
              <w:left w:val="none" w:sz="4" w:space="0" w:color="000000"/>
              <w:bottom w:val="single" w:sz="4" w:space="0" w:color="auto"/>
              <w:right w:val="single" w:sz="4" w:space="0" w:color="auto"/>
            </w:tcBorders>
            <w:vAlign w:val="center"/>
          </w:tcPr>
          <w:p w14:paraId="1E1F9115"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w:t>
            </w:r>
          </w:p>
        </w:tc>
        <w:tc>
          <w:tcPr>
            <w:tcW w:w="259" w:type="pct"/>
            <w:tcBorders>
              <w:top w:val="none" w:sz="4" w:space="0" w:color="000000"/>
              <w:left w:val="none" w:sz="4" w:space="0" w:color="000000"/>
              <w:bottom w:val="single" w:sz="4" w:space="0" w:color="auto"/>
              <w:right w:val="single" w:sz="4" w:space="0" w:color="auto"/>
            </w:tcBorders>
            <w:vAlign w:val="center"/>
          </w:tcPr>
          <w:p w14:paraId="3C0D9B16"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w:t>
            </w:r>
          </w:p>
        </w:tc>
        <w:tc>
          <w:tcPr>
            <w:tcW w:w="605" w:type="pct"/>
            <w:tcBorders>
              <w:top w:val="none" w:sz="4" w:space="0" w:color="000000"/>
              <w:left w:val="none" w:sz="4" w:space="0" w:color="000000"/>
              <w:bottom w:val="single" w:sz="4" w:space="0" w:color="auto"/>
              <w:right w:val="single" w:sz="4" w:space="0" w:color="auto"/>
            </w:tcBorders>
            <w:vAlign w:val="center"/>
          </w:tcPr>
          <w:p w14:paraId="71036744"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 není pro DNSH dostatečnou zárukou</w:t>
            </w:r>
          </w:p>
          <w:p w14:paraId="2A9D9876" w14:textId="77777777" w:rsidR="00602DCA" w:rsidRDefault="00602DCA">
            <w:pPr>
              <w:spacing w:after="0" w:line="240" w:lineRule="auto"/>
              <w:jc w:val="left"/>
              <w:rPr>
                <w:rFonts w:asciiTheme="minorHAnsi" w:eastAsia="Times New Roman" w:hAnsiTheme="minorHAnsi" w:cstheme="minorHAnsi"/>
                <w:color w:val="000000"/>
                <w:sz w:val="16"/>
                <w:szCs w:val="20"/>
                <w:lang w:eastAsia="cs-CZ"/>
              </w:rPr>
            </w:pPr>
          </w:p>
          <w:p w14:paraId="7AEEAAF9"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proofErr w:type="gramStart"/>
            <w:r>
              <w:rPr>
                <w:rFonts w:asciiTheme="minorHAnsi" w:eastAsia="Times New Roman" w:hAnsiTheme="minorHAnsi" w:cstheme="minorHAnsi"/>
                <w:color w:val="000000"/>
                <w:sz w:val="16"/>
                <w:szCs w:val="20"/>
                <w:lang w:eastAsia="cs-CZ"/>
              </w:rPr>
              <w:t>CP</w:t>
            </w:r>
            <w:proofErr w:type="gramEnd"/>
            <w:r>
              <w:rPr>
                <w:rFonts w:asciiTheme="minorHAnsi" w:eastAsia="Times New Roman" w:hAnsiTheme="minorHAnsi" w:cstheme="minorHAnsi"/>
                <w:color w:val="000000"/>
                <w:sz w:val="16"/>
                <w:szCs w:val="20"/>
                <w:lang w:eastAsia="cs-CZ"/>
              </w:rPr>
              <w:t xml:space="preserve"> pokud naplnění definice infrastruktury</w:t>
            </w:r>
          </w:p>
        </w:tc>
        <w:tc>
          <w:tcPr>
            <w:tcW w:w="460" w:type="pct"/>
            <w:tcBorders>
              <w:top w:val="none" w:sz="4" w:space="0" w:color="000000"/>
              <w:left w:val="none" w:sz="4" w:space="0" w:color="000000"/>
              <w:bottom w:val="single" w:sz="4" w:space="0" w:color="auto"/>
              <w:right w:val="single" w:sz="4" w:space="0" w:color="auto"/>
            </w:tcBorders>
            <w:vAlign w:val="center"/>
          </w:tcPr>
          <w:p w14:paraId="312216EE"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 není pro DNSH dostatečnou zárukou</w:t>
            </w:r>
          </w:p>
          <w:p w14:paraId="03D687B3" w14:textId="77777777" w:rsidR="00602DCA" w:rsidRDefault="00602DCA">
            <w:pPr>
              <w:spacing w:after="0" w:line="240" w:lineRule="auto"/>
              <w:jc w:val="left"/>
              <w:rPr>
                <w:rFonts w:asciiTheme="minorHAnsi" w:eastAsia="Times New Roman" w:hAnsiTheme="minorHAnsi" w:cstheme="minorHAnsi"/>
                <w:color w:val="000000"/>
                <w:sz w:val="16"/>
                <w:szCs w:val="20"/>
                <w:lang w:eastAsia="cs-CZ"/>
              </w:rPr>
            </w:pPr>
          </w:p>
          <w:p w14:paraId="58208C55"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proofErr w:type="gramStart"/>
            <w:r>
              <w:rPr>
                <w:rFonts w:asciiTheme="minorHAnsi" w:eastAsia="Times New Roman" w:hAnsiTheme="minorHAnsi" w:cstheme="minorHAnsi"/>
                <w:color w:val="000000"/>
                <w:sz w:val="16"/>
                <w:szCs w:val="20"/>
                <w:lang w:eastAsia="cs-CZ"/>
              </w:rPr>
              <w:t>CP</w:t>
            </w:r>
            <w:proofErr w:type="gramEnd"/>
            <w:r>
              <w:rPr>
                <w:rFonts w:asciiTheme="minorHAnsi" w:eastAsia="Times New Roman" w:hAnsiTheme="minorHAnsi" w:cstheme="minorHAnsi"/>
                <w:color w:val="000000"/>
                <w:sz w:val="16"/>
                <w:szCs w:val="20"/>
                <w:lang w:eastAsia="cs-CZ"/>
              </w:rPr>
              <w:t xml:space="preserve"> pokud naplnění definice infrastruktury</w:t>
            </w:r>
          </w:p>
        </w:tc>
        <w:tc>
          <w:tcPr>
            <w:tcW w:w="455" w:type="pct"/>
            <w:tcBorders>
              <w:top w:val="none" w:sz="4" w:space="0" w:color="000000"/>
              <w:left w:val="none" w:sz="4" w:space="0" w:color="000000"/>
              <w:bottom w:val="single" w:sz="4" w:space="0" w:color="auto"/>
              <w:right w:val="single" w:sz="4" w:space="0" w:color="auto"/>
            </w:tcBorders>
            <w:vAlign w:val="center"/>
          </w:tcPr>
          <w:p w14:paraId="73B47C75"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 není pro DNSH dostatečnou zárukou</w:t>
            </w:r>
          </w:p>
        </w:tc>
        <w:tc>
          <w:tcPr>
            <w:tcW w:w="456" w:type="pct"/>
            <w:tcBorders>
              <w:top w:val="none" w:sz="4" w:space="0" w:color="000000"/>
              <w:left w:val="none" w:sz="4" w:space="0" w:color="000000"/>
              <w:bottom w:val="single" w:sz="4" w:space="0" w:color="auto"/>
              <w:right w:val="single" w:sz="4" w:space="0" w:color="auto"/>
            </w:tcBorders>
            <w:vAlign w:val="center"/>
          </w:tcPr>
          <w:p w14:paraId="6E177DB3"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 není pro DNSH dostatečnou zárukou</w:t>
            </w:r>
          </w:p>
        </w:tc>
        <w:tc>
          <w:tcPr>
            <w:tcW w:w="461" w:type="pct"/>
            <w:tcBorders>
              <w:top w:val="none" w:sz="4" w:space="0" w:color="000000"/>
              <w:left w:val="none" w:sz="4" w:space="0" w:color="000000"/>
              <w:bottom w:val="single" w:sz="4" w:space="0" w:color="auto"/>
              <w:right w:val="single" w:sz="4" w:space="0" w:color="auto"/>
            </w:tcBorders>
            <w:vAlign w:val="center"/>
          </w:tcPr>
          <w:p w14:paraId="163E3D22"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 není pro DNSH dostatečnou zárukou</w:t>
            </w:r>
          </w:p>
        </w:tc>
        <w:tc>
          <w:tcPr>
            <w:tcW w:w="429" w:type="pct"/>
            <w:tcBorders>
              <w:top w:val="none" w:sz="4" w:space="0" w:color="000000"/>
              <w:left w:val="none" w:sz="4" w:space="0" w:color="000000"/>
              <w:bottom w:val="single" w:sz="4" w:space="0" w:color="auto"/>
              <w:right w:val="single" w:sz="4" w:space="0" w:color="auto"/>
            </w:tcBorders>
            <w:vAlign w:val="center"/>
          </w:tcPr>
          <w:p w14:paraId="6CBBF3A0"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 není pro DNSH dostatečnou zárukou</w:t>
            </w:r>
          </w:p>
        </w:tc>
      </w:tr>
      <w:tr w:rsidR="00602DCA" w14:paraId="75DA56CC" w14:textId="77777777">
        <w:trPr>
          <w:trHeight w:val="20"/>
        </w:trPr>
        <w:tc>
          <w:tcPr>
            <w:tcW w:w="202" w:type="pct"/>
            <w:tcBorders>
              <w:top w:val="none" w:sz="4" w:space="0" w:color="000000"/>
              <w:left w:val="single" w:sz="4" w:space="0" w:color="auto"/>
              <w:bottom w:val="single" w:sz="4" w:space="0" w:color="auto"/>
              <w:right w:val="single" w:sz="4" w:space="0" w:color="auto"/>
            </w:tcBorders>
            <w:vAlign w:val="center"/>
          </w:tcPr>
          <w:p w14:paraId="62EDAD39" w14:textId="77777777" w:rsidR="00602DCA" w:rsidRDefault="00602DCA">
            <w:pPr>
              <w:spacing w:after="0" w:line="240" w:lineRule="auto"/>
              <w:rPr>
                <w:rFonts w:asciiTheme="minorHAnsi" w:eastAsia="Times New Roman" w:hAnsiTheme="minorHAnsi" w:cstheme="minorHAnsi"/>
                <w:color w:val="0563C1"/>
                <w:sz w:val="16"/>
                <w:szCs w:val="20"/>
                <w:u w:val="single"/>
                <w:lang w:eastAsia="cs-CZ"/>
              </w:rPr>
            </w:pPr>
            <w:hyperlink r:id="rId169" w:anchor="E0036" w:tooltip="https://eur-lex.europa.eu/legal-content/CS/TXT/?uri=CELEX%3A02021R1060-20210630&amp;qid=1659091609743#E0036" w:history="1">
              <w:r>
                <w:rPr>
                  <w:rFonts w:asciiTheme="minorHAnsi" w:eastAsia="Times New Roman" w:hAnsiTheme="minorHAnsi" w:cstheme="minorHAnsi"/>
                  <w:color w:val="0563C1"/>
                  <w:sz w:val="16"/>
                  <w:szCs w:val="20"/>
                  <w:u w:val="single"/>
                  <w:lang w:eastAsia="cs-CZ"/>
                </w:rPr>
                <w:t>055 (15)</w:t>
              </w:r>
            </w:hyperlink>
          </w:p>
        </w:tc>
        <w:tc>
          <w:tcPr>
            <w:tcW w:w="204" w:type="pct"/>
            <w:tcBorders>
              <w:top w:val="none" w:sz="4" w:space="0" w:color="000000"/>
              <w:left w:val="none" w:sz="4" w:space="0" w:color="000000"/>
              <w:bottom w:val="single" w:sz="4" w:space="0" w:color="auto"/>
              <w:right w:val="single" w:sz="4" w:space="0" w:color="auto"/>
            </w:tcBorders>
            <w:vAlign w:val="center"/>
          </w:tcPr>
          <w:p w14:paraId="531B603D"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034a0</w:t>
            </w:r>
          </w:p>
        </w:tc>
        <w:tc>
          <w:tcPr>
            <w:tcW w:w="1165" w:type="pct"/>
            <w:tcBorders>
              <w:top w:val="none" w:sz="4" w:space="0" w:color="000000"/>
              <w:left w:val="none" w:sz="4" w:space="0" w:color="000000"/>
              <w:bottom w:val="single" w:sz="4" w:space="0" w:color="auto"/>
              <w:right w:val="single" w:sz="4" w:space="0" w:color="auto"/>
            </w:tcBorders>
            <w:vAlign w:val="center"/>
          </w:tcPr>
          <w:p w14:paraId="5C47E51E" w14:textId="77777777" w:rsidR="00602DCA" w:rsidRDefault="00602DCA">
            <w:pPr>
              <w:spacing w:after="0" w:line="240" w:lineRule="auto"/>
              <w:rPr>
                <w:rFonts w:asciiTheme="minorHAnsi" w:eastAsia="Times New Roman" w:hAnsiTheme="minorHAnsi" w:cstheme="minorHAnsi"/>
                <w:color w:val="0563C1"/>
                <w:sz w:val="16"/>
                <w:szCs w:val="20"/>
                <w:u w:val="single"/>
                <w:lang w:eastAsia="cs-CZ"/>
              </w:rPr>
            </w:pPr>
            <w:hyperlink r:id="rId170" w:anchor="E0037" w:tooltip="https://eur-lex.europa.eu/legal-content/CS/TXT/?uri=CELEX%3A02021R1060-20210630&amp;qid=1659091609743#E0037" w:history="1">
              <w:r>
                <w:rPr>
                  <w:rFonts w:asciiTheme="minorHAnsi" w:eastAsia="Times New Roman" w:hAnsiTheme="minorHAnsi" w:cstheme="minorHAnsi"/>
                  <w:color w:val="0563C1"/>
                  <w:sz w:val="16"/>
                  <w:szCs w:val="20"/>
                  <w:u w:val="single"/>
                  <w:lang w:eastAsia="cs-CZ"/>
                </w:rPr>
                <w:t>Vysoce účinná kombinovaná výroba tepla a elektřiny, dálkové vytápění a chlazení s nízkými emisemi během životního cyklu (16)</w:t>
              </w:r>
            </w:hyperlink>
          </w:p>
        </w:tc>
        <w:tc>
          <w:tcPr>
            <w:tcW w:w="304" w:type="pct"/>
            <w:tcBorders>
              <w:top w:val="none" w:sz="4" w:space="0" w:color="000000"/>
              <w:left w:val="none" w:sz="4" w:space="0" w:color="000000"/>
              <w:bottom w:val="single" w:sz="4" w:space="0" w:color="auto"/>
              <w:right w:val="single" w:sz="4" w:space="0" w:color="auto"/>
            </w:tcBorders>
            <w:vAlign w:val="center"/>
          </w:tcPr>
          <w:p w14:paraId="4D2D8B63"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100 %</w:t>
            </w:r>
          </w:p>
        </w:tc>
        <w:tc>
          <w:tcPr>
            <w:tcW w:w="259" w:type="pct"/>
            <w:tcBorders>
              <w:top w:val="none" w:sz="4" w:space="0" w:color="000000"/>
              <w:left w:val="none" w:sz="4" w:space="0" w:color="000000"/>
              <w:bottom w:val="single" w:sz="4" w:space="0" w:color="auto"/>
              <w:right w:val="single" w:sz="4" w:space="0" w:color="auto"/>
            </w:tcBorders>
            <w:vAlign w:val="center"/>
          </w:tcPr>
          <w:p w14:paraId="6749267C"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w:t>
            </w:r>
          </w:p>
        </w:tc>
        <w:tc>
          <w:tcPr>
            <w:tcW w:w="605" w:type="pct"/>
            <w:tcBorders>
              <w:top w:val="none" w:sz="4" w:space="0" w:color="000000"/>
              <w:left w:val="none" w:sz="4" w:space="0" w:color="000000"/>
              <w:bottom w:val="single" w:sz="4" w:space="0" w:color="auto"/>
              <w:right w:val="single" w:sz="4" w:space="0" w:color="auto"/>
            </w:tcBorders>
            <w:vAlign w:val="center"/>
          </w:tcPr>
          <w:p w14:paraId="7C5654DC"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splněno</w:t>
            </w:r>
          </w:p>
          <w:p w14:paraId="170278C1" w14:textId="77777777" w:rsidR="00602DCA" w:rsidRDefault="00602DCA">
            <w:pPr>
              <w:spacing w:after="0" w:line="240" w:lineRule="auto"/>
              <w:jc w:val="left"/>
              <w:rPr>
                <w:rFonts w:asciiTheme="minorHAnsi" w:eastAsia="Times New Roman" w:hAnsiTheme="minorHAnsi" w:cstheme="minorHAnsi"/>
                <w:color w:val="000000"/>
                <w:sz w:val="16"/>
                <w:szCs w:val="20"/>
                <w:lang w:eastAsia="cs-CZ"/>
              </w:rPr>
            </w:pPr>
          </w:p>
          <w:p w14:paraId="54DF4F44"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proofErr w:type="gramStart"/>
            <w:r>
              <w:rPr>
                <w:rFonts w:asciiTheme="minorHAnsi" w:eastAsia="Times New Roman" w:hAnsiTheme="minorHAnsi" w:cstheme="minorHAnsi"/>
                <w:color w:val="000000"/>
                <w:sz w:val="16"/>
                <w:szCs w:val="20"/>
                <w:lang w:eastAsia="cs-CZ"/>
              </w:rPr>
              <w:t>CP</w:t>
            </w:r>
            <w:proofErr w:type="gramEnd"/>
            <w:r>
              <w:rPr>
                <w:rFonts w:asciiTheme="minorHAnsi" w:eastAsia="Times New Roman" w:hAnsiTheme="minorHAnsi" w:cstheme="minorHAnsi"/>
                <w:color w:val="000000"/>
                <w:sz w:val="16"/>
                <w:szCs w:val="20"/>
                <w:lang w:eastAsia="cs-CZ"/>
              </w:rPr>
              <w:t xml:space="preserve"> pokud naplnění definice infrastruktury</w:t>
            </w:r>
          </w:p>
        </w:tc>
        <w:tc>
          <w:tcPr>
            <w:tcW w:w="460" w:type="pct"/>
            <w:tcBorders>
              <w:top w:val="none" w:sz="4" w:space="0" w:color="000000"/>
              <w:left w:val="none" w:sz="4" w:space="0" w:color="000000"/>
              <w:bottom w:val="single" w:sz="4" w:space="0" w:color="auto"/>
              <w:right w:val="single" w:sz="4" w:space="0" w:color="auto"/>
            </w:tcBorders>
            <w:vAlign w:val="center"/>
          </w:tcPr>
          <w:p w14:paraId="15F0C4AA"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r>
              <w:rPr>
                <w:rFonts w:asciiTheme="minorHAnsi" w:eastAsia="Times New Roman" w:hAnsiTheme="minorHAnsi" w:cstheme="minorHAnsi"/>
                <w:color w:val="000000"/>
                <w:sz w:val="16"/>
                <w:szCs w:val="20"/>
                <w:lang w:eastAsia="cs-CZ"/>
              </w:rPr>
              <w:br/>
            </w:r>
            <w:r>
              <w:rPr>
                <w:rFonts w:asciiTheme="minorHAnsi" w:eastAsia="Times New Roman" w:hAnsiTheme="minorHAnsi" w:cstheme="minorHAnsi"/>
                <w:color w:val="000000"/>
                <w:sz w:val="16"/>
                <w:szCs w:val="20"/>
                <w:lang w:eastAsia="cs-CZ"/>
              </w:rPr>
              <w:br/>
            </w:r>
            <w:proofErr w:type="gramStart"/>
            <w:r>
              <w:rPr>
                <w:rFonts w:asciiTheme="minorHAnsi" w:eastAsia="Times New Roman" w:hAnsiTheme="minorHAnsi" w:cstheme="minorHAnsi"/>
                <w:color w:val="000000"/>
                <w:sz w:val="16"/>
                <w:szCs w:val="20"/>
                <w:lang w:eastAsia="cs-CZ"/>
              </w:rPr>
              <w:t>CP</w:t>
            </w:r>
            <w:proofErr w:type="gramEnd"/>
            <w:r>
              <w:rPr>
                <w:rFonts w:asciiTheme="minorHAnsi" w:eastAsia="Times New Roman" w:hAnsiTheme="minorHAnsi" w:cstheme="minorHAnsi"/>
                <w:color w:val="000000"/>
                <w:sz w:val="16"/>
                <w:szCs w:val="20"/>
                <w:lang w:eastAsia="cs-CZ"/>
              </w:rPr>
              <w:t xml:space="preserve"> pokud naplnění definice infrastruktury</w:t>
            </w:r>
          </w:p>
        </w:tc>
        <w:tc>
          <w:tcPr>
            <w:tcW w:w="455" w:type="pct"/>
            <w:tcBorders>
              <w:top w:val="none" w:sz="4" w:space="0" w:color="000000"/>
              <w:left w:val="none" w:sz="4" w:space="0" w:color="000000"/>
              <w:bottom w:val="single" w:sz="4" w:space="0" w:color="auto"/>
              <w:right w:val="single" w:sz="4" w:space="0" w:color="auto"/>
            </w:tcBorders>
            <w:vAlign w:val="center"/>
          </w:tcPr>
          <w:p w14:paraId="50B562E2"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 není pro DNSH dostatečnou zárukou</w:t>
            </w:r>
          </w:p>
        </w:tc>
        <w:tc>
          <w:tcPr>
            <w:tcW w:w="456" w:type="pct"/>
            <w:tcBorders>
              <w:top w:val="none" w:sz="4" w:space="0" w:color="000000"/>
              <w:left w:val="none" w:sz="4" w:space="0" w:color="000000"/>
              <w:bottom w:val="single" w:sz="4" w:space="0" w:color="auto"/>
              <w:right w:val="single" w:sz="4" w:space="0" w:color="auto"/>
            </w:tcBorders>
            <w:vAlign w:val="center"/>
          </w:tcPr>
          <w:p w14:paraId="599F499F"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 není pro DNSH dostatečnou zárukou</w:t>
            </w:r>
          </w:p>
        </w:tc>
        <w:tc>
          <w:tcPr>
            <w:tcW w:w="461" w:type="pct"/>
            <w:tcBorders>
              <w:top w:val="none" w:sz="4" w:space="0" w:color="000000"/>
              <w:left w:val="none" w:sz="4" w:space="0" w:color="000000"/>
              <w:bottom w:val="single" w:sz="4" w:space="0" w:color="auto"/>
              <w:right w:val="single" w:sz="4" w:space="0" w:color="auto"/>
            </w:tcBorders>
            <w:vAlign w:val="center"/>
          </w:tcPr>
          <w:p w14:paraId="4ED84A94"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 není pro DNSH dostatečnou zárukou</w:t>
            </w:r>
          </w:p>
        </w:tc>
        <w:tc>
          <w:tcPr>
            <w:tcW w:w="429" w:type="pct"/>
            <w:tcBorders>
              <w:top w:val="none" w:sz="4" w:space="0" w:color="000000"/>
              <w:left w:val="none" w:sz="4" w:space="0" w:color="000000"/>
              <w:bottom w:val="single" w:sz="4" w:space="0" w:color="auto"/>
              <w:right w:val="single" w:sz="4" w:space="0" w:color="auto"/>
            </w:tcBorders>
            <w:vAlign w:val="center"/>
          </w:tcPr>
          <w:p w14:paraId="5AB1E63B"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 není pro DNSH dostatečnou zárukou</w:t>
            </w:r>
          </w:p>
        </w:tc>
      </w:tr>
      <w:tr w:rsidR="00602DCA" w14:paraId="357601B1" w14:textId="77777777">
        <w:trPr>
          <w:trHeight w:val="20"/>
        </w:trPr>
        <w:tc>
          <w:tcPr>
            <w:tcW w:w="202" w:type="pct"/>
            <w:tcBorders>
              <w:top w:val="none" w:sz="4" w:space="0" w:color="000000"/>
              <w:left w:val="single" w:sz="4" w:space="0" w:color="auto"/>
              <w:bottom w:val="single" w:sz="4" w:space="0" w:color="auto"/>
              <w:right w:val="single" w:sz="4" w:space="0" w:color="auto"/>
            </w:tcBorders>
            <w:vAlign w:val="center"/>
          </w:tcPr>
          <w:p w14:paraId="5440C97E" w14:textId="77777777" w:rsidR="00602DCA" w:rsidRDefault="00C5530C">
            <w:pPr>
              <w:spacing w:after="0" w:line="240" w:lineRule="auto"/>
              <w:jc w:val="righ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58</w:t>
            </w:r>
          </w:p>
        </w:tc>
        <w:tc>
          <w:tcPr>
            <w:tcW w:w="204" w:type="pct"/>
            <w:tcBorders>
              <w:top w:val="none" w:sz="4" w:space="0" w:color="000000"/>
              <w:left w:val="none" w:sz="4" w:space="0" w:color="000000"/>
              <w:bottom w:val="single" w:sz="4" w:space="0" w:color="auto"/>
              <w:right w:val="single" w:sz="4" w:space="0" w:color="auto"/>
            </w:tcBorders>
            <w:vAlign w:val="center"/>
          </w:tcPr>
          <w:p w14:paraId="547ECA81" w14:textId="77777777" w:rsidR="00602DCA" w:rsidRDefault="00C5530C">
            <w:pPr>
              <w:spacing w:after="0" w:line="240" w:lineRule="auto"/>
              <w:jc w:val="righ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35</w:t>
            </w:r>
          </w:p>
        </w:tc>
        <w:tc>
          <w:tcPr>
            <w:tcW w:w="1165" w:type="pct"/>
            <w:tcBorders>
              <w:top w:val="none" w:sz="4" w:space="0" w:color="000000"/>
              <w:left w:val="none" w:sz="4" w:space="0" w:color="000000"/>
              <w:bottom w:val="single" w:sz="4" w:space="0" w:color="auto"/>
              <w:right w:val="single" w:sz="4" w:space="0" w:color="auto"/>
            </w:tcBorders>
            <w:vAlign w:val="center"/>
          </w:tcPr>
          <w:p w14:paraId="1F2B87A3"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Opatření pro přizpůsobování se změně klimatu, předcházení rizikům nebo řízení rizik souvisejících s oblastí klimatu: povodně a sesuvy půdy (včetně zvyšování povědomí, civilní ochrany a systémů řízení katastrof, infrastruktur a ekosystémových přístupů)</w:t>
            </w:r>
          </w:p>
        </w:tc>
        <w:tc>
          <w:tcPr>
            <w:tcW w:w="304" w:type="pct"/>
            <w:tcBorders>
              <w:top w:val="none" w:sz="4" w:space="0" w:color="000000"/>
              <w:left w:val="none" w:sz="4" w:space="0" w:color="000000"/>
              <w:bottom w:val="single" w:sz="4" w:space="0" w:color="auto"/>
              <w:right w:val="single" w:sz="4" w:space="0" w:color="auto"/>
            </w:tcBorders>
            <w:vAlign w:val="center"/>
          </w:tcPr>
          <w:p w14:paraId="63FF4AB6"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100 %</w:t>
            </w:r>
          </w:p>
        </w:tc>
        <w:tc>
          <w:tcPr>
            <w:tcW w:w="259" w:type="pct"/>
            <w:tcBorders>
              <w:top w:val="none" w:sz="4" w:space="0" w:color="000000"/>
              <w:left w:val="none" w:sz="4" w:space="0" w:color="000000"/>
              <w:bottom w:val="single" w:sz="4" w:space="0" w:color="auto"/>
              <w:right w:val="single" w:sz="4" w:space="0" w:color="auto"/>
            </w:tcBorders>
            <w:vAlign w:val="center"/>
          </w:tcPr>
          <w:p w14:paraId="53E2016E"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100 %</w:t>
            </w:r>
          </w:p>
        </w:tc>
        <w:tc>
          <w:tcPr>
            <w:tcW w:w="605" w:type="pct"/>
            <w:tcBorders>
              <w:top w:val="none" w:sz="4" w:space="0" w:color="000000"/>
              <w:left w:val="none" w:sz="4" w:space="0" w:color="000000"/>
              <w:bottom w:val="single" w:sz="4" w:space="0" w:color="auto"/>
              <w:right w:val="single" w:sz="4" w:space="0" w:color="auto"/>
            </w:tcBorders>
            <w:vAlign w:val="center"/>
          </w:tcPr>
          <w:p w14:paraId="205DC695"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 xml:space="preserve">DNSH nutné </w:t>
            </w:r>
            <w:proofErr w:type="spellStart"/>
            <w:proofErr w:type="gramStart"/>
            <w:r>
              <w:rPr>
                <w:rFonts w:asciiTheme="minorHAnsi" w:eastAsia="Times New Roman" w:hAnsiTheme="minorHAnsi" w:cstheme="minorHAnsi"/>
                <w:color w:val="000000"/>
                <w:sz w:val="16"/>
                <w:szCs w:val="20"/>
                <w:lang w:eastAsia="cs-CZ"/>
              </w:rPr>
              <w:t>posouditCP</w:t>
            </w:r>
            <w:proofErr w:type="spellEnd"/>
            <w:proofErr w:type="gramEnd"/>
            <w:r>
              <w:rPr>
                <w:rFonts w:asciiTheme="minorHAnsi" w:eastAsia="Times New Roman" w:hAnsiTheme="minorHAnsi" w:cstheme="minorHAnsi"/>
                <w:color w:val="000000"/>
                <w:sz w:val="16"/>
                <w:szCs w:val="20"/>
                <w:lang w:eastAsia="cs-CZ"/>
              </w:rPr>
              <w:t xml:space="preserve"> pokud naplnění definice infrastruktury</w:t>
            </w:r>
          </w:p>
          <w:p w14:paraId="48981201" w14:textId="77777777" w:rsidR="00602DCA" w:rsidRDefault="00602DCA">
            <w:pPr>
              <w:spacing w:after="0" w:line="240" w:lineRule="auto"/>
              <w:jc w:val="left"/>
              <w:rPr>
                <w:rFonts w:asciiTheme="minorHAnsi" w:eastAsia="Times New Roman" w:hAnsiTheme="minorHAnsi" w:cstheme="minorHAnsi"/>
                <w:color w:val="000000"/>
                <w:sz w:val="16"/>
                <w:szCs w:val="20"/>
                <w:lang w:eastAsia="cs-CZ"/>
              </w:rPr>
            </w:pPr>
          </w:p>
          <w:p w14:paraId="0CF77BF8"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proofErr w:type="gramStart"/>
            <w:r>
              <w:rPr>
                <w:rFonts w:asciiTheme="minorHAnsi" w:eastAsia="Times New Roman" w:hAnsiTheme="minorHAnsi" w:cstheme="minorHAnsi"/>
                <w:color w:val="000000"/>
                <w:sz w:val="16"/>
                <w:szCs w:val="20"/>
                <w:lang w:eastAsia="cs-CZ"/>
              </w:rPr>
              <w:t>CP</w:t>
            </w:r>
            <w:proofErr w:type="gramEnd"/>
            <w:r>
              <w:rPr>
                <w:rFonts w:asciiTheme="minorHAnsi" w:eastAsia="Times New Roman" w:hAnsiTheme="minorHAnsi" w:cstheme="minorHAnsi"/>
                <w:color w:val="000000"/>
                <w:sz w:val="16"/>
                <w:szCs w:val="20"/>
                <w:lang w:eastAsia="cs-CZ"/>
              </w:rPr>
              <w:t xml:space="preserve"> pokud naplnění definice infrastruktury</w:t>
            </w:r>
          </w:p>
        </w:tc>
        <w:tc>
          <w:tcPr>
            <w:tcW w:w="460" w:type="pct"/>
            <w:tcBorders>
              <w:top w:val="none" w:sz="4" w:space="0" w:color="000000"/>
              <w:left w:val="none" w:sz="4" w:space="0" w:color="000000"/>
              <w:bottom w:val="single" w:sz="4" w:space="0" w:color="auto"/>
              <w:right w:val="single" w:sz="4" w:space="0" w:color="auto"/>
            </w:tcBorders>
            <w:vAlign w:val="center"/>
          </w:tcPr>
          <w:p w14:paraId="0D5B9723"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splněno</w:t>
            </w:r>
          </w:p>
          <w:p w14:paraId="0DC1DC7B" w14:textId="77777777" w:rsidR="00602DCA" w:rsidRDefault="00602DCA">
            <w:pPr>
              <w:spacing w:after="0" w:line="240" w:lineRule="auto"/>
              <w:jc w:val="left"/>
              <w:rPr>
                <w:rFonts w:asciiTheme="minorHAnsi" w:eastAsia="Times New Roman" w:hAnsiTheme="minorHAnsi" w:cstheme="minorHAnsi"/>
                <w:color w:val="000000"/>
                <w:sz w:val="16"/>
                <w:szCs w:val="20"/>
                <w:lang w:eastAsia="cs-CZ"/>
              </w:rPr>
            </w:pPr>
          </w:p>
          <w:p w14:paraId="61340817"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proofErr w:type="gramStart"/>
            <w:r>
              <w:rPr>
                <w:rFonts w:asciiTheme="minorHAnsi" w:eastAsia="Times New Roman" w:hAnsiTheme="minorHAnsi" w:cstheme="minorHAnsi"/>
                <w:color w:val="000000"/>
                <w:sz w:val="16"/>
                <w:szCs w:val="20"/>
                <w:lang w:eastAsia="cs-CZ"/>
              </w:rPr>
              <w:t>CP</w:t>
            </w:r>
            <w:proofErr w:type="gramEnd"/>
            <w:r>
              <w:rPr>
                <w:rFonts w:asciiTheme="minorHAnsi" w:eastAsia="Times New Roman" w:hAnsiTheme="minorHAnsi" w:cstheme="minorHAnsi"/>
                <w:color w:val="000000"/>
                <w:sz w:val="16"/>
                <w:szCs w:val="20"/>
                <w:lang w:eastAsia="cs-CZ"/>
              </w:rPr>
              <w:t xml:space="preserve"> pokud naplnění definice infrastruktury</w:t>
            </w:r>
          </w:p>
        </w:tc>
        <w:tc>
          <w:tcPr>
            <w:tcW w:w="455" w:type="pct"/>
            <w:tcBorders>
              <w:top w:val="none" w:sz="4" w:space="0" w:color="000000"/>
              <w:left w:val="none" w:sz="4" w:space="0" w:color="000000"/>
              <w:bottom w:val="single" w:sz="4" w:space="0" w:color="auto"/>
              <w:right w:val="single" w:sz="4" w:space="0" w:color="auto"/>
            </w:tcBorders>
            <w:vAlign w:val="center"/>
          </w:tcPr>
          <w:p w14:paraId="2427370B"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splněno</w:t>
            </w:r>
          </w:p>
        </w:tc>
        <w:tc>
          <w:tcPr>
            <w:tcW w:w="456" w:type="pct"/>
            <w:tcBorders>
              <w:top w:val="none" w:sz="4" w:space="0" w:color="000000"/>
              <w:left w:val="none" w:sz="4" w:space="0" w:color="000000"/>
              <w:bottom w:val="single" w:sz="4" w:space="0" w:color="auto"/>
              <w:right w:val="single" w:sz="4" w:space="0" w:color="auto"/>
            </w:tcBorders>
            <w:vAlign w:val="center"/>
          </w:tcPr>
          <w:p w14:paraId="0F776EED"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tc>
        <w:tc>
          <w:tcPr>
            <w:tcW w:w="461" w:type="pct"/>
            <w:tcBorders>
              <w:top w:val="none" w:sz="4" w:space="0" w:color="000000"/>
              <w:left w:val="none" w:sz="4" w:space="0" w:color="000000"/>
              <w:bottom w:val="single" w:sz="4" w:space="0" w:color="auto"/>
              <w:right w:val="single" w:sz="4" w:space="0" w:color="auto"/>
            </w:tcBorders>
            <w:vAlign w:val="center"/>
          </w:tcPr>
          <w:p w14:paraId="73E729F9"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tc>
        <w:tc>
          <w:tcPr>
            <w:tcW w:w="429" w:type="pct"/>
            <w:tcBorders>
              <w:top w:val="none" w:sz="4" w:space="0" w:color="000000"/>
              <w:left w:val="none" w:sz="4" w:space="0" w:color="000000"/>
              <w:bottom w:val="single" w:sz="4" w:space="0" w:color="auto"/>
              <w:right w:val="single" w:sz="4" w:space="0" w:color="auto"/>
            </w:tcBorders>
            <w:vAlign w:val="center"/>
          </w:tcPr>
          <w:p w14:paraId="06423849"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splněno</w:t>
            </w:r>
          </w:p>
        </w:tc>
      </w:tr>
      <w:tr w:rsidR="00602DCA" w14:paraId="6A74EE79" w14:textId="77777777">
        <w:trPr>
          <w:trHeight w:val="20"/>
        </w:trPr>
        <w:tc>
          <w:tcPr>
            <w:tcW w:w="202" w:type="pct"/>
            <w:tcBorders>
              <w:top w:val="none" w:sz="4" w:space="0" w:color="000000"/>
              <w:left w:val="single" w:sz="4" w:space="0" w:color="auto"/>
              <w:bottom w:val="single" w:sz="4" w:space="0" w:color="auto"/>
              <w:right w:val="single" w:sz="4" w:space="0" w:color="auto"/>
            </w:tcBorders>
            <w:vAlign w:val="center"/>
          </w:tcPr>
          <w:p w14:paraId="0B2BAD7C" w14:textId="77777777" w:rsidR="00602DCA" w:rsidRDefault="00C5530C">
            <w:pPr>
              <w:spacing w:after="0" w:line="240" w:lineRule="auto"/>
              <w:jc w:val="righ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59</w:t>
            </w:r>
          </w:p>
        </w:tc>
        <w:tc>
          <w:tcPr>
            <w:tcW w:w="204" w:type="pct"/>
            <w:tcBorders>
              <w:top w:val="none" w:sz="4" w:space="0" w:color="000000"/>
              <w:left w:val="none" w:sz="4" w:space="0" w:color="000000"/>
              <w:bottom w:val="single" w:sz="4" w:space="0" w:color="auto"/>
              <w:right w:val="single" w:sz="4" w:space="0" w:color="auto"/>
            </w:tcBorders>
            <w:vAlign w:val="center"/>
          </w:tcPr>
          <w:p w14:paraId="25AB1AC8" w14:textId="77777777" w:rsidR="00602DCA" w:rsidRDefault="00C5530C">
            <w:pPr>
              <w:spacing w:after="0" w:line="240" w:lineRule="auto"/>
              <w:jc w:val="righ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36</w:t>
            </w:r>
          </w:p>
        </w:tc>
        <w:tc>
          <w:tcPr>
            <w:tcW w:w="1165" w:type="pct"/>
            <w:tcBorders>
              <w:top w:val="none" w:sz="4" w:space="0" w:color="000000"/>
              <w:left w:val="none" w:sz="4" w:space="0" w:color="000000"/>
              <w:bottom w:val="single" w:sz="4" w:space="0" w:color="auto"/>
              <w:right w:val="single" w:sz="4" w:space="0" w:color="auto"/>
            </w:tcBorders>
            <w:vAlign w:val="center"/>
          </w:tcPr>
          <w:p w14:paraId="302F2EFE"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Opatření pro přizpůsobování se změně klimatu, předcházení rizikům nebo řízení rizik souvisejících s oblastí klimatu: požáry (včetně zvyšování povědomí, civilní ochrany a systémů řízení katastrof, infrastruktur a ekosystémových přístupů)</w:t>
            </w:r>
          </w:p>
        </w:tc>
        <w:tc>
          <w:tcPr>
            <w:tcW w:w="304" w:type="pct"/>
            <w:tcBorders>
              <w:top w:val="none" w:sz="4" w:space="0" w:color="000000"/>
              <w:left w:val="none" w:sz="4" w:space="0" w:color="000000"/>
              <w:bottom w:val="single" w:sz="4" w:space="0" w:color="auto"/>
              <w:right w:val="single" w:sz="4" w:space="0" w:color="auto"/>
            </w:tcBorders>
            <w:vAlign w:val="center"/>
          </w:tcPr>
          <w:p w14:paraId="1D2A92ED"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100 %</w:t>
            </w:r>
          </w:p>
        </w:tc>
        <w:tc>
          <w:tcPr>
            <w:tcW w:w="259" w:type="pct"/>
            <w:tcBorders>
              <w:top w:val="none" w:sz="4" w:space="0" w:color="000000"/>
              <w:left w:val="none" w:sz="4" w:space="0" w:color="000000"/>
              <w:bottom w:val="single" w:sz="4" w:space="0" w:color="auto"/>
              <w:right w:val="single" w:sz="4" w:space="0" w:color="auto"/>
            </w:tcBorders>
            <w:vAlign w:val="center"/>
          </w:tcPr>
          <w:p w14:paraId="055360F9"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100 %</w:t>
            </w:r>
          </w:p>
        </w:tc>
        <w:tc>
          <w:tcPr>
            <w:tcW w:w="605" w:type="pct"/>
            <w:tcBorders>
              <w:top w:val="none" w:sz="4" w:space="0" w:color="000000"/>
              <w:left w:val="none" w:sz="4" w:space="0" w:color="000000"/>
              <w:bottom w:val="single" w:sz="4" w:space="0" w:color="auto"/>
              <w:right w:val="single" w:sz="4" w:space="0" w:color="auto"/>
            </w:tcBorders>
            <w:vAlign w:val="center"/>
          </w:tcPr>
          <w:p w14:paraId="6ABBDFE2"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 xml:space="preserve">DNSH nutné </w:t>
            </w:r>
            <w:proofErr w:type="spellStart"/>
            <w:proofErr w:type="gramStart"/>
            <w:r>
              <w:rPr>
                <w:rFonts w:asciiTheme="minorHAnsi" w:eastAsia="Times New Roman" w:hAnsiTheme="minorHAnsi" w:cstheme="minorHAnsi"/>
                <w:color w:val="000000"/>
                <w:sz w:val="16"/>
                <w:szCs w:val="20"/>
                <w:lang w:eastAsia="cs-CZ"/>
              </w:rPr>
              <w:t>posouditCP</w:t>
            </w:r>
            <w:proofErr w:type="spellEnd"/>
            <w:proofErr w:type="gramEnd"/>
            <w:r>
              <w:rPr>
                <w:rFonts w:asciiTheme="minorHAnsi" w:eastAsia="Times New Roman" w:hAnsiTheme="minorHAnsi" w:cstheme="minorHAnsi"/>
                <w:color w:val="000000"/>
                <w:sz w:val="16"/>
                <w:szCs w:val="20"/>
                <w:lang w:eastAsia="cs-CZ"/>
              </w:rPr>
              <w:t xml:space="preserve"> pokud naplnění definice infrastruktury</w:t>
            </w:r>
          </w:p>
          <w:p w14:paraId="4488E07B" w14:textId="77777777" w:rsidR="00602DCA" w:rsidRDefault="00602DCA">
            <w:pPr>
              <w:spacing w:after="0" w:line="240" w:lineRule="auto"/>
              <w:jc w:val="left"/>
              <w:rPr>
                <w:rFonts w:asciiTheme="minorHAnsi" w:eastAsia="Times New Roman" w:hAnsiTheme="minorHAnsi" w:cstheme="minorHAnsi"/>
                <w:color w:val="000000"/>
                <w:sz w:val="16"/>
                <w:szCs w:val="20"/>
                <w:lang w:eastAsia="cs-CZ"/>
              </w:rPr>
            </w:pPr>
          </w:p>
          <w:p w14:paraId="5218A06E"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proofErr w:type="gramStart"/>
            <w:r>
              <w:rPr>
                <w:rFonts w:asciiTheme="minorHAnsi" w:eastAsia="Times New Roman" w:hAnsiTheme="minorHAnsi" w:cstheme="minorHAnsi"/>
                <w:color w:val="000000"/>
                <w:sz w:val="16"/>
                <w:szCs w:val="20"/>
                <w:lang w:eastAsia="cs-CZ"/>
              </w:rPr>
              <w:t>CP</w:t>
            </w:r>
            <w:proofErr w:type="gramEnd"/>
            <w:r>
              <w:rPr>
                <w:rFonts w:asciiTheme="minorHAnsi" w:eastAsia="Times New Roman" w:hAnsiTheme="minorHAnsi" w:cstheme="minorHAnsi"/>
                <w:color w:val="000000"/>
                <w:sz w:val="16"/>
                <w:szCs w:val="20"/>
                <w:lang w:eastAsia="cs-CZ"/>
              </w:rPr>
              <w:t xml:space="preserve"> pokud naplnění definice infrastruktury</w:t>
            </w:r>
          </w:p>
        </w:tc>
        <w:tc>
          <w:tcPr>
            <w:tcW w:w="460" w:type="pct"/>
            <w:tcBorders>
              <w:top w:val="none" w:sz="4" w:space="0" w:color="000000"/>
              <w:left w:val="none" w:sz="4" w:space="0" w:color="000000"/>
              <w:bottom w:val="single" w:sz="4" w:space="0" w:color="auto"/>
              <w:right w:val="single" w:sz="4" w:space="0" w:color="auto"/>
            </w:tcBorders>
            <w:vAlign w:val="center"/>
          </w:tcPr>
          <w:p w14:paraId="15CF7C52"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splněno</w:t>
            </w:r>
          </w:p>
          <w:p w14:paraId="53E11FE4" w14:textId="77777777" w:rsidR="00602DCA" w:rsidRDefault="00602DCA">
            <w:pPr>
              <w:spacing w:after="0" w:line="240" w:lineRule="auto"/>
              <w:jc w:val="left"/>
              <w:rPr>
                <w:rFonts w:asciiTheme="minorHAnsi" w:eastAsia="Times New Roman" w:hAnsiTheme="minorHAnsi" w:cstheme="minorHAnsi"/>
                <w:color w:val="000000"/>
                <w:sz w:val="16"/>
                <w:szCs w:val="20"/>
                <w:lang w:eastAsia="cs-CZ"/>
              </w:rPr>
            </w:pPr>
          </w:p>
          <w:p w14:paraId="7E916051"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proofErr w:type="gramStart"/>
            <w:r>
              <w:rPr>
                <w:rFonts w:asciiTheme="minorHAnsi" w:eastAsia="Times New Roman" w:hAnsiTheme="minorHAnsi" w:cstheme="minorHAnsi"/>
                <w:color w:val="000000"/>
                <w:sz w:val="16"/>
                <w:szCs w:val="20"/>
                <w:lang w:eastAsia="cs-CZ"/>
              </w:rPr>
              <w:t>CP</w:t>
            </w:r>
            <w:proofErr w:type="gramEnd"/>
            <w:r>
              <w:rPr>
                <w:rFonts w:asciiTheme="minorHAnsi" w:eastAsia="Times New Roman" w:hAnsiTheme="minorHAnsi" w:cstheme="minorHAnsi"/>
                <w:color w:val="000000"/>
                <w:sz w:val="16"/>
                <w:szCs w:val="20"/>
                <w:lang w:eastAsia="cs-CZ"/>
              </w:rPr>
              <w:t xml:space="preserve"> pokud naplnění definice infrastruktury</w:t>
            </w:r>
          </w:p>
        </w:tc>
        <w:tc>
          <w:tcPr>
            <w:tcW w:w="455" w:type="pct"/>
            <w:tcBorders>
              <w:top w:val="none" w:sz="4" w:space="0" w:color="000000"/>
              <w:left w:val="none" w:sz="4" w:space="0" w:color="000000"/>
              <w:bottom w:val="single" w:sz="4" w:space="0" w:color="auto"/>
              <w:right w:val="single" w:sz="4" w:space="0" w:color="auto"/>
            </w:tcBorders>
            <w:vAlign w:val="center"/>
          </w:tcPr>
          <w:p w14:paraId="2A28F23F"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splněno</w:t>
            </w:r>
          </w:p>
        </w:tc>
        <w:tc>
          <w:tcPr>
            <w:tcW w:w="456" w:type="pct"/>
            <w:tcBorders>
              <w:top w:val="none" w:sz="4" w:space="0" w:color="000000"/>
              <w:left w:val="none" w:sz="4" w:space="0" w:color="000000"/>
              <w:bottom w:val="single" w:sz="4" w:space="0" w:color="auto"/>
              <w:right w:val="single" w:sz="4" w:space="0" w:color="auto"/>
            </w:tcBorders>
            <w:vAlign w:val="center"/>
          </w:tcPr>
          <w:p w14:paraId="7FE2273C"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tc>
        <w:tc>
          <w:tcPr>
            <w:tcW w:w="461" w:type="pct"/>
            <w:tcBorders>
              <w:top w:val="none" w:sz="4" w:space="0" w:color="000000"/>
              <w:left w:val="none" w:sz="4" w:space="0" w:color="000000"/>
              <w:bottom w:val="single" w:sz="4" w:space="0" w:color="auto"/>
              <w:right w:val="single" w:sz="4" w:space="0" w:color="auto"/>
            </w:tcBorders>
            <w:vAlign w:val="center"/>
          </w:tcPr>
          <w:p w14:paraId="22082C86"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tc>
        <w:tc>
          <w:tcPr>
            <w:tcW w:w="429" w:type="pct"/>
            <w:tcBorders>
              <w:top w:val="none" w:sz="4" w:space="0" w:color="000000"/>
              <w:left w:val="none" w:sz="4" w:space="0" w:color="000000"/>
              <w:bottom w:val="single" w:sz="4" w:space="0" w:color="auto"/>
              <w:right w:val="single" w:sz="4" w:space="0" w:color="auto"/>
            </w:tcBorders>
            <w:vAlign w:val="center"/>
          </w:tcPr>
          <w:p w14:paraId="2EA0D0BF"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splněno</w:t>
            </w:r>
          </w:p>
        </w:tc>
      </w:tr>
      <w:tr w:rsidR="00602DCA" w14:paraId="0A896ED9" w14:textId="77777777">
        <w:trPr>
          <w:trHeight w:val="20"/>
        </w:trPr>
        <w:tc>
          <w:tcPr>
            <w:tcW w:w="202" w:type="pct"/>
            <w:tcBorders>
              <w:top w:val="none" w:sz="4" w:space="0" w:color="000000"/>
              <w:left w:val="single" w:sz="4" w:space="0" w:color="auto"/>
              <w:bottom w:val="single" w:sz="4" w:space="0" w:color="auto"/>
              <w:right w:val="single" w:sz="4" w:space="0" w:color="auto"/>
            </w:tcBorders>
            <w:vAlign w:val="center"/>
          </w:tcPr>
          <w:p w14:paraId="22ED95EA" w14:textId="77777777" w:rsidR="00602DCA" w:rsidRDefault="00C5530C">
            <w:pPr>
              <w:spacing w:after="0" w:line="240" w:lineRule="auto"/>
              <w:jc w:val="righ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60</w:t>
            </w:r>
          </w:p>
        </w:tc>
        <w:tc>
          <w:tcPr>
            <w:tcW w:w="204" w:type="pct"/>
            <w:tcBorders>
              <w:top w:val="none" w:sz="4" w:space="0" w:color="000000"/>
              <w:left w:val="none" w:sz="4" w:space="0" w:color="000000"/>
              <w:bottom w:val="single" w:sz="4" w:space="0" w:color="auto"/>
              <w:right w:val="single" w:sz="4" w:space="0" w:color="auto"/>
            </w:tcBorders>
            <w:vAlign w:val="center"/>
          </w:tcPr>
          <w:p w14:paraId="0F9CF273" w14:textId="77777777" w:rsidR="00602DCA" w:rsidRDefault="00C5530C">
            <w:pPr>
              <w:spacing w:after="0" w:line="240" w:lineRule="auto"/>
              <w:jc w:val="righ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37</w:t>
            </w:r>
          </w:p>
        </w:tc>
        <w:tc>
          <w:tcPr>
            <w:tcW w:w="1165" w:type="pct"/>
            <w:tcBorders>
              <w:top w:val="none" w:sz="4" w:space="0" w:color="000000"/>
              <w:left w:val="none" w:sz="4" w:space="0" w:color="000000"/>
              <w:bottom w:val="single" w:sz="4" w:space="0" w:color="auto"/>
              <w:right w:val="single" w:sz="4" w:space="0" w:color="auto"/>
            </w:tcBorders>
            <w:vAlign w:val="center"/>
          </w:tcPr>
          <w:p w14:paraId="130DE159"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 xml:space="preserve">Opatření pro přizpůsobování se změně klimatu, předcházení rizikům nebo řízení rizik </w:t>
            </w:r>
            <w:r>
              <w:rPr>
                <w:rFonts w:asciiTheme="minorHAnsi" w:eastAsia="Times New Roman" w:hAnsiTheme="minorHAnsi" w:cstheme="minorHAnsi"/>
                <w:color w:val="000000"/>
                <w:sz w:val="16"/>
                <w:szCs w:val="20"/>
                <w:lang w:eastAsia="cs-CZ"/>
              </w:rPr>
              <w:lastRenderedPageBreak/>
              <w:t>souvisejících s oblastí klimatu: jiné, například bouře a sucha (včetně zvyšování povědomí, civilní ochrany a systémů řízení katastrof, infrastruktur a ekosystémových přístupů)</w:t>
            </w:r>
          </w:p>
        </w:tc>
        <w:tc>
          <w:tcPr>
            <w:tcW w:w="304" w:type="pct"/>
            <w:tcBorders>
              <w:top w:val="none" w:sz="4" w:space="0" w:color="000000"/>
              <w:left w:val="none" w:sz="4" w:space="0" w:color="000000"/>
              <w:bottom w:val="single" w:sz="4" w:space="0" w:color="auto"/>
              <w:right w:val="single" w:sz="4" w:space="0" w:color="auto"/>
            </w:tcBorders>
            <w:vAlign w:val="center"/>
          </w:tcPr>
          <w:p w14:paraId="168AD652"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lastRenderedPageBreak/>
              <w:t>100 %</w:t>
            </w:r>
          </w:p>
        </w:tc>
        <w:tc>
          <w:tcPr>
            <w:tcW w:w="259" w:type="pct"/>
            <w:tcBorders>
              <w:top w:val="none" w:sz="4" w:space="0" w:color="000000"/>
              <w:left w:val="none" w:sz="4" w:space="0" w:color="000000"/>
              <w:bottom w:val="single" w:sz="4" w:space="0" w:color="auto"/>
              <w:right w:val="single" w:sz="4" w:space="0" w:color="auto"/>
            </w:tcBorders>
            <w:vAlign w:val="center"/>
          </w:tcPr>
          <w:p w14:paraId="674CCA19"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100 %</w:t>
            </w:r>
          </w:p>
        </w:tc>
        <w:tc>
          <w:tcPr>
            <w:tcW w:w="605" w:type="pct"/>
            <w:tcBorders>
              <w:top w:val="none" w:sz="4" w:space="0" w:color="000000"/>
              <w:left w:val="none" w:sz="4" w:space="0" w:color="000000"/>
              <w:bottom w:val="single" w:sz="4" w:space="0" w:color="auto"/>
              <w:right w:val="single" w:sz="4" w:space="0" w:color="auto"/>
            </w:tcBorders>
            <w:vAlign w:val="center"/>
          </w:tcPr>
          <w:p w14:paraId="07F217C6"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 xml:space="preserve">DNSH nutné </w:t>
            </w:r>
            <w:proofErr w:type="spellStart"/>
            <w:proofErr w:type="gramStart"/>
            <w:r>
              <w:rPr>
                <w:rFonts w:asciiTheme="minorHAnsi" w:eastAsia="Times New Roman" w:hAnsiTheme="minorHAnsi" w:cstheme="minorHAnsi"/>
                <w:color w:val="000000"/>
                <w:sz w:val="16"/>
                <w:szCs w:val="20"/>
                <w:lang w:eastAsia="cs-CZ"/>
              </w:rPr>
              <w:t>posouditCP</w:t>
            </w:r>
            <w:proofErr w:type="spellEnd"/>
            <w:proofErr w:type="gramEnd"/>
            <w:r>
              <w:rPr>
                <w:rFonts w:asciiTheme="minorHAnsi" w:eastAsia="Times New Roman" w:hAnsiTheme="minorHAnsi" w:cstheme="minorHAnsi"/>
                <w:color w:val="000000"/>
                <w:sz w:val="16"/>
                <w:szCs w:val="20"/>
                <w:lang w:eastAsia="cs-CZ"/>
              </w:rPr>
              <w:t xml:space="preserve"> pokud </w:t>
            </w:r>
            <w:r>
              <w:rPr>
                <w:rFonts w:asciiTheme="minorHAnsi" w:eastAsia="Times New Roman" w:hAnsiTheme="minorHAnsi" w:cstheme="minorHAnsi"/>
                <w:color w:val="000000"/>
                <w:sz w:val="16"/>
                <w:szCs w:val="20"/>
                <w:lang w:eastAsia="cs-CZ"/>
              </w:rPr>
              <w:lastRenderedPageBreak/>
              <w:t>naplnění definice infrastruktury</w:t>
            </w:r>
          </w:p>
          <w:p w14:paraId="6D86AF9D" w14:textId="77777777" w:rsidR="00602DCA" w:rsidRDefault="00602DCA">
            <w:pPr>
              <w:spacing w:after="0" w:line="240" w:lineRule="auto"/>
              <w:jc w:val="left"/>
              <w:rPr>
                <w:rFonts w:asciiTheme="minorHAnsi" w:eastAsia="Times New Roman" w:hAnsiTheme="minorHAnsi" w:cstheme="minorHAnsi"/>
                <w:color w:val="000000"/>
                <w:sz w:val="16"/>
                <w:szCs w:val="20"/>
                <w:lang w:eastAsia="cs-CZ"/>
              </w:rPr>
            </w:pPr>
          </w:p>
          <w:p w14:paraId="630C0C13"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proofErr w:type="gramStart"/>
            <w:r>
              <w:rPr>
                <w:rFonts w:asciiTheme="minorHAnsi" w:eastAsia="Times New Roman" w:hAnsiTheme="minorHAnsi" w:cstheme="minorHAnsi"/>
                <w:color w:val="000000"/>
                <w:sz w:val="16"/>
                <w:szCs w:val="20"/>
                <w:lang w:eastAsia="cs-CZ"/>
              </w:rPr>
              <w:t>CP</w:t>
            </w:r>
            <w:proofErr w:type="gramEnd"/>
            <w:r>
              <w:rPr>
                <w:rFonts w:asciiTheme="minorHAnsi" w:eastAsia="Times New Roman" w:hAnsiTheme="minorHAnsi" w:cstheme="minorHAnsi"/>
                <w:color w:val="000000"/>
                <w:sz w:val="16"/>
                <w:szCs w:val="20"/>
                <w:lang w:eastAsia="cs-CZ"/>
              </w:rPr>
              <w:t xml:space="preserve"> pokud naplnění definice infrastruktury</w:t>
            </w:r>
          </w:p>
        </w:tc>
        <w:tc>
          <w:tcPr>
            <w:tcW w:w="460" w:type="pct"/>
            <w:tcBorders>
              <w:top w:val="none" w:sz="4" w:space="0" w:color="000000"/>
              <w:left w:val="none" w:sz="4" w:space="0" w:color="000000"/>
              <w:bottom w:val="single" w:sz="4" w:space="0" w:color="auto"/>
              <w:right w:val="single" w:sz="4" w:space="0" w:color="auto"/>
            </w:tcBorders>
            <w:vAlign w:val="center"/>
          </w:tcPr>
          <w:p w14:paraId="6038206C"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lastRenderedPageBreak/>
              <w:t>DNSH splněno</w:t>
            </w:r>
          </w:p>
          <w:p w14:paraId="6440C22C" w14:textId="77777777" w:rsidR="00602DCA" w:rsidRDefault="00602DCA">
            <w:pPr>
              <w:spacing w:after="0" w:line="240" w:lineRule="auto"/>
              <w:jc w:val="left"/>
              <w:rPr>
                <w:rFonts w:asciiTheme="minorHAnsi" w:eastAsia="Times New Roman" w:hAnsiTheme="minorHAnsi" w:cstheme="minorHAnsi"/>
                <w:color w:val="000000"/>
                <w:sz w:val="16"/>
                <w:szCs w:val="20"/>
                <w:lang w:eastAsia="cs-CZ"/>
              </w:rPr>
            </w:pPr>
          </w:p>
          <w:p w14:paraId="23660441"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proofErr w:type="gramStart"/>
            <w:r>
              <w:rPr>
                <w:rFonts w:asciiTheme="minorHAnsi" w:eastAsia="Times New Roman" w:hAnsiTheme="minorHAnsi" w:cstheme="minorHAnsi"/>
                <w:color w:val="000000"/>
                <w:sz w:val="16"/>
                <w:szCs w:val="20"/>
                <w:lang w:eastAsia="cs-CZ"/>
              </w:rPr>
              <w:lastRenderedPageBreak/>
              <w:t>CP</w:t>
            </w:r>
            <w:proofErr w:type="gramEnd"/>
            <w:r>
              <w:rPr>
                <w:rFonts w:asciiTheme="minorHAnsi" w:eastAsia="Times New Roman" w:hAnsiTheme="minorHAnsi" w:cstheme="minorHAnsi"/>
                <w:color w:val="000000"/>
                <w:sz w:val="16"/>
                <w:szCs w:val="20"/>
                <w:lang w:eastAsia="cs-CZ"/>
              </w:rPr>
              <w:t xml:space="preserve"> pokud naplnění definice infrastruktury</w:t>
            </w:r>
          </w:p>
        </w:tc>
        <w:tc>
          <w:tcPr>
            <w:tcW w:w="455" w:type="pct"/>
            <w:tcBorders>
              <w:top w:val="none" w:sz="4" w:space="0" w:color="000000"/>
              <w:left w:val="none" w:sz="4" w:space="0" w:color="000000"/>
              <w:bottom w:val="single" w:sz="4" w:space="0" w:color="auto"/>
              <w:right w:val="single" w:sz="4" w:space="0" w:color="auto"/>
            </w:tcBorders>
            <w:vAlign w:val="center"/>
          </w:tcPr>
          <w:p w14:paraId="1BBDE52B"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lastRenderedPageBreak/>
              <w:t>DNSH splněno</w:t>
            </w:r>
          </w:p>
        </w:tc>
        <w:tc>
          <w:tcPr>
            <w:tcW w:w="456" w:type="pct"/>
            <w:tcBorders>
              <w:top w:val="none" w:sz="4" w:space="0" w:color="000000"/>
              <w:left w:val="none" w:sz="4" w:space="0" w:color="000000"/>
              <w:bottom w:val="single" w:sz="4" w:space="0" w:color="auto"/>
              <w:right w:val="single" w:sz="4" w:space="0" w:color="auto"/>
            </w:tcBorders>
            <w:vAlign w:val="center"/>
          </w:tcPr>
          <w:p w14:paraId="5F0D54E5"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tc>
        <w:tc>
          <w:tcPr>
            <w:tcW w:w="461" w:type="pct"/>
            <w:tcBorders>
              <w:top w:val="none" w:sz="4" w:space="0" w:color="000000"/>
              <w:left w:val="none" w:sz="4" w:space="0" w:color="000000"/>
              <w:bottom w:val="single" w:sz="4" w:space="0" w:color="auto"/>
              <w:right w:val="single" w:sz="4" w:space="0" w:color="auto"/>
            </w:tcBorders>
            <w:vAlign w:val="center"/>
          </w:tcPr>
          <w:p w14:paraId="1D7ED0D3"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tc>
        <w:tc>
          <w:tcPr>
            <w:tcW w:w="429" w:type="pct"/>
            <w:tcBorders>
              <w:top w:val="none" w:sz="4" w:space="0" w:color="000000"/>
              <w:left w:val="none" w:sz="4" w:space="0" w:color="000000"/>
              <w:bottom w:val="single" w:sz="4" w:space="0" w:color="auto"/>
              <w:right w:val="single" w:sz="4" w:space="0" w:color="auto"/>
            </w:tcBorders>
            <w:vAlign w:val="center"/>
          </w:tcPr>
          <w:p w14:paraId="251DFD41"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splněno</w:t>
            </w:r>
          </w:p>
        </w:tc>
      </w:tr>
      <w:tr w:rsidR="00602DCA" w14:paraId="2719D12A" w14:textId="77777777">
        <w:trPr>
          <w:trHeight w:val="20"/>
        </w:trPr>
        <w:tc>
          <w:tcPr>
            <w:tcW w:w="202" w:type="pct"/>
            <w:tcBorders>
              <w:top w:val="none" w:sz="4" w:space="0" w:color="000000"/>
              <w:left w:val="single" w:sz="4" w:space="0" w:color="auto"/>
              <w:bottom w:val="single" w:sz="4" w:space="0" w:color="auto"/>
              <w:right w:val="single" w:sz="4" w:space="0" w:color="auto"/>
            </w:tcBorders>
            <w:vAlign w:val="center"/>
          </w:tcPr>
          <w:p w14:paraId="556E3234" w14:textId="77777777" w:rsidR="00602DCA" w:rsidRDefault="00C5530C">
            <w:pPr>
              <w:spacing w:after="0" w:line="240" w:lineRule="auto"/>
              <w:jc w:val="righ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61</w:t>
            </w:r>
          </w:p>
        </w:tc>
        <w:tc>
          <w:tcPr>
            <w:tcW w:w="204" w:type="pct"/>
            <w:tcBorders>
              <w:top w:val="none" w:sz="4" w:space="0" w:color="000000"/>
              <w:left w:val="none" w:sz="4" w:space="0" w:color="000000"/>
              <w:bottom w:val="single" w:sz="4" w:space="0" w:color="auto"/>
              <w:right w:val="single" w:sz="4" w:space="0" w:color="auto"/>
            </w:tcBorders>
            <w:vAlign w:val="center"/>
          </w:tcPr>
          <w:p w14:paraId="7F88D7A4" w14:textId="77777777" w:rsidR="00602DCA" w:rsidRDefault="00C5530C">
            <w:pPr>
              <w:spacing w:after="0" w:line="240" w:lineRule="auto"/>
              <w:jc w:val="righ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38</w:t>
            </w:r>
          </w:p>
        </w:tc>
        <w:tc>
          <w:tcPr>
            <w:tcW w:w="1165" w:type="pct"/>
            <w:tcBorders>
              <w:top w:val="none" w:sz="4" w:space="0" w:color="000000"/>
              <w:left w:val="none" w:sz="4" w:space="0" w:color="000000"/>
              <w:bottom w:val="single" w:sz="4" w:space="0" w:color="auto"/>
              <w:right w:val="single" w:sz="4" w:space="0" w:color="auto"/>
            </w:tcBorders>
            <w:vAlign w:val="center"/>
          </w:tcPr>
          <w:p w14:paraId="3FC5BE37"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Předcházení rizikům a řízení přírodních rizik nesouvisejících se změnou klimatu (jako například zemětřesení) a rizik souvisejících s lidskou činností (jako například technologických nehod), včetně zvyšování povědomí, civilní ochrany a systémů řízení katastrof, infrastruktur a ekosystémových přístupů</w:t>
            </w:r>
          </w:p>
        </w:tc>
        <w:tc>
          <w:tcPr>
            <w:tcW w:w="304" w:type="pct"/>
            <w:tcBorders>
              <w:top w:val="none" w:sz="4" w:space="0" w:color="000000"/>
              <w:left w:val="none" w:sz="4" w:space="0" w:color="000000"/>
              <w:bottom w:val="single" w:sz="4" w:space="0" w:color="auto"/>
              <w:right w:val="single" w:sz="4" w:space="0" w:color="auto"/>
            </w:tcBorders>
            <w:vAlign w:val="center"/>
          </w:tcPr>
          <w:p w14:paraId="201F25C4"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0 %</w:t>
            </w:r>
          </w:p>
        </w:tc>
        <w:tc>
          <w:tcPr>
            <w:tcW w:w="259" w:type="pct"/>
            <w:tcBorders>
              <w:top w:val="none" w:sz="4" w:space="0" w:color="000000"/>
              <w:left w:val="none" w:sz="4" w:space="0" w:color="000000"/>
              <w:bottom w:val="single" w:sz="4" w:space="0" w:color="auto"/>
              <w:right w:val="single" w:sz="4" w:space="0" w:color="auto"/>
            </w:tcBorders>
            <w:vAlign w:val="center"/>
          </w:tcPr>
          <w:p w14:paraId="65F88540"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100 %</w:t>
            </w:r>
          </w:p>
        </w:tc>
        <w:tc>
          <w:tcPr>
            <w:tcW w:w="605" w:type="pct"/>
            <w:tcBorders>
              <w:top w:val="none" w:sz="4" w:space="0" w:color="000000"/>
              <w:left w:val="none" w:sz="4" w:space="0" w:color="000000"/>
              <w:bottom w:val="single" w:sz="4" w:space="0" w:color="auto"/>
              <w:right w:val="single" w:sz="4" w:space="0" w:color="auto"/>
            </w:tcBorders>
            <w:vAlign w:val="center"/>
          </w:tcPr>
          <w:p w14:paraId="0A1CD92C"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 xml:space="preserve">DNSH nutné </w:t>
            </w:r>
            <w:proofErr w:type="spellStart"/>
            <w:proofErr w:type="gramStart"/>
            <w:r>
              <w:rPr>
                <w:rFonts w:asciiTheme="minorHAnsi" w:eastAsia="Times New Roman" w:hAnsiTheme="minorHAnsi" w:cstheme="minorHAnsi"/>
                <w:color w:val="000000"/>
                <w:sz w:val="16"/>
                <w:szCs w:val="20"/>
                <w:lang w:eastAsia="cs-CZ"/>
              </w:rPr>
              <w:t>posouditCP</w:t>
            </w:r>
            <w:proofErr w:type="spellEnd"/>
            <w:proofErr w:type="gramEnd"/>
            <w:r>
              <w:rPr>
                <w:rFonts w:asciiTheme="minorHAnsi" w:eastAsia="Times New Roman" w:hAnsiTheme="minorHAnsi" w:cstheme="minorHAnsi"/>
                <w:color w:val="000000"/>
                <w:sz w:val="16"/>
                <w:szCs w:val="20"/>
                <w:lang w:eastAsia="cs-CZ"/>
              </w:rPr>
              <w:t xml:space="preserve"> pokud naplnění definice infrastruktury</w:t>
            </w:r>
          </w:p>
          <w:p w14:paraId="0FC41633" w14:textId="77777777" w:rsidR="00602DCA" w:rsidRDefault="00602DCA">
            <w:pPr>
              <w:spacing w:after="0" w:line="240" w:lineRule="auto"/>
              <w:jc w:val="left"/>
              <w:rPr>
                <w:rFonts w:asciiTheme="minorHAnsi" w:eastAsia="Times New Roman" w:hAnsiTheme="minorHAnsi" w:cstheme="minorHAnsi"/>
                <w:color w:val="000000"/>
                <w:sz w:val="16"/>
                <w:szCs w:val="20"/>
                <w:lang w:eastAsia="cs-CZ"/>
              </w:rPr>
            </w:pPr>
          </w:p>
          <w:p w14:paraId="70945241"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proofErr w:type="gramStart"/>
            <w:r>
              <w:rPr>
                <w:rFonts w:asciiTheme="minorHAnsi" w:eastAsia="Times New Roman" w:hAnsiTheme="minorHAnsi" w:cstheme="minorHAnsi"/>
                <w:color w:val="000000"/>
                <w:sz w:val="16"/>
                <w:szCs w:val="20"/>
                <w:lang w:eastAsia="cs-CZ"/>
              </w:rPr>
              <w:t>CP</w:t>
            </w:r>
            <w:proofErr w:type="gramEnd"/>
            <w:r>
              <w:rPr>
                <w:rFonts w:asciiTheme="minorHAnsi" w:eastAsia="Times New Roman" w:hAnsiTheme="minorHAnsi" w:cstheme="minorHAnsi"/>
                <w:color w:val="000000"/>
                <w:sz w:val="16"/>
                <w:szCs w:val="20"/>
                <w:lang w:eastAsia="cs-CZ"/>
              </w:rPr>
              <w:t xml:space="preserve"> pokud naplnění definice infrastruktury</w:t>
            </w:r>
          </w:p>
        </w:tc>
        <w:tc>
          <w:tcPr>
            <w:tcW w:w="460" w:type="pct"/>
            <w:tcBorders>
              <w:top w:val="none" w:sz="4" w:space="0" w:color="000000"/>
              <w:left w:val="none" w:sz="4" w:space="0" w:color="000000"/>
              <w:bottom w:val="single" w:sz="4" w:space="0" w:color="auto"/>
              <w:right w:val="single" w:sz="4" w:space="0" w:color="auto"/>
            </w:tcBorders>
            <w:vAlign w:val="center"/>
          </w:tcPr>
          <w:p w14:paraId="05247C81"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 xml:space="preserve">DNSH nutné </w:t>
            </w:r>
            <w:proofErr w:type="spellStart"/>
            <w:proofErr w:type="gramStart"/>
            <w:r>
              <w:rPr>
                <w:rFonts w:asciiTheme="minorHAnsi" w:eastAsia="Times New Roman" w:hAnsiTheme="minorHAnsi" w:cstheme="minorHAnsi"/>
                <w:color w:val="000000"/>
                <w:sz w:val="16"/>
                <w:szCs w:val="20"/>
                <w:lang w:eastAsia="cs-CZ"/>
              </w:rPr>
              <w:t>posouditCP</w:t>
            </w:r>
            <w:proofErr w:type="spellEnd"/>
            <w:proofErr w:type="gramEnd"/>
            <w:r>
              <w:rPr>
                <w:rFonts w:asciiTheme="minorHAnsi" w:eastAsia="Times New Roman" w:hAnsiTheme="minorHAnsi" w:cstheme="minorHAnsi"/>
                <w:color w:val="000000"/>
                <w:sz w:val="16"/>
                <w:szCs w:val="20"/>
                <w:lang w:eastAsia="cs-CZ"/>
              </w:rPr>
              <w:t xml:space="preserve"> pokud naplnění definice infrastruktury</w:t>
            </w:r>
          </w:p>
          <w:p w14:paraId="63C92220" w14:textId="77777777" w:rsidR="00602DCA" w:rsidRDefault="00602DCA">
            <w:pPr>
              <w:spacing w:after="0" w:line="240" w:lineRule="auto"/>
              <w:jc w:val="left"/>
              <w:rPr>
                <w:rFonts w:asciiTheme="minorHAnsi" w:eastAsia="Times New Roman" w:hAnsiTheme="minorHAnsi" w:cstheme="minorHAnsi"/>
                <w:color w:val="000000"/>
                <w:sz w:val="16"/>
                <w:szCs w:val="20"/>
                <w:lang w:eastAsia="cs-CZ"/>
              </w:rPr>
            </w:pPr>
          </w:p>
          <w:p w14:paraId="362F077B"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proofErr w:type="gramStart"/>
            <w:r>
              <w:rPr>
                <w:rFonts w:asciiTheme="minorHAnsi" w:eastAsia="Times New Roman" w:hAnsiTheme="minorHAnsi" w:cstheme="minorHAnsi"/>
                <w:color w:val="000000"/>
                <w:sz w:val="16"/>
                <w:szCs w:val="20"/>
                <w:lang w:eastAsia="cs-CZ"/>
              </w:rPr>
              <w:t>CP</w:t>
            </w:r>
            <w:proofErr w:type="gramEnd"/>
            <w:r>
              <w:rPr>
                <w:rFonts w:asciiTheme="minorHAnsi" w:eastAsia="Times New Roman" w:hAnsiTheme="minorHAnsi" w:cstheme="minorHAnsi"/>
                <w:color w:val="000000"/>
                <w:sz w:val="16"/>
                <w:szCs w:val="20"/>
                <w:lang w:eastAsia="cs-CZ"/>
              </w:rPr>
              <w:t xml:space="preserve"> pokud naplnění definice infrastruktury</w:t>
            </w:r>
          </w:p>
        </w:tc>
        <w:tc>
          <w:tcPr>
            <w:tcW w:w="455" w:type="pct"/>
            <w:tcBorders>
              <w:top w:val="none" w:sz="4" w:space="0" w:color="000000"/>
              <w:left w:val="none" w:sz="4" w:space="0" w:color="000000"/>
              <w:bottom w:val="single" w:sz="4" w:space="0" w:color="auto"/>
              <w:right w:val="single" w:sz="4" w:space="0" w:color="auto"/>
            </w:tcBorders>
            <w:vAlign w:val="center"/>
          </w:tcPr>
          <w:p w14:paraId="453EDC10"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splněno</w:t>
            </w:r>
          </w:p>
        </w:tc>
        <w:tc>
          <w:tcPr>
            <w:tcW w:w="456" w:type="pct"/>
            <w:tcBorders>
              <w:top w:val="none" w:sz="4" w:space="0" w:color="000000"/>
              <w:left w:val="none" w:sz="4" w:space="0" w:color="000000"/>
              <w:bottom w:val="single" w:sz="4" w:space="0" w:color="auto"/>
              <w:right w:val="single" w:sz="4" w:space="0" w:color="auto"/>
            </w:tcBorders>
            <w:vAlign w:val="center"/>
          </w:tcPr>
          <w:p w14:paraId="178D3E9C"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tc>
        <w:tc>
          <w:tcPr>
            <w:tcW w:w="461" w:type="pct"/>
            <w:tcBorders>
              <w:top w:val="none" w:sz="4" w:space="0" w:color="000000"/>
              <w:left w:val="none" w:sz="4" w:space="0" w:color="000000"/>
              <w:bottom w:val="single" w:sz="4" w:space="0" w:color="auto"/>
              <w:right w:val="single" w:sz="4" w:space="0" w:color="auto"/>
            </w:tcBorders>
            <w:vAlign w:val="center"/>
          </w:tcPr>
          <w:p w14:paraId="20A7B69F"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splněno</w:t>
            </w:r>
          </w:p>
        </w:tc>
        <w:tc>
          <w:tcPr>
            <w:tcW w:w="429" w:type="pct"/>
            <w:tcBorders>
              <w:top w:val="none" w:sz="4" w:space="0" w:color="000000"/>
              <w:left w:val="none" w:sz="4" w:space="0" w:color="000000"/>
              <w:bottom w:val="single" w:sz="4" w:space="0" w:color="auto"/>
              <w:right w:val="single" w:sz="4" w:space="0" w:color="auto"/>
            </w:tcBorders>
            <w:vAlign w:val="center"/>
          </w:tcPr>
          <w:p w14:paraId="5D15C455"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splněno</w:t>
            </w:r>
          </w:p>
        </w:tc>
      </w:tr>
      <w:tr w:rsidR="00602DCA" w14:paraId="290FF37D" w14:textId="77777777">
        <w:trPr>
          <w:trHeight w:val="20"/>
        </w:trPr>
        <w:tc>
          <w:tcPr>
            <w:tcW w:w="202" w:type="pct"/>
            <w:tcBorders>
              <w:top w:val="none" w:sz="4" w:space="0" w:color="000000"/>
              <w:left w:val="single" w:sz="4" w:space="0" w:color="auto"/>
              <w:bottom w:val="single" w:sz="4" w:space="0" w:color="auto"/>
              <w:right w:val="single" w:sz="4" w:space="0" w:color="auto"/>
            </w:tcBorders>
            <w:vAlign w:val="center"/>
          </w:tcPr>
          <w:p w14:paraId="2479FB65" w14:textId="77777777" w:rsidR="00602DCA" w:rsidRDefault="00C5530C">
            <w:pPr>
              <w:spacing w:after="0" w:line="240" w:lineRule="auto"/>
              <w:jc w:val="righ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62</w:t>
            </w:r>
          </w:p>
        </w:tc>
        <w:tc>
          <w:tcPr>
            <w:tcW w:w="204" w:type="pct"/>
            <w:tcBorders>
              <w:top w:val="none" w:sz="4" w:space="0" w:color="000000"/>
              <w:left w:val="none" w:sz="4" w:space="0" w:color="000000"/>
              <w:bottom w:val="single" w:sz="4" w:space="0" w:color="auto"/>
              <w:right w:val="single" w:sz="4" w:space="0" w:color="auto"/>
            </w:tcBorders>
            <w:vAlign w:val="center"/>
          </w:tcPr>
          <w:p w14:paraId="76AE21F0" w14:textId="77777777" w:rsidR="00602DCA" w:rsidRDefault="00C5530C">
            <w:pPr>
              <w:spacing w:after="0" w:line="240" w:lineRule="auto"/>
              <w:jc w:val="right"/>
              <w:rPr>
                <w:rFonts w:asciiTheme="minorHAnsi" w:eastAsia="Times New Roman" w:hAnsiTheme="minorHAnsi" w:cstheme="minorHAnsi"/>
                <w:sz w:val="16"/>
                <w:szCs w:val="20"/>
                <w:lang w:eastAsia="cs-CZ"/>
              </w:rPr>
            </w:pPr>
            <w:r>
              <w:rPr>
                <w:rFonts w:asciiTheme="minorHAnsi" w:eastAsia="Times New Roman" w:hAnsiTheme="minorHAnsi" w:cstheme="minorHAnsi"/>
                <w:sz w:val="16"/>
                <w:szCs w:val="20"/>
                <w:lang w:eastAsia="cs-CZ"/>
              </w:rPr>
              <w:t>39</w:t>
            </w:r>
          </w:p>
        </w:tc>
        <w:tc>
          <w:tcPr>
            <w:tcW w:w="1165" w:type="pct"/>
            <w:tcBorders>
              <w:top w:val="none" w:sz="4" w:space="0" w:color="000000"/>
              <w:left w:val="none" w:sz="4" w:space="0" w:color="000000"/>
              <w:bottom w:val="single" w:sz="4" w:space="0" w:color="auto"/>
              <w:right w:val="single" w:sz="4" w:space="0" w:color="auto"/>
            </w:tcBorders>
            <w:vAlign w:val="center"/>
          </w:tcPr>
          <w:p w14:paraId="1158E2A3" w14:textId="77777777" w:rsidR="00602DCA" w:rsidRDefault="00C5530C">
            <w:pPr>
              <w:spacing w:after="0" w:line="240" w:lineRule="auto"/>
              <w:rPr>
                <w:rFonts w:asciiTheme="minorHAnsi" w:eastAsia="Times New Roman" w:hAnsiTheme="minorHAnsi" w:cstheme="minorHAnsi"/>
                <w:sz w:val="16"/>
                <w:szCs w:val="20"/>
                <w:lang w:eastAsia="cs-CZ"/>
              </w:rPr>
            </w:pPr>
            <w:r>
              <w:rPr>
                <w:rFonts w:asciiTheme="minorHAnsi" w:eastAsia="Times New Roman" w:hAnsiTheme="minorHAnsi" w:cstheme="minorHAnsi"/>
                <w:sz w:val="16"/>
                <w:szCs w:val="20"/>
                <w:lang w:eastAsia="cs-CZ"/>
              </w:rPr>
              <w:t>Poskytování vody pro lidskou spotřebu (čerpání, zpracování, skladování a distribuční infrastruktura, opatření v oblasti účinnosti, dodávky pitné vody)</w:t>
            </w:r>
          </w:p>
        </w:tc>
        <w:tc>
          <w:tcPr>
            <w:tcW w:w="304" w:type="pct"/>
            <w:tcBorders>
              <w:top w:val="none" w:sz="4" w:space="0" w:color="000000"/>
              <w:left w:val="none" w:sz="4" w:space="0" w:color="000000"/>
              <w:bottom w:val="single" w:sz="4" w:space="0" w:color="auto"/>
              <w:right w:val="single" w:sz="4" w:space="0" w:color="auto"/>
            </w:tcBorders>
            <w:vAlign w:val="center"/>
          </w:tcPr>
          <w:p w14:paraId="19FB30CD"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0 %</w:t>
            </w:r>
          </w:p>
        </w:tc>
        <w:tc>
          <w:tcPr>
            <w:tcW w:w="259" w:type="pct"/>
            <w:tcBorders>
              <w:top w:val="none" w:sz="4" w:space="0" w:color="000000"/>
              <w:left w:val="none" w:sz="4" w:space="0" w:color="000000"/>
              <w:bottom w:val="single" w:sz="4" w:space="0" w:color="auto"/>
              <w:right w:val="single" w:sz="4" w:space="0" w:color="auto"/>
            </w:tcBorders>
            <w:vAlign w:val="center"/>
          </w:tcPr>
          <w:p w14:paraId="548BFB0B"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100 %</w:t>
            </w:r>
          </w:p>
        </w:tc>
        <w:tc>
          <w:tcPr>
            <w:tcW w:w="605" w:type="pct"/>
            <w:tcBorders>
              <w:top w:val="none" w:sz="4" w:space="0" w:color="000000"/>
              <w:left w:val="none" w:sz="4" w:space="0" w:color="000000"/>
              <w:bottom w:val="single" w:sz="4" w:space="0" w:color="auto"/>
              <w:right w:val="single" w:sz="4" w:space="0" w:color="auto"/>
            </w:tcBorders>
            <w:vAlign w:val="center"/>
          </w:tcPr>
          <w:p w14:paraId="192AB548"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 xml:space="preserve">DNSH nutné </w:t>
            </w:r>
            <w:proofErr w:type="spellStart"/>
            <w:proofErr w:type="gramStart"/>
            <w:r>
              <w:rPr>
                <w:rFonts w:asciiTheme="minorHAnsi" w:eastAsia="Times New Roman" w:hAnsiTheme="minorHAnsi" w:cstheme="minorHAnsi"/>
                <w:color w:val="000000"/>
                <w:sz w:val="16"/>
                <w:szCs w:val="20"/>
                <w:lang w:eastAsia="cs-CZ"/>
              </w:rPr>
              <w:t>posouditCP</w:t>
            </w:r>
            <w:proofErr w:type="spellEnd"/>
            <w:proofErr w:type="gramEnd"/>
            <w:r>
              <w:rPr>
                <w:rFonts w:asciiTheme="minorHAnsi" w:eastAsia="Times New Roman" w:hAnsiTheme="minorHAnsi" w:cstheme="minorHAnsi"/>
                <w:color w:val="000000"/>
                <w:sz w:val="16"/>
                <w:szCs w:val="20"/>
                <w:lang w:eastAsia="cs-CZ"/>
              </w:rPr>
              <w:t xml:space="preserve"> pokud naplnění definice infrastruktury</w:t>
            </w:r>
          </w:p>
          <w:p w14:paraId="16794E4B" w14:textId="77777777" w:rsidR="00602DCA" w:rsidRDefault="00602DCA">
            <w:pPr>
              <w:spacing w:after="0" w:line="240" w:lineRule="auto"/>
              <w:jc w:val="left"/>
              <w:rPr>
                <w:rFonts w:asciiTheme="minorHAnsi" w:eastAsia="Times New Roman" w:hAnsiTheme="minorHAnsi" w:cstheme="minorHAnsi"/>
                <w:color w:val="000000"/>
                <w:sz w:val="16"/>
                <w:szCs w:val="20"/>
                <w:lang w:eastAsia="cs-CZ"/>
              </w:rPr>
            </w:pPr>
          </w:p>
          <w:p w14:paraId="46BD637F"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proofErr w:type="gramStart"/>
            <w:r>
              <w:rPr>
                <w:rFonts w:asciiTheme="minorHAnsi" w:eastAsia="Times New Roman" w:hAnsiTheme="minorHAnsi" w:cstheme="minorHAnsi"/>
                <w:color w:val="000000"/>
                <w:sz w:val="16"/>
                <w:szCs w:val="20"/>
                <w:lang w:eastAsia="cs-CZ"/>
              </w:rPr>
              <w:t>CP</w:t>
            </w:r>
            <w:proofErr w:type="gramEnd"/>
            <w:r>
              <w:rPr>
                <w:rFonts w:asciiTheme="minorHAnsi" w:eastAsia="Times New Roman" w:hAnsiTheme="minorHAnsi" w:cstheme="minorHAnsi"/>
                <w:color w:val="000000"/>
                <w:sz w:val="16"/>
                <w:szCs w:val="20"/>
                <w:lang w:eastAsia="cs-CZ"/>
              </w:rPr>
              <w:t xml:space="preserve"> pokud naplnění definice infrastruktury</w:t>
            </w:r>
          </w:p>
        </w:tc>
        <w:tc>
          <w:tcPr>
            <w:tcW w:w="460" w:type="pct"/>
            <w:tcBorders>
              <w:top w:val="none" w:sz="4" w:space="0" w:color="000000"/>
              <w:left w:val="none" w:sz="4" w:space="0" w:color="000000"/>
              <w:bottom w:val="single" w:sz="4" w:space="0" w:color="auto"/>
              <w:right w:val="single" w:sz="4" w:space="0" w:color="auto"/>
            </w:tcBorders>
            <w:vAlign w:val="center"/>
          </w:tcPr>
          <w:p w14:paraId="6A9EC737"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 xml:space="preserve">DNSH nutné </w:t>
            </w:r>
            <w:proofErr w:type="spellStart"/>
            <w:proofErr w:type="gramStart"/>
            <w:r>
              <w:rPr>
                <w:rFonts w:asciiTheme="minorHAnsi" w:eastAsia="Times New Roman" w:hAnsiTheme="minorHAnsi" w:cstheme="minorHAnsi"/>
                <w:color w:val="000000"/>
                <w:sz w:val="16"/>
                <w:szCs w:val="20"/>
                <w:lang w:eastAsia="cs-CZ"/>
              </w:rPr>
              <w:t>posouditCP</w:t>
            </w:r>
            <w:proofErr w:type="spellEnd"/>
            <w:proofErr w:type="gramEnd"/>
            <w:r>
              <w:rPr>
                <w:rFonts w:asciiTheme="minorHAnsi" w:eastAsia="Times New Roman" w:hAnsiTheme="minorHAnsi" w:cstheme="minorHAnsi"/>
                <w:color w:val="000000"/>
                <w:sz w:val="16"/>
                <w:szCs w:val="20"/>
                <w:lang w:eastAsia="cs-CZ"/>
              </w:rPr>
              <w:t xml:space="preserve"> pokud naplnění definice infrastruktury</w:t>
            </w:r>
          </w:p>
          <w:p w14:paraId="684D7F24" w14:textId="77777777" w:rsidR="00602DCA" w:rsidRDefault="00602DCA">
            <w:pPr>
              <w:spacing w:after="0" w:line="240" w:lineRule="auto"/>
              <w:jc w:val="left"/>
              <w:rPr>
                <w:rFonts w:asciiTheme="minorHAnsi" w:eastAsia="Times New Roman" w:hAnsiTheme="minorHAnsi" w:cstheme="minorHAnsi"/>
                <w:color w:val="000000"/>
                <w:sz w:val="16"/>
                <w:szCs w:val="20"/>
                <w:lang w:eastAsia="cs-CZ"/>
              </w:rPr>
            </w:pPr>
          </w:p>
          <w:p w14:paraId="00137314"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proofErr w:type="gramStart"/>
            <w:r>
              <w:rPr>
                <w:rFonts w:asciiTheme="minorHAnsi" w:eastAsia="Times New Roman" w:hAnsiTheme="minorHAnsi" w:cstheme="minorHAnsi"/>
                <w:color w:val="000000"/>
                <w:sz w:val="16"/>
                <w:szCs w:val="20"/>
                <w:lang w:eastAsia="cs-CZ"/>
              </w:rPr>
              <w:t>CP</w:t>
            </w:r>
            <w:proofErr w:type="gramEnd"/>
            <w:r>
              <w:rPr>
                <w:rFonts w:asciiTheme="minorHAnsi" w:eastAsia="Times New Roman" w:hAnsiTheme="minorHAnsi" w:cstheme="minorHAnsi"/>
                <w:color w:val="000000"/>
                <w:sz w:val="16"/>
                <w:szCs w:val="20"/>
                <w:lang w:eastAsia="cs-CZ"/>
              </w:rPr>
              <w:t xml:space="preserve"> pokud naplnění definice infrastruktury</w:t>
            </w:r>
          </w:p>
        </w:tc>
        <w:tc>
          <w:tcPr>
            <w:tcW w:w="455" w:type="pct"/>
            <w:tcBorders>
              <w:top w:val="none" w:sz="4" w:space="0" w:color="000000"/>
              <w:left w:val="none" w:sz="4" w:space="0" w:color="000000"/>
              <w:bottom w:val="single" w:sz="4" w:space="0" w:color="auto"/>
              <w:right w:val="single" w:sz="4" w:space="0" w:color="auto"/>
            </w:tcBorders>
            <w:vAlign w:val="center"/>
          </w:tcPr>
          <w:p w14:paraId="0532886E"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splněno</w:t>
            </w:r>
          </w:p>
        </w:tc>
        <w:tc>
          <w:tcPr>
            <w:tcW w:w="456" w:type="pct"/>
            <w:tcBorders>
              <w:top w:val="none" w:sz="4" w:space="0" w:color="000000"/>
              <w:left w:val="none" w:sz="4" w:space="0" w:color="000000"/>
              <w:bottom w:val="single" w:sz="4" w:space="0" w:color="auto"/>
              <w:right w:val="single" w:sz="4" w:space="0" w:color="auto"/>
            </w:tcBorders>
            <w:vAlign w:val="center"/>
          </w:tcPr>
          <w:p w14:paraId="7EA8A658"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tc>
        <w:tc>
          <w:tcPr>
            <w:tcW w:w="461" w:type="pct"/>
            <w:tcBorders>
              <w:top w:val="none" w:sz="4" w:space="0" w:color="000000"/>
              <w:left w:val="none" w:sz="4" w:space="0" w:color="000000"/>
              <w:bottom w:val="single" w:sz="4" w:space="0" w:color="auto"/>
              <w:right w:val="single" w:sz="4" w:space="0" w:color="auto"/>
            </w:tcBorders>
            <w:vAlign w:val="center"/>
          </w:tcPr>
          <w:p w14:paraId="27028948"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tc>
        <w:tc>
          <w:tcPr>
            <w:tcW w:w="429" w:type="pct"/>
            <w:tcBorders>
              <w:top w:val="none" w:sz="4" w:space="0" w:color="000000"/>
              <w:left w:val="none" w:sz="4" w:space="0" w:color="000000"/>
              <w:bottom w:val="single" w:sz="4" w:space="0" w:color="auto"/>
              <w:right w:val="single" w:sz="4" w:space="0" w:color="auto"/>
            </w:tcBorders>
            <w:vAlign w:val="center"/>
          </w:tcPr>
          <w:p w14:paraId="2759549E"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tc>
      </w:tr>
      <w:tr w:rsidR="00602DCA" w14:paraId="1E926B81" w14:textId="77777777">
        <w:trPr>
          <w:trHeight w:val="20"/>
        </w:trPr>
        <w:tc>
          <w:tcPr>
            <w:tcW w:w="202" w:type="pct"/>
            <w:tcBorders>
              <w:top w:val="none" w:sz="4" w:space="0" w:color="000000"/>
              <w:left w:val="single" w:sz="4" w:space="0" w:color="auto"/>
              <w:bottom w:val="single" w:sz="4" w:space="0" w:color="auto"/>
              <w:right w:val="single" w:sz="4" w:space="0" w:color="auto"/>
            </w:tcBorders>
            <w:vAlign w:val="center"/>
          </w:tcPr>
          <w:p w14:paraId="63FCBDD4" w14:textId="77777777" w:rsidR="00602DCA" w:rsidRDefault="00C5530C">
            <w:pPr>
              <w:spacing w:after="0" w:line="240" w:lineRule="auto"/>
              <w:jc w:val="righ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63</w:t>
            </w:r>
          </w:p>
        </w:tc>
        <w:tc>
          <w:tcPr>
            <w:tcW w:w="204" w:type="pct"/>
            <w:tcBorders>
              <w:top w:val="none" w:sz="4" w:space="0" w:color="000000"/>
              <w:left w:val="none" w:sz="4" w:space="0" w:color="000000"/>
              <w:bottom w:val="single" w:sz="4" w:space="0" w:color="auto"/>
              <w:right w:val="single" w:sz="4" w:space="0" w:color="auto"/>
            </w:tcBorders>
            <w:vAlign w:val="center"/>
          </w:tcPr>
          <w:p w14:paraId="720B496D" w14:textId="77777777" w:rsidR="00602DCA" w:rsidRDefault="00C5530C">
            <w:pPr>
              <w:spacing w:after="0" w:line="240" w:lineRule="auto"/>
              <w:rPr>
                <w:rFonts w:asciiTheme="minorHAnsi" w:eastAsia="Times New Roman" w:hAnsiTheme="minorHAnsi" w:cstheme="minorHAnsi"/>
                <w:color w:val="000000"/>
                <w:sz w:val="16"/>
                <w:szCs w:val="20"/>
                <w:lang w:eastAsia="cs-CZ"/>
              </w:rPr>
            </w:pPr>
            <w:proofErr w:type="gramStart"/>
            <w:r>
              <w:rPr>
                <w:rFonts w:asciiTheme="minorHAnsi" w:eastAsia="Times New Roman" w:hAnsiTheme="minorHAnsi" w:cstheme="minorHAnsi"/>
                <w:color w:val="000000"/>
                <w:sz w:val="16"/>
                <w:szCs w:val="20"/>
                <w:lang w:eastAsia="cs-CZ"/>
              </w:rPr>
              <w:t>039a</w:t>
            </w:r>
            <w:proofErr w:type="gramEnd"/>
          </w:p>
        </w:tc>
        <w:tc>
          <w:tcPr>
            <w:tcW w:w="1165" w:type="pct"/>
            <w:tcBorders>
              <w:top w:val="none" w:sz="4" w:space="0" w:color="000000"/>
              <w:left w:val="none" w:sz="4" w:space="0" w:color="000000"/>
              <w:bottom w:val="single" w:sz="4" w:space="0" w:color="auto"/>
              <w:right w:val="single" w:sz="4" w:space="0" w:color="auto"/>
            </w:tcBorders>
            <w:vAlign w:val="center"/>
          </w:tcPr>
          <w:p w14:paraId="360CCB84" w14:textId="77777777" w:rsidR="00602DCA" w:rsidRDefault="00602DCA">
            <w:pPr>
              <w:spacing w:after="0" w:line="240" w:lineRule="auto"/>
              <w:rPr>
                <w:rFonts w:asciiTheme="minorHAnsi" w:eastAsia="Times New Roman" w:hAnsiTheme="minorHAnsi" w:cstheme="minorHAnsi"/>
                <w:color w:val="0563C1"/>
                <w:sz w:val="16"/>
                <w:szCs w:val="20"/>
                <w:u w:val="single"/>
                <w:lang w:eastAsia="cs-CZ"/>
              </w:rPr>
            </w:pPr>
            <w:hyperlink r:id="rId171" w:anchor="E0038" w:tooltip="https://eur-lex.europa.eu/legal-content/CS/TXT/?uri=CELEX%3A02021R1060-20210630&amp;qid=1659091609743#E0038" w:history="1">
              <w:r>
                <w:rPr>
                  <w:rFonts w:asciiTheme="minorHAnsi" w:eastAsia="Times New Roman" w:hAnsiTheme="minorHAnsi" w:cstheme="minorHAnsi"/>
                  <w:color w:val="0563C1"/>
                  <w:sz w:val="16"/>
                  <w:szCs w:val="20"/>
                  <w:u w:val="single"/>
                  <w:lang w:eastAsia="cs-CZ"/>
                </w:rPr>
                <w:t>Poskytování vody pro lidskou spotřebu (infrastruktura pro odběr, úpravu, akumulaci a rozvod, opatření v oblasti účinnosti, dodávky pitné vody) v souladu s kritérii účinnosti (17)</w:t>
              </w:r>
            </w:hyperlink>
          </w:p>
        </w:tc>
        <w:tc>
          <w:tcPr>
            <w:tcW w:w="304" w:type="pct"/>
            <w:tcBorders>
              <w:top w:val="none" w:sz="4" w:space="0" w:color="000000"/>
              <w:left w:val="none" w:sz="4" w:space="0" w:color="000000"/>
              <w:bottom w:val="single" w:sz="4" w:space="0" w:color="auto"/>
              <w:right w:val="single" w:sz="4" w:space="0" w:color="auto"/>
            </w:tcBorders>
            <w:vAlign w:val="center"/>
          </w:tcPr>
          <w:p w14:paraId="23E8569B"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w:t>
            </w:r>
          </w:p>
        </w:tc>
        <w:tc>
          <w:tcPr>
            <w:tcW w:w="259" w:type="pct"/>
            <w:tcBorders>
              <w:top w:val="none" w:sz="4" w:space="0" w:color="000000"/>
              <w:left w:val="none" w:sz="4" w:space="0" w:color="000000"/>
              <w:bottom w:val="single" w:sz="4" w:space="0" w:color="auto"/>
              <w:right w:val="single" w:sz="4" w:space="0" w:color="auto"/>
            </w:tcBorders>
            <w:vAlign w:val="center"/>
          </w:tcPr>
          <w:p w14:paraId="234F2F02"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100 %</w:t>
            </w:r>
          </w:p>
        </w:tc>
        <w:tc>
          <w:tcPr>
            <w:tcW w:w="605" w:type="pct"/>
            <w:tcBorders>
              <w:top w:val="none" w:sz="4" w:space="0" w:color="000000"/>
              <w:left w:val="none" w:sz="4" w:space="0" w:color="000000"/>
              <w:bottom w:val="single" w:sz="4" w:space="0" w:color="auto"/>
              <w:right w:val="single" w:sz="4" w:space="0" w:color="auto"/>
            </w:tcBorders>
            <w:vAlign w:val="center"/>
          </w:tcPr>
          <w:p w14:paraId="2FCB2A22"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p w14:paraId="201C1BFE" w14:textId="77777777" w:rsidR="00602DCA" w:rsidRDefault="00602DCA">
            <w:pPr>
              <w:spacing w:after="0" w:line="240" w:lineRule="auto"/>
              <w:jc w:val="left"/>
              <w:rPr>
                <w:rFonts w:asciiTheme="minorHAnsi" w:eastAsia="Times New Roman" w:hAnsiTheme="minorHAnsi" w:cstheme="minorHAnsi"/>
                <w:color w:val="000000"/>
                <w:sz w:val="16"/>
                <w:szCs w:val="20"/>
                <w:lang w:eastAsia="cs-CZ"/>
              </w:rPr>
            </w:pPr>
          </w:p>
          <w:p w14:paraId="716A973E"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proofErr w:type="gramStart"/>
            <w:r>
              <w:rPr>
                <w:rFonts w:asciiTheme="minorHAnsi" w:eastAsia="Times New Roman" w:hAnsiTheme="minorHAnsi" w:cstheme="minorHAnsi"/>
                <w:color w:val="000000"/>
                <w:sz w:val="16"/>
                <w:szCs w:val="20"/>
                <w:lang w:eastAsia="cs-CZ"/>
              </w:rPr>
              <w:t>CP</w:t>
            </w:r>
            <w:proofErr w:type="gramEnd"/>
            <w:r>
              <w:rPr>
                <w:rFonts w:asciiTheme="minorHAnsi" w:eastAsia="Times New Roman" w:hAnsiTheme="minorHAnsi" w:cstheme="minorHAnsi"/>
                <w:color w:val="000000"/>
                <w:sz w:val="16"/>
                <w:szCs w:val="20"/>
                <w:lang w:eastAsia="cs-CZ"/>
              </w:rPr>
              <w:t xml:space="preserve"> pokud naplnění definice infrastruktury</w:t>
            </w:r>
          </w:p>
        </w:tc>
        <w:tc>
          <w:tcPr>
            <w:tcW w:w="460" w:type="pct"/>
            <w:tcBorders>
              <w:top w:val="none" w:sz="4" w:space="0" w:color="000000"/>
              <w:left w:val="none" w:sz="4" w:space="0" w:color="000000"/>
              <w:bottom w:val="single" w:sz="4" w:space="0" w:color="auto"/>
              <w:right w:val="single" w:sz="4" w:space="0" w:color="auto"/>
            </w:tcBorders>
            <w:vAlign w:val="center"/>
          </w:tcPr>
          <w:p w14:paraId="213919AA"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p w14:paraId="269A5737" w14:textId="77777777" w:rsidR="00602DCA" w:rsidRDefault="00602DCA">
            <w:pPr>
              <w:spacing w:after="0" w:line="240" w:lineRule="auto"/>
              <w:jc w:val="left"/>
              <w:rPr>
                <w:rFonts w:asciiTheme="minorHAnsi" w:eastAsia="Times New Roman" w:hAnsiTheme="minorHAnsi" w:cstheme="minorHAnsi"/>
                <w:color w:val="000000"/>
                <w:sz w:val="16"/>
                <w:szCs w:val="20"/>
                <w:lang w:eastAsia="cs-CZ"/>
              </w:rPr>
            </w:pPr>
          </w:p>
          <w:p w14:paraId="0A10A543"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proofErr w:type="gramStart"/>
            <w:r>
              <w:rPr>
                <w:rFonts w:asciiTheme="minorHAnsi" w:eastAsia="Times New Roman" w:hAnsiTheme="minorHAnsi" w:cstheme="minorHAnsi"/>
                <w:color w:val="000000"/>
                <w:sz w:val="16"/>
                <w:szCs w:val="20"/>
                <w:lang w:eastAsia="cs-CZ"/>
              </w:rPr>
              <w:t>CP</w:t>
            </w:r>
            <w:proofErr w:type="gramEnd"/>
            <w:r>
              <w:rPr>
                <w:rFonts w:asciiTheme="minorHAnsi" w:eastAsia="Times New Roman" w:hAnsiTheme="minorHAnsi" w:cstheme="minorHAnsi"/>
                <w:color w:val="000000"/>
                <w:sz w:val="16"/>
                <w:szCs w:val="20"/>
                <w:lang w:eastAsia="cs-CZ"/>
              </w:rPr>
              <w:t xml:space="preserve"> pokud naplnění definice infrastruktury</w:t>
            </w:r>
          </w:p>
        </w:tc>
        <w:tc>
          <w:tcPr>
            <w:tcW w:w="455" w:type="pct"/>
            <w:tcBorders>
              <w:top w:val="none" w:sz="4" w:space="0" w:color="000000"/>
              <w:left w:val="none" w:sz="4" w:space="0" w:color="000000"/>
              <w:bottom w:val="single" w:sz="4" w:space="0" w:color="auto"/>
              <w:right w:val="single" w:sz="4" w:space="0" w:color="auto"/>
            </w:tcBorders>
            <w:vAlign w:val="center"/>
          </w:tcPr>
          <w:p w14:paraId="3BA0AB5F"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splněno</w:t>
            </w:r>
          </w:p>
        </w:tc>
        <w:tc>
          <w:tcPr>
            <w:tcW w:w="456" w:type="pct"/>
            <w:tcBorders>
              <w:top w:val="none" w:sz="4" w:space="0" w:color="000000"/>
              <w:left w:val="none" w:sz="4" w:space="0" w:color="000000"/>
              <w:bottom w:val="single" w:sz="4" w:space="0" w:color="auto"/>
              <w:right w:val="single" w:sz="4" w:space="0" w:color="auto"/>
            </w:tcBorders>
            <w:vAlign w:val="center"/>
          </w:tcPr>
          <w:p w14:paraId="1DDB1F8D"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tc>
        <w:tc>
          <w:tcPr>
            <w:tcW w:w="461" w:type="pct"/>
            <w:tcBorders>
              <w:top w:val="none" w:sz="4" w:space="0" w:color="000000"/>
              <w:left w:val="none" w:sz="4" w:space="0" w:color="000000"/>
              <w:bottom w:val="single" w:sz="4" w:space="0" w:color="auto"/>
              <w:right w:val="single" w:sz="4" w:space="0" w:color="auto"/>
            </w:tcBorders>
            <w:vAlign w:val="center"/>
          </w:tcPr>
          <w:p w14:paraId="7A5614FF"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tc>
        <w:tc>
          <w:tcPr>
            <w:tcW w:w="429" w:type="pct"/>
            <w:tcBorders>
              <w:top w:val="none" w:sz="4" w:space="0" w:color="000000"/>
              <w:left w:val="none" w:sz="4" w:space="0" w:color="000000"/>
              <w:bottom w:val="single" w:sz="4" w:space="0" w:color="auto"/>
              <w:right w:val="single" w:sz="4" w:space="0" w:color="auto"/>
            </w:tcBorders>
            <w:vAlign w:val="center"/>
          </w:tcPr>
          <w:p w14:paraId="5370845B"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tc>
      </w:tr>
      <w:tr w:rsidR="00602DCA" w14:paraId="6FF9077C" w14:textId="77777777">
        <w:trPr>
          <w:trHeight w:val="20"/>
        </w:trPr>
        <w:tc>
          <w:tcPr>
            <w:tcW w:w="202" w:type="pct"/>
            <w:tcBorders>
              <w:top w:val="none" w:sz="4" w:space="0" w:color="000000"/>
              <w:left w:val="single" w:sz="4" w:space="0" w:color="auto"/>
              <w:bottom w:val="single" w:sz="4" w:space="0" w:color="auto"/>
              <w:right w:val="single" w:sz="4" w:space="0" w:color="auto"/>
            </w:tcBorders>
            <w:vAlign w:val="center"/>
          </w:tcPr>
          <w:p w14:paraId="72330289" w14:textId="77777777" w:rsidR="00602DCA" w:rsidRDefault="00C5530C">
            <w:pPr>
              <w:spacing w:after="0" w:line="240" w:lineRule="auto"/>
              <w:jc w:val="righ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64</w:t>
            </w:r>
          </w:p>
        </w:tc>
        <w:tc>
          <w:tcPr>
            <w:tcW w:w="204" w:type="pct"/>
            <w:tcBorders>
              <w:top w:val="none" w:sz="4" w:space="0" w:color="000000"/>
              <w:left w:val="none" w:sz="4" w:space="0" w:color="000000"/>
              <w:bottom w:val="single" w:sz="4" w:space="0" w:color="auto"/>
              <w:right w:val="single" w:sz="4" w:space="0" w:color="auto"/>
            </w:tcBorders>
            <w:vAlign w:val="center"/>
          </w:tcPr>
          <w:p w14:paraId="29F53755" w14:textId="77777777" w:rsidR="00602DCA" w:rsidRDefault="00C5530C">
            <w:pPr>
              <w:spacing w:after="0" w:line="240" w:lineRule="auto"/>
              <w:jc w:val="righ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w:t>
            </w:r>
          </w:p>
        </w:tc>
        <w:tc>
          <w:tcPr>
            <w:tcW w:w="1165" w:type="pct"/>
            <w:tcBorders>
              <w:top w:val="none" w:sz="4" w:space="0" w:color="000000"/>
              <w:left w:val="none" w:sz="4" w:space="0" w:color="000000"/>
              <w:bottom w:val="single" w:sz="4" w:space="0" w:color="auto"/>
              <w:right w:val="single" w:sz="4" w:space="0" w:color="auto"/>
            </w:tcBorders>
            <w:vAlign w:val="center"/>
          </w:tcPr>
          <w:p w14:paraId="3F589192"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Hospodaření s vodou a ochrana vodních zdrojů (včetně správy povodí, zvláštních opatření pro přizpůsobování se změně klimatu, opětovného využívání a snižování úniků)</w:t>
            </w:r>
          </w:p>
        </w:tc>
        <w:tc>
          <w:tcPr>
            <w:tcW w:w="304" w:type="pct"/>
            <w:tcBorders>
              <w:top w:val="none" w:sz="4" w:space="0" w:color="000000"/>
              <w:left w:val="none" w:sz="4" w:space="0" w:color="000000"/>
              <w:bottom w:val="single" w:sz="4" w:space="0" w:color="auto"/>
              <w:right w:val="single" w:sz="4" w:space="0" w:color="auto"/>
            </w:tcBorders>
            <w:vAlign w:val="center"/>
          </w:tcPr>
          <w:p w14:paraId="43D551C6"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w:t>
            </w:r>
          </w:p>
        </w:tc>
        <w:tc>
          <w:tcPr>
            <w:tcW w:w="259" w:type="pct"/>
            <w:tcBorders>
              <w:top w:val="none" w:sz="4" w:space="0" w:color="000000"/>
              <w:left w:val="none" w:sz="4" w:space="0" w:color="000000"/>
              <w:bottom w:val="single" w:sz="4" w:space="0" w:color="auto"/>
              <w:right w:val="single" w:sz="4" w:space="0" w:color="auto"/>
            </w:tcBorders>
            <w:vAlign w:val="center"/>
          </w:tcPr>
          <w:p w14:paraId="69AEFA8F"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100 %</w:t>
            </w:r>
          </w:p>
        </w:tc>
        <w:tc>
          <w:tcPr>
            <w:tcW w:w="605" w:type="pct"/>
            <w:tcBorders>
              <w:top w:val="none" w:sz="4" w:space="0" w:color="000000"/>
              <w:left w:val="none" w:sz="4" w:space="0" w:color="000000"/>
              <w:bottom w:val="single" w:sz="4" w:space="0" w:color="auto"/>
              <w:right w:val="single" w:sz="4" w:space="0" w:color="auto"/>
            </w:tcBorders>
            <w:vAlign w:val="center"/>
          </w:tcPr>
          <w:p w14:paraId="78CF33C9"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p w14:paraId="40029F2E" w14:textId="77777777" w:rsidR="00602DCA" w:rsidRDefault="00602DCA">
            <w:pPr>
              <w:spacing w:after="0" w:line="240" w:lineRule="auto"/>
              <w:jc w:val="left"/>
              <w:rPr>
                <w:rFonts w:asciiTheme="minorHAnsi" w:eastAsia="Times New Roman" w:hAnsiTheme="minorHAnsi" w:cstheme="minorHAnsi"/>
                <w:color w:val="000000"/>
                <w:sz w:val="16"/>
                <w:szCs w:val="20"/>
                <w:lang w:eastAsia="cs-CZ"/>
              </w:rPr>
            </w:pPr>
          </w:p>
          <w:p w14:paraId="3FA1769C"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proofErr w:type="gramStart"/>
            <w:r>
              <w:rPr>
                <w:rFonts w:asciiTheme="minorHAnsi" w:eastAsia="Times New Roman" w:hAnsiTheme="minorHAnsi" w:cstheme="minorHAnsi"/>
                <w:color w:val="000000"/>
                <w:sz w:val="16"/>
                <w:szCs w:val="20"/>
                <w:lang w:eastAsia="cs-CZ"/>
              </w:rPr>
              <w:t>CP</w:t>
            </w:r>
            <w:proofErr w:type="gramEnd"/>
            <w:r>
              <w:rPr>
                <w:rFonts w:asciiTheme="minorHAnsi" w:eastAsia="Times New Roman" w:hAnsiTheme="minorHAnsi" w:cstheme="minorHAnsi"/>
                <w:color w:val="000000"/>
                <w:sz w:val="16"/>
                <w:szCs w:val="20"/>
                <w:lang w:eastAsia="cs-CZ"/>
              </w:rPr>
              <w:t xml:space="preserve"> pokud naplnění definice infrastruktury</w:t>
            </w:r>
          </w:p>
        </w:tc>
        <w:tc>
          <w:tcPr>
            <w:tcW w:w="460" w:type="pct"/>
            <w:tcBorders>
              <w:top w:val="none" w:sz="4" w:space="0" w:color="000000"/>
              <w:left w:val="none" w:sz="4" w:space="0" w:color="000000"/>
              <w:bottom w:val="single" w:sz="4" w:space="0" w:color="auto"/>
              <w:right w:val="single" w:sz="4" w:space="0" w:color="auto"/>
            </w:tcBorders>
            <w:vAlign w:val="center"/>
          </w:tcPr>
          <w:p w14:paraId="305022C7"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p w14:paraId="0D52F98C" w14:textId="77777777" w:rsidR="00602DCA" w:rsidRDefault="00602DCA">
            <w:pPr>
              <w:spacing w:after="0" w:line="240" w:lineRule="auto"/>
              <w:jc w:val="left"/>
              <w:rPr>
                <w:rFonts w:asciiTheme="minorHAnsi" w:eastAsia="Times New Roman" w:hAnsiTheme="minorHAnsi" w:cstheme="minorHAnsi"/>
                <w:color w:val="000000"/>
                <w:sz w:val="16"/>
                <w:szCs w:val="20"/>
                <w:lang w:eastAsia="cs-CZ"/>
              </w:rPr>
            </w:pPr>
          </w:p>
          <w:p w14:paraId="433C2DC0"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proofErr w:type="gramStart"/>
            <w:r>
              <w:rPr>
                <w:rFonts w:asciiTheme="minorHAnsi" w:eastAsia="Times New Roman" w:hAnsiTheme="minorHAnsi" w:cstheme="minorHAnsi"/>
                <w:color w:val="000000"/>
                <w:sz w:val="16"/>
                <w:szCs w:val="20"/>
                <w:lang w:eastAsia="cs-CZ"/>
              </w:rPr>
              <w:t>CP</w:t>
            </w:r>
            <w:proofErr w:type="gramEnd"/>
            <w:r>
              <w:rPr>
                <w:rFonts w:asciiTheme="minorHAnsi" w:eastAsia="Times New Roman" w:hAnsiTheme="minorHAnsi" w:cstheme="minorHAnsi"/>
                <w:color w:val="000000"/>
                <w:sz w:val="16"/>
                <w:szCs w:val="20"/>
                <w:lang w:eastAsia="cs-CZ"/>
              </w:rPr>
              <w:t xml:space="preserve"> pokud naplnění definice infrastruktury</w:t>
            </w:r>
          </w:p>
        </w:tc>
        <w:tc>
          <w:tcPr>
            <w:tcW w:w="455" w:type="pct"/>
            <w:tcBorders>
              <w:top w:val="none" w:sz="4" w:space="0" w:color="000000"/>
              <w:left w:val="none" w:sz="4" w:space="0" w:color="000000"/>
              <w:bottom w:val="single" w:sz="4" w:space="0" w:color="auto"/>
              <w:right w:val="single" w:sz="4" w:space="0" w:color="auto"/>
            </w:tcBorders>
            <w:vAlign w:val="center"/>
          </w:tcPr>
          <w:p w14:paraId="76B3F9EF"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splněno</w:t>
            </w:r>
          </w:p>
        </w:tc>
        <w:tc>
          <w:tcPr>
            <w:tcW w:w="456" w:type="pct"/>
            <w:tcBorders>
              <w:top w:val="none" w:sz="4" w:space="0" w:color="000000"/>
              <w:left w:val="none" w:sz="4" w:space="0" w:color="000000"/>
              <w:bottom w:val="single" w:sz="4" w:space="0" w:color="auto"/>
              <w:right w:val="single" w:sz="4" w:space="0" w:color="auto"/>
            </w:tcBorders>
            <w:vAlign w:val="center"/>
          </w:tcPr>
          <w:p w14:paraId="71884832"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splněno</w:t>
            </w:r>
          </w:p>
        </w:tc>
        <w:tc>
          <w:tcPr>
            <w:tcW w:w="461" w:type="pct"/>
            <w:tcBorders>
              <w:top w:val="none" w:sz="4" w:space="0" w:color="000000"/>
              <w:left w:val="none" w:sz="4" w:space="0" w:color="000000"/>
              <w:bottom w:val="single" w:sz="4" w:space="0" w:color="auto"/>
              <w:right w:val="single" w:sz="4" w:space="0" w:color="auto"/>
            </w:tcBorders>
            <w:vAlign w:val="center"/>
          </w:tcPr>
          <w:p w14:paraId="1446A878"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splněno</w:t>
            </w:r>
          </w:p>
        </w:tc>
        <w:tc>
          <w:tcPr>
            <w:tcW w:w="429" w:type="pct"/>
            <w:tcBorders>
              <w:top w:val="none" w:sz="4" w:space="0" w:color="000000"/>
              <w:left w:val="none" w:sz="4" w:space="0" w:color="000000"/>
              <w:bottom w:val="single" w:sz="4" w:space="0" w:color="auto"/>
              <w:right w:val="single" w:sz="4" w:space="0" w:color="auto"/>
            </w:tcBorders>
            <w:vAlign w:val="center"/>
          </w:tcPr>
          <w:p w14:paraId="75B9B245"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tc>
      </w:tr>
      <w:tr w:rsidR="00602DCA" w14:paraId="1426A290" w14:textId="77777777">
        <w:trPr>
          <w:trHeight w:val="20"/>
        </w:trPr>
        <w:tc>
          <w:tcPr>
            <w:tcW w:w="202" w:type="pct"/>
            <w:tcBorders>
              <w:top w:val="none" w:sz="4" w:space="0" w:color="000000"/>
              <w:left w:val="single" w:sz="4" w:space="0" w:color="auto"/>
              <w:bottom w:val="single" w:sz="4" w:space="0" w:color="auto"/>
              <w:right w:val="single" w:sz="4" w:space="0" w:color="auto"/>
            </w:tcBorders>
            <w:vAlign w:val="center"/>
          </w:tcPr>
          <w:p w14:paraId="3FA11B28" w14:textId="77777777" w:rsidR="00602DCA" w:rsidRDefault="00C5530C">
            <w:pPr>
              <w:spacing w:after="0" w:line="240" w:lineRule="auto"/>
              <w:jc w:val="righ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65</w:t>
            </w:r>
          </w:p>
        </w:tc>
        <w:tc>
          <w:tcPr>
            <w:tcW w:w="204" w:type="pct"/>
            <w:tcBorders>
              <w:top w:val="none" w:sz="4" w:space="0" w:color="000000"/>
              <w:left w:val="none" w:sz="4" w:space="0" w:color="000000"/>
              <w:bottom w:val="single" w:sz="4" w:space="0" w:color="auto"/>
              <w:right w:val="single" w:sz="4" w:space="0" w:color="auto"/>
            </w:tcBorders>
            <w:vAlign w:val="center"/>
          </w:tcPr>
          <w:p w14:paraId="229B91CB" w14:textId="77777777" w:rsidR="00602DCA" w:rsidRDefault="00C5530C">
            <w:pPr>
              <w:spacing w:after="0" w:line="240" w:lineRule="auto"/>
              <w:jc w:val="righ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41</w:t>
            </w:r>
          </w:p>
        </w:tc>
        <w:tc>
          <w:tcPr>
            <w:tcW w:w="1165" w:type="pct"/>
            <w:tcBorders>
              <w:top w:val="none" w:sz="4" w:space="0" w:color="000000"/>
              <w:left w:val="none" w:sz="4" w:space="0" w:color="000000"/>
              <w:bottom w:val="single" w:sz="4" w:space="0" w:color="auto"/>
              <w:right w:val="single" w:sz="4" w:space="0" w:color="auto"/>
            </w:tcBorders>
            <w:vAlign w:val="center"/>
          </w:tcPr>
          <w:p w14:paraId="4534DE6E"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Odvádění a čištění odpadních vod</w:t>
            </w:r>
          </w:p>
        </w:tc>
        <w:tc>
          <w:tcPr>
            <w:tcW w:w="304" w:type="pct"/>
            <w:tcBorders>
              <w:top w:val="none" w:sz="4" w:space="0" w:color="000000"/>
              <w:left w:val="none" w:sz="4" w:space="0" w:color="000000"/>
              <w:bottom w:val="single" w:sz="4" w:space="0" w:color="auto"/>
              <w:right w:val="single" w:sz="4" w:space="0" w:color="auto"/>
            </w:tcBorders>
            <w:vAlign w:val="center"/>
          </w:tcPr>
          <w:p w14:paraId="1845F8F5"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0 %</w:t>
            </w:r>
          </w:p>
        </w:tc>
        <w:tc>
          <w:tcPr>
            <w:tcW w:w="259" w:type="pct"/>
            <w:tcBorders>
              <w:top w:val="none" w:sz="4" w:space="0" w:color="000000"/>
              <w:left w:val="none" w:sz="4" w:space="0" w:color="000000"/>
              <w:bottom w:val="single" w:sz="4" w:space="0" w:color="auto"/>
              <w:right w:val="single" w:sz="4" w:space="0" w:color="auto"/>
            </w:tcBorders>
            <w:vAlign w:val="center"/>
          </w:tcPr>
          <w:p w14:paraId="4F6C7E0F"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100 %</w:t>
            </w:r>
          </w:p>
        </w:tc>
        <w:tc>
          <w:tcPr>
            <w:tcW w:w="605" w:type="pct"/>
            <w:tcBorders>
              <w:top w:val="none" w:sz="4" w:space="0" w:color="000000"/>
              <w:left w:val="none" w:sz="4" w:space="0" w:color="000000"/>
              <w:bottom w:val="single" w:sz="4" w:space="0" w:color="auto"/>
              <w:right w:val="single" w:sz="4" w:space="0" w:color="auto"/>
            </w:tcBorders>
            <w:vAlign w:val="center"/>
          </w:tcPr>
          <w:p w14:paraId="102CE1FD"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p w14:paraId="24E666E7" w14:textId="77777777" w:rsidR="00602DCA" w:rsidRDefault="00602DCA">
            <w:pPr>
              <w:spacing w:after="0" w:line="240" w:lineRule="auto"/>
              <w:jc w:val="left"/>
              <w:rPr>
                <w:rFonts w:asciiTheme="minorHAnsi" w:eastAsia="Times New Roman" w:hAnsiTheme="minorHAnsi" w:cstheme="minorHAnsi"/>
                <w:color w:val="000000"/>
                <w:sz w:val="16"/>
                <w:szCs w:val="20"/>
                <w:lang w:eastAsia="cs-CZ"/>
              </w:rPr>
            </w:pPr>
          </w:p>
          <w:p w14:paraId="3606640A"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proofErr w:type="gramStart"/>
            <w:r>
              <w:rPr>
                <w:rFonts w:asciiTheme="minorHAnsi" w:eastAsia="Times New Roman" w:hAnsiTheme="minorHAnsi" w:cstheme="minorHAnsi"/>
                <w:color w:val="000000"/>
                <w:sz w:val="16"/>
                <w:szCs w:val="20"/>
                <w:lang w:eastAsia="cs-CZ"/>
              </w:rPr>
              <w:t>CP</w:t>
            </w:r>
            <w:proofErr w:type="gramEnd"/>
            <w:r>
              <w:rPr>
                <w:rFonts w:asciiTheme="minorHAnsi" w:eastAsia="Times New Roman" w:hAnsiTheme="minorHAnsi" w:cstheme="minorHAnsi"/>
                <w:color w:val="000000"/>
                <w:sz w:val="16"/>
                <w:szCs w:val="20"/>
                <w:lang w:eastAsia="cs-CZ"/>
              </w:rPr>
              <w:t xml:space="preserve"> pokud naplnění definice infrastruktury</w:t>
            </w:r>
          </w:p>
        </w:tc>
        <w:tc>
          <w:tcPr>
            <w:tcW w:w="460" w:type="pct"/>
            <w:tcBorders>
              <w:top w:val="none" w:sz="4" w:space="0" w:color="000000"/>
              <w:left w:val="none" w:sz="4" w:space="0" w:color="000000"/>
              <w:bottom w:val="single" w:sz="4" w:space="0" w:color="auto"/>
              <w:right w:val="single" w:sz="4" w:space="0" w:color="auto"/>
            </w:tcBorders>
            <w:vAlign w:val="center"/>
          </w:tcPr>
          <w:p w14:paraId="2E38AF59"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p w14:paraId="4FABA965" w14:textId="77777777" w:rsidR="00602DCA" w:rsidRDefault="00602DCA">
            <w:pPr>
              <w:spacing w:after="0" w:line="240" w:lineRule="auto"/>
              <w:jc w:val="left"/>
              <w:rPr>
                <w:rFonts w:asciiTheme="minorHAnsi" w:eastAsia="Times New Roman" w:hAnsiTheme="minorHAnsi" w:cstheme="minorHAnsi"/>
                <w:color w:val="000000"/>
                <w:sz w:val="16"/>
                <w:szCs w:val="20"/>
                <w:lang w:eastAsia="cs-CZ"/>
              </w:rPr>
            </w:pPr>
          </w:p>
          <w:p w14:paraId="078E6D26"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proofErr w:type="gramStart"/>
            <w:r>
              <w:rPr>
                <w:rFonts w:asciiTheme="minorHAnsi" w:eastAsia="Times New Roman" w:hAnsiTheme="minorHAnsi" w:cstheme="minorHAnsi"/>
                <w:color w:val="000000"/>
                <w:sz w:val="16"/>
                <w:szCs w:val="20"/>
                <w:lang w:eastAsia="cs-CZ"/>
              </w:rPr>
              <w:t>CP</w:t>
            </w:r>
            <w:proofErr w:type="gramEnd"/>
            <w:r>
              <w:rPr>
                <w:rFonts w:asciiTheme="minorHAnsi" w:eastAsia="Times New Roman" w:hAnsiTheme="minorHAnsi" w:cstheme="minorHAnsi"/>
                <w:color w:val="000000"/>
                <w:sz w:val="16"/>
                <w:szCs w:val="20"/>
                <w:lang w:eastAsia="cs-CZ"/>
              </w:rPr>
              <w:t xml:space="preserve"> pokud naplnění definice infrastruktury</w:t>
            </w:r>
          </w:p>
        </w:tc>
        <w:tc>
          <w:tcPr>
            <w:tcW w:w="455" w:type="pct"/>
            <w:tcBorders>
              <w:top w:val="none" w:sz="4" w:space="0" w:color="000000"/>
              <w:left w:val="none" w:sz="4" w:space="0" w:color="000000"/>
              <w:bottom w:val="single" w:sz="4" w:space="0" w:color="auto"/>
              <w:right w:val="single" w:sz="4" w:space="0" w:color="auto"/>
            </w:tcBorders>
            <w:vAlign w:val="center"/>
          </w:tcPr>
          <w:p w14:paraId="7DFDFC07"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splněno</w:t>
            </w:r>
          </w:p>
        </w:tc>
        <w:tc>
          <w:tcPr>
            <w:tcW w:w="456" w:type="pct"/>
            <w:tcBorders>
              <w:top w:val="none" w:sz="4" w:space="0" w:color="000000"/>
              <w:left w:val="none" w:sz="4" w:space="0" w:color="000000"/>
              <w:bottom w:val="single" w:sz="4" w:space="0" w:color="auto"/>
              <w:right w:val="single" w:sz="4" w:space="0" w:color="auto"/>
            </w:tcBorders>
            <w:vAlign w:val="center"/>
          </w:tcPr>
          <w:p w14:paraId="13BAA5B6"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splněno</w:t>
            </w:r>
          </w:p>
        </w:tc>
        <w:tc>
          <w:tcPr>
            <w:tcW w:w="461" w:type="pct"/>
            <w:tcBorders>
              <w:top w:val="none" w:sz="4" w:space="0" w:color="000000"/>
              <w:left w:val="none" w:sz="4" w:space="0" w:color="000000"/>
              <w:bottom w:val="single" w:sz="4" w:space="0" w:color="auto"/>
              <w:right w:val="single" w:sz="4" w:space="0" w:color="auto"/>
            </w:tcBorders>
            <w:vAlign w:val="center"/>
          </w:tcPr>
          <w:p w14:paraId="7A73F2AF"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splněno</w:t>
            </w:r>
          </w:p>
        </w:tc>
        <w:tc>
          <w:tcPr>
            <w:tcW w:w="429" w:type="pct"/>
            <w:tcBorders>
              <w:top w:val="none" w:sz="4" w:space="0" w:color="000000"/>
              <w:left w:val="none" w:sz="4" w:space="0" w:color="000000"/>
              <w:bottom w:val="single" w:sz="4" w:space="0" w:color="auto"/>
              <w:right w:val="single" w:sz="4" w:space="0" w:color="auto"/>
            </w:tcBorders>
            <w:vAlign w:val="center"/>
          </w:tcPr>
          <w:p w14:paraId="4D320CEC"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tc>
      </w:tr>
      <w:tr w:rsidR="00602DCA" w14:paraId="4244FB24" w14:textId="77777777">
        <w:trPr>
          <w:trHeight w:val="20"/>
        </w:trPr>
        <w:tc>
          <w:tcPr>
            <w:tcW w:w="202" w:type="pct"/>
            <w:tcBorders>
              <w:top w:val="none" w:sz="4" w:space="0" w:color="000000"/>
              <w:left w:val="single" w:sz="4" w:space="0" w:color="auto"/>
              <w:bottom w:val="single" w:sz="4" w:space="0" w:color="auto"/>
              <w:right w:val="single" w:sz="4" w:space="0" w:color="auto"/>
            </w:tcBorders>
            <w:vAlign w:val="center"/>
          </w:tcPr>
          <w:p w14:paraId="29372636" w14:textId="77777777" w:rsidR="00602DCA" w:rsidRDefault="00C5530C">
            <w:pPr>
              <w:spacing w:after="0" w:line="240" w:lineRule="auto"/>
              <w:jc w:val="righ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66</w:t>
            </w:r>
          </w:p>
        </w:tc>
        <w:tc>
          <w:tcPr>
            <w:tcW w:w="204" w:type="pct"/>
            <w:tcBorders>
              <w:top w:val="none" w:sz="4" w:space="0" w:color="000000"/>
              <w:left w:val="none" w:sz="4" w:space="0" w:color="000000"/>
              <w:bottom w:val="single" w:sz="4" w:space="0" w:color="auto"/>
              <w:right w:val="single" w:sz="4" w:space="0" w:color="auto"/>
            </w:tcBorders>
            <w:vAlign w:val="center"/>
          </w:tcPr>
          <w:p w14:paraId="43C1AC6D" w14:textId="77777777" w:rsidR="00602DCA" w:rsidRDefault="00C5530C">
            <w:pPr>
              <w:spacing w:after="0" w:line="240" w:lineRule="auto"/>
              <w:rPr>
                <w:rFonts w:asciiTheme="minorHAnsi" w:eastAsia="Times New Roman" w:hAnsiTheme="minorHAnsi" w:cstheme="minorHAnsi"/>
                <w:color w:val="000000"/>
                <w:sz w:val="16"/>
                <w:szCs w:val="20"/>
                <w:lang w:eastAsia="cs-CZ"/>
              </w:rPr>
            </w:pPr>
            <w:proofErr w:type="gramStart"/>
            <w:r>
              <w:rPr>
                <w:rFonts w:asciiTheme="minorHAnsi" w:eastAsia="Times New Roman" w:hAnsiTheme="minorHAnsi" w:cstheme="minorHAnsi"/>
                <w:color w:val="000000"/>
                <w:sz w:val="16"/>
                <w:szCs w:val="20"/>
                <w:lang w:eastAsia="cs-CZ"/>
              </w:rPr>
              <w:t>041a</w:t>
            </w:r>
            <w:proofErr w:type="gramEnd"/>
          </w:p>
        </w:tc>
        <w:tc>
          <w:tcPr>
            <w:tcW w:w="1165" w:type="pct"/>
            <w:tcBorders>
              <w:top w:val="none" w:sz="4" w:space="0" w:color="000000"/>
              <w:left w:val="none" w:sz="4" w:space="0" w:color="000000"/>
              <w:bottom w:val="single" w:sz="4" w:space="0" w:color="auto"/>
              <w:right w:val="single" w:sz="4" w:space="0" w:color="auto"/>
            </w:tcBorders>
            <w:vAlign w:val="center"/>
          </w:tcPr>
          <w:p w14:paraId="78009E05" w14:textId="77777777" w:rsidR="00602DCA" w:rsidRDefault="00602DCA">
            <w:pPr>
              <w:spacing w:after="0" w:line="240" w:lineRule="auto"/>
              <w:rPr>
                <w:rFonts w:asciiTheme="minorHAnsi" w:eastAsia="Times New Roman" w:hAnsiTheme="minorHAnsi" w:cstheme="minorHAnsi"/>
                <w:color w:val="0563C1"/>
                <w:sz w:val="16"/>
                <w:szCs w:val="20"/>
                <w:u w:val="single"/>
                <w:lang w:eastAsia="cs-CZ"/>
              </w:rPr>
            </w:pPr>
            <w:hyperlink r:id="rId172" w:anchor="E0039" w:tooltip="https://eur-lex.europa.eu/legal-content/CS/TXT/?uri=CELEX%3A02021R1060-20210630&amp;qid=1659091609743#E0039" w:history="1">
              <w:r>
                <w:rPr>
                  <w:rFonts w:asciiTheme="minorHAnsi" w:eastAsia="Times New Roman" w:hAnsiTheme="minorHAnsi" w:cstheme="minorHAnsi"/>
                  <w:color w:val="0563C1"/>
                  <w:sz w:val="16"/>
                  <w:szCs w:val="20"/>
                  <w:u w:val="single"/>
                  <w:lang w:eastAsia="cs-CZ"/>
                </w:rPr>
                <w:t>Odvádění a čištění odpadních vod v souladu s kritérii energetické účinnosti (18)</w:t>
              </w:r>
            </w:hyperlink>
          </w:p>
        </w:tc>
        <w:tc>
          <w:tcPr>
            <w:tcW w:w="304" w:type="pct"/>
            <w:tcBorders>
              <w:top w:val="none" w:sz="4" w:space="0" w:color="000000"/>
              <w:left w:val="none" w:sz="4" w:space="0" w:color="000000"/>
              <w:bottom w:val="single" w:sz="4" w:space="0" w:color="auto"/>
              <w:right w:val="single" w:sz="4" w:space="0" w:color="auto"/>
            </w:tcBorders>
            <w:vAlign w:val="center"/>
          </w:tcPr>
          <w:p w14:paraId="4ABB3082"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w:t>
            </w:r>
          </w:p>
        </w:tc>
        <w:tc>
          <w:tcPr>
            <w:tcW w:w="259" w:type="pct"/>
            <w:tcBorders>
              <w:top w:val="none" w:sz="4" w:space="0" w:color="000000"/>
              <w:left w:val="none" w:sz="4" w:space="0" w:color="000000"/>
              <w:bottom w:val="single" w:sz="4" w:space="0" w:color="auto"/>
              <w:right w:val="single" w:sz="4" w:space="0" w:color="auto"/>
            </w:tcBorders>
            <w:vAlign w:val="center"/>
          </w:tcPr>
          <w:p w14:paraId="0A40CD76"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100 %</w:t>
            </w:r>
          </w:p>
        </w:tc>
        <w:tc>
          <w:tcPr>
            <w:tcW w:w="605" w:type="pct"/>
            <w:tcBorders>
              <w:top w:val="none" w:sz="4" w:space="0" w:color="000000"/>
              <w:left w:val="none" w:sz="4" w:space="0" w:color="000000"/>
              <w:bottom w:val="single" w:sz="4" w:space="0" w:color="auto"/>
              <w:right w:val="single" w:sz="4" w:space="0" w:color="auto"/>
            </w:tcBorders>
            <w:vAlign w:val="center"/>
          </w:tcPr>
          <w:p w14:paraId="7316E05C"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p w14:paraId="4FAA27FA" w14:textId="77777777" w:rsidR="00602DCA" w:rsidRDefault="00602DCA">
            <w:pPr>
              <w:spacing w:after="0" w:line="240" w:lineRule="auto"/>
              <w:jc w:val="left"/>
              <w:rPr>
                <w:rFonts w:asciiTheme="minorHAnsi" w:eastAsia="Times New Roman" w:hAnsiTheme="minorHAnsi" w:cstheme="minorHAnsi"/>
                <w:color w:val="000000"/>
                <w:sz w:val="16"/>
                <w:szCs w:val="20"/>
                <w:lang w:eastAsia="cs-CZ"/>
              </w:rPr>
            </w:pPr>
          </w:p>
          <w:p w14:paraId="4DCC73B7"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proofErr w:type="gramStart"/>
            <w:r>
              <w:rPr>
                <w:rFonts w:asciiTheme="minorHAnsi" w:eastAsia="Times New Roman" w:hAnsiTheme="minorHAnsi" w:cstheme="minorHAnsi"/>
                <w:color w:val="000000"/>
                <w:sz w:val="16"/>
                <w:szCs w:val="20"/>
                <w:lang w:eastAsia="cs-CZ"/>
              </w:rPr>
              <w:t>CP</w:t>
            </w:r>
            <w:proofErr w:type="gramEnd"/>
            <w:r>
              <w:rPr>
                <w:rFonts w:asciiTheme="minorHAnsi" w:eastAsia="Times New Roman" w:hAnsiTheme="minorHAnsi" w:cstheme="minorHAnsi"/>
                <w:color w:val="000000"/>
                <w:sz w:val="16"/>
                <w:szCs w:val="20"/>
                <w:lang w:eastAsia="cs-CZ"/>
              </w:rPr>
              <w:t xml:space="preserve"> pokud naplnění definice infrastruktury</w:t>
            </w:r>
          </w:p>
        </w:tc>
        <w:tc>
          <w:tcPr>
            <w:tcW w:w="460" w:type="pct"/>
            <w:tcBorders>
              <w:top w:val="none" w:sz="4" w:space="0" w:color="000000"/>
              <w:left w:val="none" w:sz="4" w:space="0" w:color="000000"/>
              <w:bottom w:val="single" w:sz="4" w:space="0" w:color="auto"/>
              <w:right w:val="single" w:sz="4" w:space="0" w:color="auto"/>
            </w:tcBorders>
            <w:vAlign w:val="center"/>
          </w:tcPr>
          <w:p w14:paraId="378021C7"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p w14:paraId="499C9128" w14:textId="77777777" w:rsidR="00602DCA" w:rsidRDefault="00602DCA">
            <w:pPr>
              <w:spacing w:after="0" w:line="240" w:lineRule="auto"/>
              <w:jc w:val="left"/>
              <w:rPr>
                <w:rFonts w:asciiTheme="minorHAnsi" w:eastAsia="Times New Roman" w:hAnsiTheme="minorHAnsi" w:cstheme="minorHAnsi"/>
                <w:color w:val="000000"/>
                <w:sz w:val="16"/>
                <w:szCs w:val="20"/>
                <w:lang w:eastAsia="cs-CZ"/>
              </w:rPr>
            </w:pPr>
          </w:p>
          <w:p w14:paraId="16797869"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proofErr w:type="gramStart"/>
            <w:r>
              <w:rPr>
                <w:rFonts w:asciiTheme="minorHAnsi" w:eastAsia="Times New Roman" w:hAnsiTheme="minorHAnsi" w:cstheme="minorHAnsi"/>
                <w:color w:val="000000"/>
                <w:sz w:val="16"/>
                <w:szCs w:val="20"/>
                <w:lang w:eastAsia="cs-CZ"/>
              </w:rPr>
              <w:lastRenderedPageBreak/>
              <w:t>CP</w:t>
            </w:r>
            <w:proofErr w:type="gramEnd"/>
            <w:r>
              <w:rPr>
                <w:rFonts w:asciiTheme="minorHAnsi" w:eastAsia="Times New Roman" w:hAnsiTheme="minorHAnsi" w:cstheme="minorHAnsi"/>
                <w:color w:val="000000"/>
                <w:sz w:val="16"/>
                <w:szCs w:val="20"/>
                <w:lang w:eastAsia="cs-CZ"/>
              </w:rPr>
              <w:t xml:space="preserve"> pokud naplnění definice infrastruktury</w:t>
            </w:r>
          </w:p>
        </w:tc>
        <w:tc>
          <w:tcPr>
            <w:tcW w:w="455" w:type="pct"/>
            <w:tcBorders>
              <w:top w:val="none" w:sz="4" w:space="0" w:color="000000"/>
              <w:left w:val="none" w:sz="4" w:space="0" w:color="000000"/>
              <w:bottom w:val="single" w:sz="4" w:space="0" w:color="auto"/>
              <w:right w:val="single" w:sz="4" w:space="0" w:color="auto"/>
            </w:tcBorders>
            <w:vAlign w:val="center"/>
          </w:tcPr>
          <w:p w14:paraId="4D0D158E"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lastRenderedPageBreak/>
              <w:t>DNSH splněno</w:t>
            </w:r>
          </w:p>
        </w:tc>
        <w:tc>
          <w:tcPr>
            <w:tcW w:w="456" w:type="pct"/>
            <w:tcBorders>
              <w:top w:val="none" w:sz="4" w:space="0" w:color="000000"/>
              <w:left w:val="none" w:sz="4" w:space="0" w:color="000000"/>
              <w:bottom w:val="single" w:sz="4" w:space="0" w:color="auto"/>
              <w:right w:val="single" w:sz="4" w:space="0" w:color="auto"/>
            </w:tcBorders>
            <w:vAlign w:val="center"/>
          </w:tcPr>
          <w:p w14:paraId="0A00D862"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splněno</w:t>
            </w:r>
          </w:p>
        </w:tc>
        <w:tc>
          <w:tcPr>
            <w:tcW w:w="461" w:type="pct"/>
            <w:tcBorders>
              <w:top w:val="none" w:sz="4" w:space="0" w:color="000000"/>
              <w:left w:val="none" w:sz="4" w:space="0" w:color="000000"/>
              <w:bottom w:val="single" w:sz="4" w:space="0" w:color="auto"/>
              <w:right w:val="single" w:sz="4" w:space="0" w:color="auto"/>
            </w:tcBorders>
            <w:vAlign w:val="center"/>
          </w:tcPr>
          <w:p w14:paraId="5D79DB60"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splněno</w:t>
            </w:r>
          </w:p>
        </w:tc>
        <w:tc>
          <w:tcPr>
            <w:tcW w:w="429" w:type="pct"/>
            <w:tcBorders>
              <w:top w:val="none" w:sz="4" w:space="0" w:color="000000"/>
              <w:left w:val="none" w:sz="4" w:space="0" w:color="000000"/>
              <w:bottom w:val="single" w:sz="4" w:space="0" w:color="auto"/>
              <w:right w:val="single" w:sz="4" w:space="0" w:color="auto"/>
            </w:tcBorders>
            <w:vAlign w:val="center"/>
          </w:tcPr>
          <w:p w14:paraId="26E1DF6C"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tc>
      </w:tr>
      <w:tr w:rsidR="00602DCA" w14:paraId="197A44F0" w14:textId="77777777">
        <w:trPr>
          <w:trHeight w:val="20"/>
        </w:trPr>
        <w:tc>
          <w:tcPr>
            <w:tcW w:w="202" w:type="pct"/>
            <w:tcBorders>
              <w:top w:val="none" w:sz="4" w:space="0" w:color="000000"/>
              <w:left w:val="single" w:sz="4" w:space="0" w:color="auto"/>
              <w:bottom w:val="single" w:sz="4" w:space="0" w:color="auto"/>
              <w:right w:val="single" w:sz="4" w:space="0" w:color="auto"/>
            </w:tcBorders>
            <w:vAlign w:val="center"/>
          </w:tcPr>
          <w:p w14:paraId="6B6363CD" w14:textId="77777777" w:rsidR="00602DCA" w:rsidRDefault="00C5530C">
            <w:pPr>
              <w:spacing w:after="0" w:line="240" w:lineRule="auto"/>
              <w:jc w:val="righ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67</w:t>
            </w:r>
          </w:p>
        </w:tc>
        <w:tc>
          <w:tcPr>
            <w:tcW w:w="204" w:type="pct"/>
            <w:tcBorders>
              <w:top w:val="none" w:sz="4" w:space="0" w:color="000000"/>
              <w:left w:val="none" w:sz="4" w:space="0" w:color="000000"/>
              <w:bottom w:val="single" w:sz="4" w:space="0" w:color="auto"/>
              <w:right w:val="single" w:sz="4" w:space="0" w:color="auto"/>
            </w:tcBorders>
            <w:vAlign w:val="center"/>
          </w:tcPr>
          <w:p w14:paraId="5EF89380" w14:textId="77777777" w:rsidR="00602DCA" w:rsidRDefault="00C5530C">
            <w:pPr>
              <w:spacing w:after="0" w:line="240" w:lineRule="auto"/>
              <w:jc w:val="righ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42</w:t>
            </w:r>
          </w:p>
        </w:tc>
        <w:tc>
          <w:tcPr>
            <w:tcW w:w="1165" w:type="pct"/>
            <w:tcBorders>
              <w:top w:val="none" w:sz="4" w:space="0" w:color="000000"/>
              <w:left w:val="none" w:sz="4" w:space="0" w:color="000000"/>
              <w:bottom w:val="single" w:sz="4" w:space="0" w:color="auto"/>
              <w:right w:val="single" w:sz="4" w:space="0" w:color="auto"/>
            </w:tcBorders>
            <w:vAlign w:val="center"/>
          </w:tcPr>
          <w:p w14:paraId="013F823A"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Nakládání s odpady v domácnostech: opatření týkající se předcházení vzniku odpadů, jejich minimalizace, třídění, opětovného využití a recyklace</w:t>
            </w:r>
          </w:p>
        </w:tc>
        <w:tc>
          <w:tcPr>
            <w:tcW w:w="304" w:type="pct"/>
            <w:tcBorders>
              <w:top w:val="none" w:sz="4" w:space="0" w:color="000000"/>
              <w:left w:val="none" w:sz="4" w:space="0" w:color="000000"/>
              <w:bottom w:val="single" w:sz="4" w:space="0" w:color="auto"/>
              <w:right w:val="single" w:sz="4" w:space="0" w:color="auto"/>
            </w:tcBorders>
            <w:vAlign w:val="center"/>
          </w:tcPr>
          <w:p w14:paraId="7C738DAF"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w:t>
            </w:r>
          </w:p>
        </w:tc>
        <w:tc>
          <w:tcPr>
            <w:tcW w:w="259" w:type="pct"/>
            <w:tcBorders>
              <w:top w:val="none" w:sz="4" w:space="0" w:color="000000"/>
              <w:left w:val="none" w:sz="4" w:space="0" w:color="000000"/>
              <w:bottom w:val="single" w:sz="4" w:space="0" w:color="auto"/>
              <w:right w:val="single" w:sz="4" w:space="0" w:color="auto"/>
            </w:tcBorders>
            <w:vAlign w:val="center"/>
          </w:tcPr>
          <w:p w14:paraId="780F6FA1"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100 %</w:t>
            </w:r>
          </w:p>
        </w:tc>
        <w:tc>
          <w:tcPr>
            <w:tcW w:w="605" w:type="pct"/>
            <w:tcBorders>
              <w:top w:val="none" w:sz="4" w:space="0" w:color="000000"/>
              <w:left w:val="none" w:sz="4" w:space="0" w:color="000000"/>
              <w:bottom w:val="single" w:sz="4" w:space="0" w:color="auto"/>
              <w:right w:val="single" w:sz="4" w:space="0" w:color="auto"/>
            </w:tcBorders>
            <w:vAlign w:val="center"/>
          </w:tcPr>
          <w:p w14:paraId="033A5F04"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p w14:paraId="715BC2BD" w14:textId="77777777" w:rsidR="00602DCA" w:rsidRDefault="00602DCA">
            <w:pPr>
              <w:spacing w:after="0" w:line="240" w:lineRule="auto"/>
              <w:jc w:val="left"/>
              <w:rPr>
                <w:rFonts w:asciiTheme="minorHAnsi" w:eastAsia="Times New Roman" w:hAnsiTheme="minorHAnsi" w:cstheme="minorHAnsi"/>
                <w:color w:val="000000"/>
                <w:sz w:val="16"/>
                <w:szCs w:val="20"/>
                <w:lang w:eastAsia="cs-CZ"/>
              </w:rPr>
            </w:pPr>
          </w:p>
          <w:p w14:paraId="684AC5E5"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proofErr w:type="gramStart"/>
            <w:r>
              <w:rPr>
                <w:rFonts w:asciiTheme="minorHAnsi" w:eastAsia="Times New Roman" w:hAnsiTheme="minorHAnsi" w:cstheme="minorHAnsi"/>
                <w:color w:val="000000"/>
                <w:sz w:val="16"/>
                <w:szCs w:val="20"/>
                <w:lang w:eastAsia="cs-CZ"/>
              </w:rPr>
              <w:t>CP</w:t>
            </w:r>
            <w:proofErr w:type="gramEnd"/>
            <w:r>
              <w:rPr>
                <w:rFonts w:asciiTheme="minorHAnsi" w:eastAsia="Times New Roman" w:hAnsiTheme="minorHAnsi" w:cstheme="minorHAnsi"/>
                <w:color w:val="000000"/>
                <w:sz w:val="16"/>
                <w:szCs w:val="20"/>
                <w:lang w:eastAsia="cs-CZ"/>
              </w:rPr>
              <w:t xml:space="preserve"> pokud naplnění definice infrastruktury</w:t>
            </w:r>
          </w:p>
        </w:tc>
        <w:tc>
          <w:tcPr>
            <w:tcW w:w="460" w:type="pct"/>
            <w:tcBorders>
              <w:top w:val="none" w:sz="4" w:space="0" w:color="000000"/>
              <w:left w:val="none" w:sz="4" w:space="0" w:color="000000"/>
              <w:bottom w:val="single" w:sz="4" w:space="0" w:color="auto"/>
              <w:right w:val="single" w:sz="4" w:space="0" w:color="auto"/>
            </w:tcBorders>
            <w:vAlign w:val="center"/>
          </w:tcPr>
          <w:p w14:paraId="1796CF11"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p w14:paraId="0F926FBC" w14:textId="77777777" w:rsidR="00602DCA" w:rsidRDefault="00602DCA">
            <w:pPr>
              <w:spacing w:after="0" w:line="240" w:lineRule="auto"/>
              <w:jc w:val="left"/>
              <w:rPr>
                <w:rFonts w:asciiTheme="minorHAnsi" w:eastAsia="Times New Roman" w:hAnsiTheme="minorHAnsi" w:cstheme="minorHAnsi"/>
                <w:color w:val="000000"/>
                <w:sz w:val="16"/>
                <w:szCs w:val="20"/>
                <w:lang w:eastAsia="cs-CZ"/>
              </w:rPr>
            </w:pPr>
          </w:p>
          <w:p w14:paraId="7FD52761"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proofErr w:type="gramStart"/>
            <w:r>
              <w:rPr>
                <w:rFonts w:asciiTheme="minorHAnsi" w:eastAsia="Times New Roman" w:hAnsiTheme="minorHAnsi" w:cstheme="minorHAnsi"/>
                <w:color w:val="000000"/>
                <w:sz w:val="16"/>
                <w:szCs w:val="20"/>
                <w:lang w:eastAsia="cs-CZ"/>
              </w:rPr>
              <w:t>CP</w:t>
            </w:r>
            <w:proofErr w:type="gramEnd"/>
            <w:r>
              <w:rPr>
                <w:rFonts w:asciiTheme="minorHAnsi" w:eastAsia="Times New Roman" w:hAnsiTheme="minorHAnsi" w:cstheme="minorHAnsi"/>
                <w:color w:val="000000"/>
                <w:sz w:val="16"/>
                <w:szCs w:val="20"/>
                <w:lang w:eastAsia="cs-CZ"/>
              </w:rPr>
              <w:t xml:space="preserve"> pokud naplnění definice infrastruktury</w:t>
            </w:r>
          </w:p>
        </w:tc>
        <w:tc>
          <w:tcPr>
            <w:tcW w:w="455" w:type="pct"/>
            <w:tcBorders>
              <w:top w:val="none" w:sz="4" w:space="0" w:color="000000"/>
              <w:left w:val="none" w:sz="4" w:space="0" w:color="000000"/>
              <w:bottom w:val="single" w:sz="4" w:space="0" w:color="auto"/>
              <w:right w:val="single" w:sz="4" w:space="0" w:color="auto"/>
            </w:tcBorders>
            <w:vAlign w:val="center"/>
          </w:tcPr>
          <w:p w14:paraId="2F54BB43"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tc>
        <w:tc>
          <w:tcPr>
            <w:tcW w:w="456" w:type="pct"/>
            <w:tcBorders>
              <w:top w:val="none" w:sz="4" w:space="0" w:color="000000"/>
              <w:left w:val="none" w:sz="4" w:space="0" w:color="000000"/>
              <w:bottom w:val="single" w:sz="4" w:space="0" w:color="auto"/>
              <w:right w:val="single" w:sz="4" w:space="0" w:color="auto"/>
            </w:tcBorders>
            <w:vAlign w:val="center"/>
          </w:tcPr>
          <w:p w14:paraId="60A0B91A"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splněno</w:t>
            </w:r>
          </w:p>
        </w:tc>
        <w:tc>
          <w:tcPr>
            <w:tcW w:w="461" w:type="pct"/>
            <w:tcBorders>
              <w:top w:val="none" w:sz="4" w:space="0" w:color="000000"/>
              <w:left w:val="none" w:sz="4" w:space="0" w:color="000000"/>
              <w:bottom w:val="single" w:sz="4" w:space="0" w:color="auto"/>
              <w:right w:val="single" w:sz="4" w:space="0" w:color="auto"/>
            </w:tcBorders>
            <w:vAlign w:val="center"/>
          </w:tcPr>
          <w:p w14:paraId="10EA0A64"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tc>
        <w:tc>
          <w:tcPr>
            <w:tcW w:w="429" w:type="pct"/>
            <w:tcBorders>
              <w:top w:val="none" w:sz="4" w:space="0" w:color="000000"/>
              <w:left w:val="none" w:sz="4" w:space="0" w:color="000000"/>
              <w:bottom w:val="single" w:sz="4" w:space="0" w:color="auto"/>
              <w:right w:val="single" w:sz="4" w:space="0" w:color="auto"/>
            </w:tcBorders>
            <w:vAlign w:val="center"/>
          </w:tcPr>
          <w:p w14:paraId="7D9D6009"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tc>
      </w:tr>
      <w:tr w:rsidR="00602DCA" w14:paraId="5157E9B7" w14:textId="77777777">
        <w:trPr>
          <w:trHeight w:val="20"/>
        </w:trPr>
        <w:tc>
          <w:tcPr>
            <w:tcW w:w="202" w:type="pct"/>
            <w:tcBorders>
              <w:top w:val="none" w:sz="4" w:space="0" w:color="000000"/>
              <w:left w:val="single" w:sz="4" w:space="0" w:color="auto"/>
              <w:bottom w:val="single" w:sz="4" w:space="0" w:color="auto"/>
              <w:right w:val="single" w:sz="4" w:space="0" w:color="auto"/>
            </w:tcBorders>
            <w:vAlign w:val="center"/>
          </w:tcPr>
          <w:p w14:paraId="02B374D9" w14:textId="77777777" w:rsidR="00602DCA" w:rsidRDefault="00C5530C">
            <w:pPr>
              <w:spacing w:after="0" w:line="240" w:lineRule="auto"/>
              <w:jc w:val="righ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68</w:t>
            </w:r>
          </w:p>
        </w:tc>
        <w:tc>
          <w:tcPr>
            <w:tcW w:w="204" w:type="pct"/>
            <w:tcBorders>
              <w:top w:val="none" w:sz="4" w:space="0" w:color="000000"/>
              <w:left w:val="none" w:sz="4" w:space="0" w:color="000000"/>
              <w:bottom w:val="single" w:sz="4" w:space="0" w:color="auto"/>
              <w:right w:val="single" w:sz="4" w:space="0" w:color="auto"/>
            </w:tcBorders>
            <w:vAlign w:val="center"/>
          </w:tcPr>
          <w:p w14:paraId="39964B26" w14:textId="77777777" w:rsidR="00602DCA" w:rsidRDefault="00C5530C">
            <w:pPr>
              <w:spacing w:after="0" w:line="240" w:lineRule="auto"/>
              <w:rPr>
                <w:rFonts w:asciiTheme="minorHAnsi" w:eastAsia="Times New Roman" w:hAnsiTheme="minorHAnsi" w:cstheme="minorHAnsi"/>
                <w:color w:val="000000"/>
                <w:sz w:val="16"/>
                <w:szCs w:val="20"/>
                <w:lang w:eastAsia="cs-CZ"/>
              </w:rPr>
            </w:pPr>
            <w:proofErr w:type="gramStart"/>
            <w:r>
              <w:rPr>
                <w:rFonts w:asciiTheme="minorHAnsi" w:eastAsia="Times New Roman" w:hAnsiTheme="minorHAnsi" w:cstheme="minorHAnsi"/>
                <w:color w:val="000000"/>
                <w:sz w:val="16"/>
                <w:szCs w:val="20"/>
                <w:lang w:eastAsia="cs-CZ"/>
              </w:rPr>
              <w:t>042a</w:t>
            </w:r>
            <w:proofErr w:type="gramEnd"/>
          </w:p>
        </w:tc>
        <w:tc>
          <w:tcPr>
            <w:tcW w:w="1165" w:type="pct"/>
            <w:tcBorders>
              <w:top w:val="none" w:sz="4" w:space="0" w:color="000000"/>
              <w:left w:val="none" w:sz="4" w:space="0" w:color="000000"/>
              <w:bottom w:val="single" w:sz="4" w:space="0" w:color="auto"/>
              <w:right w:val="single" w:sz="4" w:space="0" w:color="auto"/>
            </w:tcBorders>
            <w:vAlign w:val="center"/>
          </w:tcPr>
          <w:p w14:paraId="55CDD1FD"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Nakládání s odpady v domácnostech: zpracování zbytkového odpadu</w:t>
            </w:r>
          </w:p>
        </w:tc>
        <w:tc>
          <w:tcPr>
            <w:tcW w:w="304" w:type="pct"/>
            <w:tcBorders>
              <w:top w:val="none" w:sz="4" w:space="0" w:color="000000"/>
              <w:left w:val="none" w:sz="4" w:space="0" w:color="000000"/>
              <w:bottom w:val="single" w:sz="4" w:space="0" w:color="auto"/>
              <w:right w:val="single" w:sz="4" w:space="0" w:color="auto"/>
            </w:tcBorders>
            <w:vAlign w:val="center"/>
          </w:tcPr>
          <w:p w14:paraId="53FDB7F1"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0 %</w:t>
            </w:r>
          </w:p>
        </w:tc>
        <w:tc>
          <w:tcPr>
            <w:tcW w:w="259" w:type="pct"/>
            <w:tcBorders>
              <w:top w:val="none" w:sz="4" w:space="0" w:color="000000"/>
              <w:left w:val="none" w:sz="4" w:space="0" w:color="000000"/>
              <w:bottom w:val="single" w:sz="4" w:space="0" w:color="auto"/>
              <w:right w:val="single" w:sz="4" w:space="0" w:color="auto"/>
            </w:tcBorders>
            <w:vAlign w:val="center"/>
          </w:tcPr>
          <w:p w14:paraId="47867B02"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100 %</w:t>
            </w:r>
          </w:p>
        </w:tc>
        <w:tc>
          <w:tcPr>
            <w:tcW w:w="605" w:type="pct"/>
            <w:tcBorders>
              <w:top w:val="none" w:sz="4" w:space="0" w:color="000000"/>
              <w:left w:val="none" w:sz="4" w:space="0" w:color="000000"/>
              <w:bottom w:val="single" w:sz="4" w:space="0" w:color="auto"/>
              <w:right w:val="single" w:sz="4" w:space="0" w:color="auto"/>
            </w:tcBorders>
            <w:vAlign w:val="center"/>
          </w:tcPr>
          <w:p w14:paraId="0D29C922"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p w14:paraId="1715C2D2" w14:textId="77777777" w:rsidR="00602DCA" w:rsidRDefault="00602DCA">
            <w:pPr>
              <w:spacing w:after="0" w:line="240" w:lineRule="auto"/>
              <w:jc w:val="left"/>
              <w:rPr>
                <w:rFonts w:asciiTheme="minorHAnsi" w:eastAsia="Times New Roman" w:hAnsiTheme="minorHAnsi" w:cstheme="minorHAnsi"/>
                <w:color w:val="000000"/>
                <w:sz w:val="16"/>
                <w:szCs w:val="20"/>
                <w:lang w:eastAsia="cs-CZ"/>
              </w:rPr>
            </w:pPr>
          </w:p>
          <w:p w14:paraId="38DF9EDF"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proofErr w:type="gramStart"/>
            <w:r>
              <w:rPr>
                <w:rFonts w:asciiTheme="minorHAnsi" w:eastAsia="Times New Roman" w:hAnsiTheme="minorHAnsi" w:cstheme="minorHAnsi"/>
                <w:color w:val="000000"/>
                <w:sz w:val="16"/>
                <w:szCs w:val="20"/>
                <w:lang w:eastAsia="cs-CZ"/>
              </w:rPr>
              <w:t>CP</w:t>
            </w:r>
            <w:proofErr w:type="gramEnd"/>
            <w:r>
              <w:rPr>
                <w:rFonts w:asciiTheme="minorHAnsi" w:eastAsia="Times New Roman" w:hAnsiTheme="minorHAnsi" w:cstheme="minorHAnsi"/>
                <w:color w:val="000000"/>
                <w:sz w:val="16"/>
                <w:szCs w:val="20"/>
                <w:lang w:eastAsia="cs-CZ"/>
              </w:rPr>
              <w:t xml:space="preserve"> pokud naplnění definice infrastruktury</w:t>
            </w:r>
          </w:p>
        </w:tc>
        <w:tc>
          <w:tcPr>
            <w:tcW w:w="460" w:type="pct"/>
            <w:tcBorders>
              <w:top w:val="none" w:sz="4" w:space="0" w:color="000000"/>
              <w:left w:val="none" w:sz="4" w:space="0" w:color="000000"/>
              <w:bottom w:val="single" w:sz="4" w:space="0" w:color="auto"/>
              <w:right w:val="single" w:sz="4" w:space="0" w:color="auto"/>
            </w:tcBorders>
            <w:vAlign w:val="center"/>
          </w:tcPr>
          <w:p w14:paraId="75DEADC5"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p w14:paraId="7ABD59D2" w14:textId="77777777" w:rsidR="00602DCA" w:rsidRDefault="00602DCA">
            <w:pPr>
              <w:spacing w:after="0" w:line="240" w:lineRule="auto"/>
              <w:jc w:val="left"/>
              <w:rPr>
                <w:rFonts w:asciiTheme="minorHAnsi" w:eastAsia="Times New Roman" w:hAnsiTheme="minorHAnsi" w:cstheme="minorHAnsi"/>
                <w:color w:val="000000"/>
                <w:sz w:val="16"/>
                <w:szCs w:val="20"/>
                <w:lang w:eastAsia="cs-CZ"/>
              </w:rPr>
            </w:pPr>
          </w:p>
          <w:p w14:paraId="4D2BC5D9"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proofErr w:type="gramStart"/>
            <w:r>
              <w:rPr>
                <w:rFonts w:asciiTheme="minorHAnsi" w:eastAsia="Times New Roman" w:hAnsiTheme="minorHAnsi" w:cstheme="minorHAnsi"/>
                <w:color w:val="000000"/>
                <w:sz w:val="16"/>
                <w:szCs w:val="20"/>
                <w:lang w:eastAsia="cs-CZ"/>
              </w:rPr>
              <w:t>CP</w:t>
            </w:r>
            <w:proofErr w:type="gramEnd"/>
            <w:r>
              <w:rPr>
                <w:rFonts w:asciiTheme="minorHAnsi" w:eastAsia="Times New Roman" w:hAnsiTheme="minorHAnsi" w:cstheme="minorHAnsi"/>
                <w:color w:val="000000"/>
                <w:sz w:val="16"/>
                <w:szCs w:val="20"/>
                <w:lang w:eastAsia="cs-CZ"/>
              </w:rPr>
              <w:t xml:space="preserve"> pokud naplnění definice infrastruktury</w:t>
            </w:r>
          </w:p>
        </w:tc>
        <w:tc>
          <w:tcPr>
            <w:tcW w:w="455" w:type="pct"/>
            <w:tcBorders>
              <w:top w:val="none" w:sz="4" w:space="0" w:color="000000"/>
              <w:left w:val="none" w:sz="4" w:space="0" w:color="000000"/>
              <w:bottom w:val="single" w:sz="4" w:space="0" w:color="auto"/>
              <w:right w:val="single" w:sz="4" w:space="0" w:color="auto"/>
            </w:tcBorders>
            <w:vAlign w:val="center"/>
          </w:tcPr>
          <w:p w14:paraId="2351F9B7"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tc>
        <w:tc>
          <w:tcPr>
            <w:tcW w:w="456" w:type="pct"/>
            <w:tcBorders>
              <w:top w:val="none" w:sz="4" w:space="0" w:color="000000"/>
              <w:left w:val="none" w:sz="4" w:space="0" w:color="000000"/>
              <w:bottom w:val="single" w:sz="4" w:space="0" w:color="auto"/>
              <w:right w:val="single" w:sz="4" w:space="0" w:color="auto"/>
            </w:tcBorders>
            <w:vAlign w:val="center"/>
          </w:tcPr>
          <w:p w14:paraId="1AE599D4"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splněno</w:t>
            </w:r>
          </w:p>
        </w:tc>
        <w:tc>
          <w:tcPr>
            <w:tcW w:w="461" w:type="pct"/>
            <w:tcBorders>
              <w:top w:val="none" w:sz="4" w:space="0" w:color="000000"/>
              <w:left w:val="none" w:sz="4" w:space="0" w:color="000000"/>
              <w:bottom w:val="single" w:sz="4" w:space="0" w:color="auto"/>
              <w:right w:val="single" w:sz="4" w:space="0" w:color="auto"/>
            </w:tcBorders>
            <w:vAlign w:val="center"/>
          </w:tcPr>
          <w:p w14:paraId="754B2444"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tc>
        <w:tc>
          <w:tcPr>
            <w:tcW w:w="429" w:type="pct"/>
            <w:tcBorders>
              <w:top w:val="none" w:sz="4" w:space="0" w:color="000000"/>
              <w:left w:val="none" w:sz="4" w:space="0" w:color="000000"/>
              <w:bottom w:val="single" w:sz="4" w:space="0" w:color="auto"/>
              <w:right w:val="single" w:sz="4" w:space="0" w:color="auto"/>
            </w:tcBorders>
            <w:vAlign w:val="center"/>
          </w:tcPr>
          <w:p w14:paraId="5EBB4521"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tc>
      </w:tr>
      <w:tr w:rsidR="00602DCA" w14:paraId="243C6218" w14:textId="77777777">
        <w:trPr>
          <w:trHeight w:val="20"/>
        </w:trPr>
        <w:tc>
          <w:tcPr>
            <w:tcW w:w="202" w:type="pct"/>
            <w:tcBorders>
              <w:top w:val="none" w:sz="4" w:space="0" w:color="000000"/>
              <w:left w:val="single" w:sz="4" w:space="0" w:color="auto"/>
              <w:bottom w:val="single" w:sz="4" w:space="0" w:color="auto"/>
              <w:right w:val="single" w:sz="4" w:space="0" w:color="auto"/>
            </w:tcBorders>
            <w:vAlign w:val="center"/>
          </w:tcPr>
          <w:p w14:paraId="34ADEC72" w14:textId="77777777" w:rsidR="00602DCA" w:rsidRDefault="00C5530C">
            <w:pPr>
              <w:spacing w:after="0" w:line="240" w:lineRule="auto"/>
              <w:jc w:val="righ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69</w:t>
            </w:r>
          </w:p>
        </w:tc>
        <w:tc>
          <w:tcPr>
            <w:tcW w:w="204" w:type="pct"/>
            <w:tcBorders>
              <w:top w:val="none" w:sz="4" w:space="0" w:color="000000"/>
              <w:left w:val="none" w:sz="4" w:space="0" w:color="000000"/>
              <w:bottom w:val="single" w:sz="4" w:space="0" w:color="auto"/>
              <w:right w:val="single" w:sz="4" w:space="0" w:color="auto"/>
            </w:tcBorders>
            <w:vAlign w:val="center"/>
          </w:tcPr>
          <w:p w14:paraId="0F549886" w14:textId="77777777" w:rsidR="00602DCA" w:rsidRDefault="00C5530C">
            <w:pPr>
              <w:spacing w:after="0" w:line="240" w:lineRule="auto"/>
              <w:jc w:val="righ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44</w:t>
            </w:r>
          </w:p>
        </w:tc>
        <w:tc>
          <w:tcPr>
            <w:tcW w:w="1165" w:type="pct"/>
            <w:tcBorders>
              <w:top w:val="none" w:sz="4" w:space="0" w:color="000000"/>
              <w:left w:val="none" w:sz="4" w:space="0" w:color="000000"/>
              <w:bottom w:val="single" w:sz="4" w:space="0" w:color="auto"/>
              <w:right w:val="single" w:sz="4" w:space="0" w:color="auto"/>
            </w:tcBorders>
            <w:vAlign w:val="center"/>
          </w:tcPr>
          <w:p w14:paraId="3B6C0E9E"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Nakládání s živnostenským a průmyslovým odpadem: opatření týkající se předcházení vzniku odpadů, jejich minimalizace, třídění, opětovného využití a recyklace</w:t>
            </w:r>
          </w:p>
        </w:tc>
        <w:tc>
          <w:tcPr>
            <w:tcW w:w="304" w:type="pct"/>
            <w:tcBorders>
              <w:top w:val="none" w:sz="4" w:space="0" w:color="000000"/>
              <w:left w:val="none" w:sz="4" w:space="0" w:color="000000"/>
              <w:bottom w:val="single" w:sz="4" w:space="0" w:color="auto"/>
              <w:right w:val="single" w:sz="4" w:space="0" w:color="auto"/>
            </w:tcBorders>
            <w:vAlign w:val="center"/>
          </w:tcPr>
          <w:p w14:paraId="3B79973E"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w:t>
            </w:r>
          </w:p>
        </w:tc>
        <w:tc>
          <w:tcPr>
            <w:tcW w:w="259" w:type="pct"/>
            <w:tcBorders>
              <w:top w:val="none" w:sz="4" w:space="0" w:color="000000"/>
              <w:left w:val="none" w:sz="4" w:space="0" w:color="000000"/>
              <w:bottom w:val="single" w:sz="4" w:space="0" w:color="auto"/>
              <w:right w:val="single" w:sz="4" w:space="0" w:color="auto"/>
            </w:tcBorders>
            <w:vAlign w:val="center"/>
          </w:tcPr>
          <w:p w14:paraId="42AC092E"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100 %</w:t>
            </w:r>
          </w:p>
        </w:tc>
        <w:tc>
          <w:tcPr>
            <w:tcW w:w="605" w:type="pct"/>
            <w:tcBorders>
              <w:top w:val="none" w:sz="4" w:space="0" w:color="000000"/>
              <w:left w:val="none" w:sz="4" w:space="0" w:color="000000"/>
              <w:bottom w:val="single" w:sz="4" w:space="0" w:color="auto"/>
              <w:right w:val="single" w:sz="4" w:space="0" w:color="auto"/>
            </w:tcBorders>
            <w:vAlign w:val="center"/>
          </w:tcPr>
          <w:p w14:paraId="5CE8F384"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p w14:paraId="6FD2E591" w14:textId="77777777" w:rsidR="00602DCA" w:rsidRDefault="00602DCA">
            <w:pPr>
              <w:spacing w:after="0" w:line="240" w:lineRule="auto"/>
              <w:jc w:val="left"/>
              <w:rPr>
                <w:rFonts w:asciiTheme="minorHAnsi" w:eastAsia="Times New Roman" w:hAnsiTheme="minorHAnsi" w:cstheme="minorHAnsi"/>
                <w:color w:val="000000"/>
                <w:sz w:val="16"/>
                <w:szCs w:val="20"/>
                <w:lang w:eastAsia="cs-CZ"/>
              </w:rPr>
            </w:pPr>
          </w:p>
          <w:p w14:paraId="08BDEAFC"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proofErr w:type="gramStart"/>
            <w:r>
              <w:rPr>
                <w:rFonts w:asciiTheme="minorHAnsi" w:eastAsia="Times New Roman" w:hAnsiTheme="minorHAnsi" w:cstheme="minorHAnsi"/>
                <w:color w:val="000000"/>
                <w:sz w:val="16"/>
                <w:szCs w:val="20"/>
                <w:lang w:eastAsia="cs-CZ"/>
              </w:rPr>
              <w:t>CP</w:t>
            </w:r>
            <w:proofErr w:type="gramEnd"/>
            <w:r>
              <w:rPr>
                <w:rFonts w:asciiTheme="minorHAnsi" w:eastAsia="Times New Roman" w:hAnsiTheme="minorHAnsi" w:cstheme="minorHAnsi"/>
                <w:color w:val="000000"/>
                <w:sz w:val="16"/>
                <w:szCs w:val="20"/>
                <w:lang w:eastAsia="cs-CZ"/>
              </w:rPr>
              <w:t xml:space="preserve"> pokud naplnění definice infrastruktury</w:t>
            </w:r>
          </w:p>
        </w:tc>
        <w:tc>
          <w:tcPr>
            <w:tcW w:w="460" w:type="pct"/>
            <w:tcBorders>
              <w:top w:val="none" w:sz="4" w:space="0" w:color="000000"/>
              <w:left w:val="none" w:sz="4" w:space="0" w:color="000000"/>
              <w:bottom w:val="single" w:sz="4" w:space="0" w:color="auto"/>
              <w:right w:val="single" w:sz="4" w:space="0" w:color="auto"/>
            </w:tcBorders>
            <w:vAlign w:val="center"/>
          </w:tcPr>
          <w:p w14:paraId="78EC6A09"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p w14:paraId="20ACC6B8" w14:textId="77777777" w:rsidR="00602DCA" w:rsidRDefault="00602DCA">
            <w:pPr>
              <w:spacing w:after="0" w:line="240" w:lineRule="auto"/>
              <w:jc w:val="left"/>
              <w:rPr>
                <w:rFonts w:asciiTheme="minorHAnsi" w:eastAsia="Times New Roman" w:hAnsiTheme="minorHAnsi" w:cstheme="minorHAnsi"/>
                <w:color w:val="000000"/>
                <w:sz w:val="16"/>
                <w:szCs w:val="20"/>
                <w:lang w:eastAsia="cs-CZ"/>
              </w:rPr>
            </w:pPr>
          </w:p>
          <w:p w14:paraId="1F50469B"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proofErr w:type="gramStart"/>
            <w:r>
              <w:rPr>
                <w:rFonts w:asciiTheme="minorHAnsi" w:eastAsia="Times New Roman" w:hAnsiTheme="minorHAnsi" w:cstheme="minorHAnsi"/>
                <w:color w:val="000000"/>
                <w:sz w:val="16"/>
                <w:szCs w:val="20"/>
                <w:lang w:eastAsia="cs-CZ"/>
              </w:rPr>
              <w:t>CP</w:t>
            </w:r>
            <w:proofErr w:type="gramEnd"/>
            <w:r>
              <w:rPr>
                <w:rFonts w:asciiTheme="minorHAnsi" w:eastAsia="Times New Roman" w:hAnsiTheme="minorHAnsi" w:cstheme="minorHAnsi"/>
                <w:color w:val="000000"/>
                <w:sz w:val="16"/>
                <w:szCs w:val="20"/>
                <w:lang w:eastAsia="cs-CZ"/>
              </w:rPr>
              <w:t xml:space="preserve"> pokud naplnění definice infrastruktury</w:t>
            </w:r>
          </w:p>
        </w:tc>
        <w:tc>
          <w:tcPr>
            <w:tcW w:w="455" w:type="pct"/>
            <w:tcBorders>
              <w:top w:val="none" w:sz="4" w:space="0" w:color="000000"/>
              <w:left w:val="none" w:sz="4" w:space="0" w:color="000000"/>
              <w:bottom w:val="single" w:sz="4" w:space="0" w:color="auto"/>
              <w:right w:val="single" w:sz="4" w:space="0" w:color="auto"/>
            </w:tcBorders>
            <w:vAlign w:val="center"/>
          </w:tcPr>
          <w:p w14:paraId="65B15FE7"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tc>
        <w:tc>
          <w:tcPr>
            <w:tcW w:w="456" w:type="pct"/>
            <w:tcBorders>
              <w:top w:val="none" w:sz="4" w:space="0" w:color="000000"/>
              <w:left w:val="none" w:sz="4" w:space="0" w:color="000000"/>
              <w:bottom w:val="single" w:sz="4" w:space="0" w:color="auto"/>
              <w:right w:val="single" w:sz="4" w:space="0" w:color="auto"/>
            </w:tcBorders>
            <w:vAlign w:val="center"/>
          </w:tcPr>
          <w:p w14:paraId="60B91894"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splněno</w:t>
            </w:r>
          </w:p>
        </w:tc>
        <w:tc>
          <w:tcPr>
            <w:tcW w:w="461" w:type="pct"/>
            <w:tcBorders>
              <w:top w:val="none" w:sz="4" w:space="0" w:color="000000"/>
              <w:left w:val="none" w:sz="4" w:space="0" w:color="000000"/>
              <w:bottom w:val="single" w:sz="4" w:space="0" w:color="auto"/>
              <w:right w:val="single" w:sz="4" w:space="0" w:color="auto"/>
            </w:tcBorders>
            <w:vAlign w:val="center"/>
          </w:tcPr>
          <w:p w14:paraId="37F0C2AD"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tc>
        <w:tc>
          <w:tcPr>
            <w:tcW w:w="429" w:type="pct"/>
            <w:tcBorders>
              <w:top w:val="none" w:sz="4" w:space="0" w:color="000000"/>
              <w:left w:val="none" w:sz="4" w:space="0" w:color="000000"/>
              <w:bottom w:val="single" w:sz="4" w:space="0" w:color="auto"/>
              <w:right w:val="single" w:sz="4" w:space="0" w:color="auto"/>
            </w:tcBorders>
            <w:vAlign w:val="center"/>
          </w:tcPr>
          <w:p w14:paraId="2A6949AE"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tc>
      </w:tr>
      <w:tr w:rsidR="00602DCA" w14:paraId="3FD61A64" w14:textId="77777777">
        <w:trPr>
          <w:trHeight w:val="20"/>
        </w:trPr>
        <w:tc>
          <w:tcPr>
            <w:tcW w:w="202" w:type="pct"/>
            <w:tcBorders>
              <w:top w:val="none" w:sz="4" w:space="0" w:color="000000"/>
              <w:left w:val="single" w:sz="4" w:space="0" w:color="auto"/>
              <w:bottom w:val="single" w:sz="4" w:space="0" w:color="auto"/>
              <w:right w:val="single" w:sz="4" w:space="0" w:color="auto"/>
            </w:tcBorders>
            <w:vAlign w:val="center"/>
          </w:tcPr>
          <w:p w14:paraId="3B8BE9F1" w14:textId="77777777" w:rsidR="00602DCA" w:rsidRDefault="00C5530C">
            <w:pPr>
              <w:spacing w:after="0" w:line="240" w:lineRule="auto"/>
              <w:jc w:val="righ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70</w:t>
            </w:r>
          </w:p>
        </w:tc>
        <w:tc>
          <w:tcPr>
            <w:tcW w:w="204" w:type="pct"/>
            <w:tcBorders>
              <w:top w:val="none" w:sz="4" w:space="0" w:color="000000"/>
              <w:left w:val="none" w:sz="4" w:space="0" w:color="000000"/>
              <w:bottom w:val="single" w:sz="4" w:space="0" w:color="auto"/>
              <w:right w:val="single" w:sz="4" w:space="0" w:color="auto"/>
            </w:tcBorders>
            <w:vAlign w:val="center"/>
          </w:tcPr>
          <w:p w14:paraId="019A9760" w14:textId="77777777" w:rsidR="00602DCA" w:rsidRDefault="00C5530C">
            <w:pPr>
              <w:spacing w:after="0" w:line="240" w:lineRule="auto"/>
              <w:rPr>
                <w:rFonts w:asciiTheme="minorHAnsi" w:eastAsia="Times New Roman" w:hAnsiTheme="minorHAnsi" w:cstheme="minorHAnsi"/>
                <w:color w:val="000000"/>
                <w:sz w:val="16"/>
                <w:szCs w:val="20"/>
                <w:lang w:eastAsia="cs-CZ"/>
              </w:rPr>
            </w:pPr>
            <w:proofErr w:type="gramStart"/>
            <w:r>
              <w:rPr>
                <w:rFonts w:asciiTheme="minorHAnsi" w:eastAsia="Times New Roman" w:hAnsiTheme="minorHAnsi" w:cstheme="minorHAnsi"/>
                <w:color w:val="000000"/>
                <w:sz w:val="16"/>
                <w:szCs w:val="20"/>
                <w:lang w:eastAsia="cs-CZ"/>
              </w:rPr>
              <w:t>044a</w:t>
            </w:r>
            <w:proofErr w:type="gramEnd"/>
          </w:p>
        </w:tc>
        <w:tc>
          <w:tcPr>
            <w:tcW w:w="1165" w:type="pct"/>
            <w:tcBorders>
              <w:top w:val="none" w:sz="4" w:space="0" w:color="000000"/>
              <w:left w:val="none" w:sz="4" w:space="0" w:color="000000"/>
              <w:bottom w:val="single" w:sz="4" w:space="0" w:color="auto"/>
              <w:right w:val="single" w:sz="4" w:space="0" w:color="auto"/>
            </w:tcBorders>
            <w:vAlign w:val="center"/>
          </w:tcPr>
          <w:p w14:paraId="22ADE2AB"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Nakládání s živnostenským a průmyslovým odpadem: zbytkový a nebezpečný odpad</w:t>
            </w:r>
          </w:p>
        </w:tc>
        <w:tc>
          <w:tcPr>
            <w:tcW w:w="304" w:type="pct"/>
            <w:tcBorders>
              <w:top w:val="none" w:sz="4" w:space="0" w:color="000000"/>
              <w:left w:val="none" w:sz="4" w:space="0" w:color="000000"/>
              <w:bottom w:val="single" w:sz="4" w:space="0" w:color="auto"/>
              <w:right w:val="single" w:sz="4" w:space="0" w:color="auto"/>
            </w:tcBorders>
            <w:vAlign w:val="center"/>
          </w:tcPr>
          <w:p w14:paraId="03DD74B8"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0 %</w:t>
            </w:r>
          </w:p>
        </w:tc>
        <w:tc>
          <w:tcPr>
            <w:tcW w:w="259" w:type="pct"/>
            <w:tcBorders>
              <w:top w:val="none" w:sz="4" w:space="0" w:color="000000"/>
              <w:left w:val="none" w:sz="4" w:space="0" w:color="000000"/>
              <w:bottom w:val="single" w:sz="4" w:space="0" w:color="auto"/>
              <w:right w:val="single" w:sz="4" w:space="0" w:color="auto"/>
            </w:tcBorders>
            <w:vAlign w:val="center"/>
          </w:tcPr>
          <w:p w14:paraId="61D37778"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100 %</w:t>
            </w:r>
          </w:p>
        </w:tc>
        <w:tc>
          <w:tcPr>
            <w:tcW w:w="605" w:type="pct"/>
            <w:tcBorders>
              <w:top w:val="none" w:sz="4" w:space="0" w:color="000000"/>
              <w:left w:val="none" w:sz="4" w:space="0" w:color="000000"/>
              <w:bottom w:val="single" w:sz="4" w:space="0" w:color="auto"/>
              <w:right w:val="single" w:sz="4" w:space="0" w:color="auto"/>
            </w:tcBorders>
            <w:vAlign w:val="center"/>
          </w:tcPr>
          <w:p w14:paraId="089B16C5"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p w14:paraId="40C52908" w14:textId="77777777" w:rsidR="00602DCA" w:rsidRDefault="00602DCA">
            <w:pPr>
              <w:spacing w:after="0" w:line="240" w:lineRule="auto"/>
              <w:jc w:val="left"/>
              <w:rPr>
                <w:rFonts w:asciiTheme="minorHAnsi" w:eastAsia="Times New Roman" w:hAnsiTheme="minorHAnsi" w:cstheme="minorHAnsi"/>
                <w:color w:val="000000"/>
                <w:sz w:val="16"/>
                <w:szCs w:val="20"/>
                <w:lang w:eastAsia="cs-CZ"/>
              </w:rPr>
            </w:pPr>
          </w:p>
          <w:p w14:paraId="66C3EADA"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proofErr w:type="gramStart"/>
            <w:r>
              <w:rPr>
                <w:rFonts w:asciiTheme="minorHAnsi" w:eastAsia="Times New Roman" w:hAnsiTheme="minorHAnsi" w:cstheme="minorHAnsi"/>
                <w:color w:val="000000"/>
                <w:sz w:val="16"/>
                <w:szCs w:val="20"/>
                <w:lang w:eastAsia="cs-CZ"/>
              </w:rPr>
              <w:t>CP</w:t>
            </w:r>
            <w:proofErr w:type="gramEnd"/>
            <w:r>
              <w:rPr>
                <w:rFonts w:asciiTheme="minorHAnsi" w:eastAsia="Times New Roman" w:hAnsiTheme="minorHAnsi" w:cstheme="minorHAnsi"/>
                <w:color w:val="000000"/>
                <w:sz w:val="16"/>
                <w:szCs w:val="20"/>
                <w:lang w:eastAsia="cs-CZ"/>
              </w:rPr>
              <w:t xml:space="preserve"> pokud naplnění definice infrastruktury</w:t>
            </w:r>
          </w:p>
        </w:tc>
        <w:tc>
          <w:tcPr>
            <w:tcW w:w="460" w:type="pct"/>
            <w:tcBorders>
              <w:top w:val="none" w:sz="4" w:space="0" w:color="000000"/>
              <w:left w:val="none" w:sz="4" w:space="0" w:color="000000"/>
              <w:bottom w:val="single" w:sz="4" w:space="0" w:color="auto"/>
              <w:right w:val="single" w:sz="4" w:space="0" w:color="auto"/>
            </w:tcBorders>
            <w:vAlign w:val="center"/>
          </w:tcPr>
          <w:p w14:paraId="051589F6"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p w14:paraId="265A50E6" w14:textId="77777777" w:rsidR="00602DCA" w:rsidRDefault="00602DCA">
            <w:pPr>
              <w:spacing w:after="0" w:line="240" w:lineRule="auto"/>
              <w:jc w:val="left"/>
              <w:rPr>
                <w:rFonts w:asciiTheme="minorHAnsi" w:eastAsia="Times New Roman" w:hAnsiTheme="minorHAnsi" w:cstheme="minorHAnsi"/>
                <w:color w:val="000000"/>
                <w:sz w:val="16"/>
                <w:szCs w:val="20"/>
                <w:lang w:eastAsia="cs-CZ"/>
              </w:rPr>
            </w:pPr>
          </w:p>
          <w:p w14:paraId="71DE59AC"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proofErr w:type="gramStart"/>
            <w:r>
              <w:rPr>
                <w:rFonts w:asciiTheme="minorHAnsi" w:eastAsia="Times New Roman" w:hAnsiTheme="minorHAnsi" w:cstheme="minorHAnsi"/>
                <w:color w:val="000000"/>
                <w:sz w:val="16"/>
                <w:szCs w:val="20"/>
                <w:lang w:eastAsia="cs-CZ"/>
              </w:rPr>
              <w:t>CP</w:t>
            </w:r>
            <w:proofErr w:type="gramEnd"/>
            <w:r>
              <w:rPr>
                <w:rFonts w:asciiTheme="minorHAnsi" w:eastAsia="Times New Roman" w:hAnsiTheme="minorHAnsi" w:cstheme="minorHAnsi"/>
                <w:color w:val="000000"/>
                <w:sz w:val="16"/>
                <w:szCs w:val="20"/>
                <w:lang w:eastAsia="cs-CZ"/>
              </w:rPr>
              <w:t xml:space="preserve"> pokud naplnění definice infrastruktury</w:t>
            </w:r>
          </w:p>
        </w:tc>
        <w:tc>
          <w:tcPr>
            <w:tcW w:w="455" w:type="pct"/>
            <w:tcBorders>
              <w:top w:val="none" w:sz="4" w:space="0" w:color="000000"/>
              <w:left w:val="none" w:sz="4" w:space="0" w:color="000000"/>
              <w:bottom w:val="single" w:sz="4" w:space="0" w:color="auto"/>
              <w:right w:val="single" w:sz="4" w:space="0" w:color="auto"/>
            </w:tcBorders>
            <w:vAlign w:val="center"/>
          </w:tcPr>
          <w:p w14:paraId="7A231EAE"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tc>
        <w:tc>
          <w:tcPr>
            <w:tcW w:w="456" w:type="pct"/>
            <w:tcBorders>
              <w:top w:val="none" w:sz="4" w:space="0" w:color="000000"/>
              <w:left w:val="none" w:sz="4" w:space="0" w:color="000000"/>
              <w:bottom w:val="single" w:sz="4" w:space="0" w:color="auto"/>
              <w:right w:val="single" w:sz="4" w:space="0" w:color="auto"/>
            </w:tcBorders>
            <w:vAlign w:val="center"/>
          </w:tcPr>
          <w:p w14:paraId="305CFB83"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splněno</w:t>
            </w:r>
          </w:p>
        </w:tc>
        <w:tc>
          <w:tcPr>
            <w:tcW w:w="461" w:type="pct"/>
            <w:tcBorders>
              <w:top w:val="none" w:sz="4" w:space="0" w:color="000000"/>
              <w:left w:val="none" w:sz="4" w:space="0" w:color="000000"/>
              <w:bottom w:val="single" w:sz="4" w:space="0" w:color="auto"/>
              <w:right w:val="single" w:sz="4" w:space="0" w:color="auto"/>
            </w:tcBorders>
            <w:vAlign w:val="center"/>
          </w:tcPr>
          <w:p w14:paraId="7A29A5A1"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tc>
        <w:tc>
          <w:tcPr>
            <w:tcW w:w="429" w:type="pct"/>
            <w:tcBorders>
              <w:top w:val="none" w:sz="4" w:space="0" w:color="000000"/>
              <w:left w:val="none" w:sz="4" w:space="0" w:color="000000"/>
              <w:bottom w:val="single" w:sz="4" w:space="0" w:color="auto"/>
              <w:right w:val="single" w:sz="4" w:space="0" w:color="auto"/>
            </w:tcBorders>
            <w:vAlign w:val="center"/>
          </w:tcPr>
          <w:p w14:paraId="2AC417E9"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tc>
      </w:tr>
      <w:tr w:rsidR="00602DCA" w14:paraId="451681E0" w14:textId="77777777">
        <w:trPr>
          <w:trHeight w:val="20"/>
        </w:trPr>
        <w:tc>
          <w:tcPr>
            <w:tcW w:w="202" w:type="pct"/>
            <w:tcBorders>
              <w:top w:val="none" w:sz="4" w:space="0" w:color="000000"/>
              <w:left w:val="single" w:sz="4" w:space="0" w:color="auto"/>
              <w:bottom w:val="single" w:sz="4" w:space="0" w:color="auto"/>
              <w:right w:val="single" w:sz="4" w:space="0" w:color="auto"/>
            </w:tcBorders>
            <w:vAlign w:val="center"/>
          </w:tcPr>
          <w:p w14:paraId="13BF3284" w14:textId="77777777" w:rsidR="00602DCA" w:rsidRDefault="00C5530C">
            <w:pPr>
              <w:spacing w:after="0" w:line="240" w:lineRule="auto"/>
              <w:jc w:val="righ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71</w:t>
            </w:r>
          </w:p>
        </w:tc>
        <w:tc>
          <w:tcPr>
            <w:tcW w:w="204" w:type="pct"/>
            <w:tcBorders>
              <w:top w:val="none" w:sz="4" w:space="0" w:color="000000"/>
              <w:left w:val="none" w:sz="4" w:space="0" w:color="000000"/>
              <w:bottom w:val="single" w:sz="4" w:space="0" w:color="auto"/>
              <w:right w:val="single" w:sz="4" w:space="0" w:color="auto"/>
            </w:tcBorders>
            <w:vAlign w:val="center"/>
          </w:tcPr>
          <w:p w14:paraId="2901B0AB" w14:textId="77777777" w:rsidR="00602DCA" w:rsidRDefault="00C5530C">
            <w:pPr>
              <w:spacing w:after="0" w:line="240" w:lineRule="auto"/>
              <w:jc w:val="righ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45</w:t>
            </w:r>
          </w:p>
        </w:tc>
        <w:tc>
          <w:tcPr>
            <w:tcW w:w="1165" w:type="pct"/>
            <w:tcBorders>
              <w:top w:val="none" w:sz="4" w:space="0" w:color="000000"/>
              <w:left w:val="none" w:sz="4" w:space="0" w:color="000000"/>
              <w:bottom w:val="single" w:sz="4" w:space="0" w:color="auto"/>
              <w:right w:val="single" w:sz="4" w:space="0" w:color="auto"/>
            </w:tcBorders>
            <w:vAlign w:val="center"/>
          </w:tcPr>
          <w:p w14:paraId="40E36B3C"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Podpora použití recyklovaných materiálů jako surovin</w:t>
            </w:r>
          </w:p>
        </w:tc>
        <w:tc>
          <w:tcPr>
            <w:tcW w:w="304" w:type="pct"/>
            <w:tcBorders>
              <w:top w:val="none" w:sz="4" w:space="0" w:color="000000"/>
              <w:left w:val="none" w:sz="4" w:space="0" w:color="000000"/>
              <w:bottom w:val="single" w:sz="4" w:space="0" w:color="auto"/>
              <w:right w:val="single" w:sz="4" w:space="0" w:color="auto"/>
            </w:tcBorders>
            <w:vAlign w:val="center"/>
          </w:tcPr>
          <w:p w14:paraId="6F95B1D7"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0 %</w:t>
            </w:r>
          </w:p>
        </w:tc>
        <w:tc>
          <w:tcPr>
            <w:tcW w:w="259" w:type="pct"/>
            <w:tcBorders>
              <w:top w:val="none" w:sz="4" w:space="0" w:color="000000"/>
              <w:left w:val="none" w:sz="4" w:space="0" w:color="000000"/>
              <w:bottom w:val="single" w:sz="4" w:space="0" w:color="auto"/>
              <w:right w:val="single" w:sz="4" w:space="0" w:color="auto"/>
            </w:tcBorders>
            <w:vAlign w:val="center"/>
          </w:tcPr>
          <w:p w14:paraId="5CD4652A"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100 %</w:t>
            </w:r>
          </w:p>
        </w:tc>
        <w:tc>
          <w:tcPr>
            <w:tcW w:w="605" w:type="pct"/>
            <w:tcBorders>
              <w:top w:val="none" w:sz="4" w:space="0" w:color="000000"/>
              <w:left w:val="none" w:sz="4" w:space="0" w:color="000000"/>
              <w:bottom w:val="single" w:sz="4" w:space="0" w:color="auto"/>
              <w:right w:val="single" w:sz="4" w:space="0" w:color="auto"/>
            </w:tcBorders>
            <w:vAlign w:val="center"/>
          </w:tcPr>
          <w:p w14:paraId="5B39D100"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p w14:paraId="5413D78C" w14:textId="77777777" w:rsidR="00602DCA" w:rsidRDefault="00602DCA">
            <w:pPr>
              <w:spacing w:after="0" w:line="240" w:lineRule="auto"/>
              <w:jc w:val="left"/>
              <w:rPr>
                <w:rFonts w:asciiTheme="minorHAnsi" w:eastAsia="Times New Roman" w:hAnsiTheme="minorHAnsi" w:cstheme="minorHAnsi"/>
                <w:color w:val="000000"/>
                <w:sz w:val="16"/>
                <w:szCs w:val="20"/>
                <w:lang w:eastAsia="cs-CZ"/>
              </w:rPr>
            </w:pPr>
          </w:p>
          <w:p w14:paraId="1840FAF1"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proofErr w:type="gramStart"/>
            <w:r>
              <w:rPr>
                <w:rFonts w:asciiTheme="minorHAnsi" w:eastAsia="Times New Roman" w:hAnsiTheme="minorHAnsi" w:cstheme="minorHAnsi"/>
                <w:color w:val="000000"/>
                <w:sz w:val="16"/>
                <w:szCs w:val="20"/>
                <w:lang w:eastAsia="cs-CZ"/>
              </w:rPr>
              <w:t>CP</w:t>
            </w:r>
            <w:proofErr w:type="gramEnd"/>
            <w:r>
              <w:rPr>
                <w:rFonts w:asciiTheme="minorHAnsi" w:eastAsia="Times New Roman" w:hAnsiTheme="minorHAnsi" w:cstheme="minorHAnsi"/>
                <w:color w:val="000000"/>
                <w:sz w:val="16"/>
                <w:szCs w:val="20"/>
                <w:lang w:eastAsia="cs-CZ"/>
              </w:rPr>
              <w:t xml:space="preserve"> pokud naplnění definice infrastruktury</w:t>
            </w:r>
          </w:p>
        </w:tc>
        <w:tc>
          <w:tcPr>
            <w:tcW w:w="460" w:type="pct"/>
            <w:tcBorders>
              <w:top w:val="none" w:sz="4" w:space="0" w:color="000000"/>
              <w:left w:val="none" w:sz="4" w:space="0" w:color="000000"/>
              <w:bottom w:val="single" w:sz="4" w:space="0" w:color="auto"/>
              <w:right w:val="single" w:sz="4" w:space="0" w:color="auto"/>
            </w:tcBorders>
            <w:vAlign w:val="center"/>
          </w:tcPr>
          <w:p w14:paraId="0FE7A44E"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p w14:paraId="4496F304" w14:textId="77777777" w:rsidR="00602DCA" w:rsidRDefault="00602DCA">
            <w:pPr>
              <w:spacing w:after="0" w:line="240" w:lineRule="auto"/>
              <w:jc w:val="left"/>
              <w:rPr>
                <w:rFonts w:asciiTheme="minorHAnsi" w:eastAsia="Times New Roman" w:hAnsiTheme="minorHAnsi" w:cstheme="minorHAnsi"/>
                <w:color w:val="000000"/>
                <w:sz w:val="16"/>
                <w:szCs w:val="20"/>
                <w:lang w:eastAsia="cs-CZ"/>
              </w:rPr>
            </w:pPr>
          </w:p>
          <w:p w14:paraId="6DF5C082"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proofErr w:type="gramStart"/>
            <w:r>
              <w:rPr>
                <w:rFonts w:asciiTheme="minorHAnsi" w:eastAsia="Times New Roman" w:hAnsiTheme="minorHAnsi" w:cstheme="minorHAnsi"/>
                <w:color w:val="000000"/>
                <w:sz w:val="16"/>
                <w:szCs w:val="20"/>
                <w:lang w:eastAsia="cs-CZ"/>
              </w:rPr>
              <w:t>CP</w:t>
            </w:r>
            <w:proofErr w:type="gramEnd"/>
            <w:r>
              <w:rPr>
                <w:rFonts w:asciiTheme="minorHAnsi" w:eastAsia="Times New Roman" w:hAnsiTheme="minorHAnsi" w:cstheme="minorHAnsi"/>
                <w:color w:val="000000"/>
                <w:sz w:val="16"/>
                <w:szCs w:val="20"/>
                <w:lang w:eastAsia="cs-CZ"/>
              </w:rPr>
              <w:t xml:space="preserve"> pokud naplnění definice infrastruktury</w:t>
            </w:r>
          </w:p>
        </w:tc>
        <w:tc>
          <w:tcPr>
            <w:tcW w:w="455" w:type="pct"/>
            <w:tcBorders>
              <w:top w:val="none" w:sz="4" w:space="0" w:color="000000"/>
              <w:left w:val="none" w:sz="4" w:space="0" w:color="000000"/>
              <w:bottom w:val="single" w:sz="4" w:space="0" w:color="auto"/>
              <w:right w:val="single" w:sz="4" w:space="0" w:color="auto"/>
            </w:tcBorders>
            <w:vAlign w:val="center"/>
          </w:tcPr>
          <w:p w14:paraId="07E73630"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tc>
        <w:tc>
          <w:tcPr>
            <w:tcW w:w="456" w:type="pct"/>
            <w:tcBorders>
              <w:top w:val="none" w:sz="4" w:space="0" w:color="000000"/>
              <w:left w:val="none" w:sz="4" w:space="0" w:color="000000"/>
              <w:bottom w:val="single" w:sz="4" w:space="0" w:color="auto"/>
              <w:right w:val="single" w:sz="4" w:space="0" w:color="auto"/>
            </w:tcBorders>
            <w:vAlign w:val="center"/>
          </w:tcPr>
          <w:p w14:paraId="4C1685C3"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splněno</w:t>
            </w:r>
          </w:p>
        </w:tc>
        <w:tc>
          <w:tcPr>
            <w:tcW w:w="461" w:type="pct"/>
            <w:tcBorders>
              <w:top w:val="none" w:sz="4" w:space="0" w:color="000000"/>
              <w:left w:val="none" w:sz="4" w:space="0" w:color="000000"/>
              <w:bottom w:val="single" w:sz="4" w:space="0" w:color="auto"/>
              <w:right w:val="single" w:sz="4" w:space="0" w:color="auto"/>
            </w:tcBorders>
            <w:vAlign w:val="center"/>
          </w:tcPr>
          <w:p w14:paraId="171657C5"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tc>
        <w:tc>
          <w:tcPr>
            <w:tcW w:w="429" w:type="pct"/>
            <w:tcBorders>
              <w:top w:val="none" w:sz="4" w:space="0" w:color="000000"/>
              <w:left w:val="none" w:sz="4" w:space="0" w:color="000000"/>
              <w:bottom w:val="single" w:sz="4" w:space="0" w:color="auto"/>
              <w:right w:val="single" w:sz="4" w:space="0" w:color="auto"/>
            </w:tcBorders>
            <w:vAlign w:val="center"/>
          </w:tcPr>
          <w:p w14:paraId="4F31D072"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tc>
      </w:tr>
      <w:tr w:rsidR="00602DCA" w14:paraId="0435251C" w14:textId="77777777">
        <w:trPr>
          <w:trHeight w:val="20"/>
        </w:trPr>
        <w:tc>
          <w:tcPr>
            <w:tcW w:w="202" w:type="pct"/>
            <w:tcBorders>
              <w:top w:val="none" w:sz="4" w:space="0" w:color="000000"/>
              <w:left w:val="single" w:sz="4" w:space="0" w:color="auto"/>
              <w:bottom w:val="single" w:sz="4" w:space="0" w:color="auto"/>
              <w:right w:val="single" w:sz="4" w:space="0" w:color="auto"/>
            </w:tcBorders>
            <w:vAlign w:val="center"/>
          </w:tcPr>
          <w:p w14:paraId="0B814DC3" w14:textId="77777777" w:rsidR="00602DCA" w:rsidRDefault="00C5530C">
            <w:pPr>
              <w:spacing w:after="0" w:line="240" w:lineRule="auto"/>
              <w:jc w:val="righ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72</w:t>
            </w:r>
          </w:p>
        </w:tc>
        <w:tc>
          <w:tcPr>
            <w:tcW w:w="204" w:type="pct"/>
            <w:tcBorders>
              <w:top w:val="none" w:sz="4" w:space="0" w:color="000000"/>
              <w:left w:val="none" w:sz="4" w:space="0" w:color="000000"/>
              <w:bottom w:val="single" w:sz="4" w:space="0" w:color="auto"/>
              <w:right w:val="single" w:sz="4" w:space="0" w:color="auto"/>
            </w:tcBorders>
            <w:vAlign w:val="center"/>
          </w:tcPr>
          <w:p w14:paraId="7A90EE14" w14:textId="77777777" w:rsidR="00602DCA" w:rsidRDefault="00C5530C">
            <w:pPr>
              <w:spacing w:after="0" w:line="240" w:lineRule="auto"/>
              <w:rPr>
                <w:rFonts w:asciiTheme="minorHAnsi" w:eastAsia="Times New Roman" w:hAnsiTheme="minorHAnsi" w:cstheme="minorHAnsi"/>
                <w:color w:val="000000"/>
                <w:sz w:val="16"/>
                <w:szCs w:val="20"/>
                <w:lang w:eastAsia="cs-CZ"/>
              </w:rPr>
            </w:pPr>
            <w:proofErr w:type="gramStart"/>
            <w:r>
              <w:rPr>
                <w:rFonts w:asciiTheme="minorHAnsi" w:eastAsia="Times New Roman" w:hAnsiTheme="minorHAnsi" w:cstheme="minorHAnsi"/>
                <w:color w:val="000000"/>
                <w:sz w:val="16"/>
                <w:szCs w:val="20"/>
                <w:lang w:eastAsia="cs-CZ"/>
              </w:rPr>
              <w:t>045a</w:t>
            </w:r>
            <w:proofErr w:type="gramEnd"/>
          </w:p>
        </w:tc>
        <w:tc>
          <w:tcPr>
            <w:tcW w:w="1165" w:type="pct"/>
            <w:tcBorders>
              <w:top w:val="none" w:sz="4" w:space="0" w:color="000000"/>
              <w:left w:val="none" w:sz="4" w:space="0" w:color="000000"/>
              <w:bottom w:val="single" w:sz="4" w:space="0" w:color="auto"/>
              <w:right w:val="single" w:sz="4" w:space="0" w:color="auto"/>
            </w:tcBorders>
            <w:vAlign w:val="center"/>
          </w:tcPr>
          <w:p w14:paraId="250A76F8" w14:textId="77777777" w:rsidR="00602DCA" w:rsidRDefault="00602DCA">
            <w:pPr>
              <w:spacing w:after="0" w:line="240" w:lineRule="auto"/>
              <w:rPr>
                <w:rFonts w:asciiTheme="minorHAnsi" w:eastAsia="Times New Roman" w:hAnsiTheme="minorHAnsi" w:cstheme="minorHAnsi"/>
                <w:color w:val="0563C1"/>
                <w:sz w:val="16"/>
                <w:szCs w:val="20"/>
                <w:u w:val="single"/>
                <w:lang w:eastAsia="cs-CZ"/>
              </w:rPr>
            </w:pPr>
            <w:hyperlink r:id="rId173" w:anchor="E0040" w:tooltip="https://eur-lex.europa.eu/legal-content/CS/TXT/?uri=CELEX%3A02021R1060-20210630&amp;qid=1659091609743#E0040" w:history="1">
              <w:r>
                <w:rPr>
                  <w:rFonts w:asciiTheme="minorHAnsi" w:eastAsia="Times New Roman" w:hAnsiTheme="minorHAnsi" w:cstheme="minorHAnsi"/>
                  <w:color w:val="0563C1"/>
                  <w:sz w:val="16"/>
                  <w:szCs w:val="20"/>
                  <w:u w:val="single"/>
                  <w:lang w:eastAsia="cs-CZ"/>
                </w:rPr>
                <w:t>Podpora použití recyklovaných materiálů jako surovin v souladu s kritérii účinnosti (19)</w:t>
              </w:r>
            </w:hyperlink>
          </w:p>
        </w:tc>
        <w:tc>
          <w:tcPr>
            <w:tcW w:w="304" w:type="pct"/>
            <w:tcBorders>
              <w:top w:val="none" w:sz="4" w:space="0" w:color="000000"/>
              <w:left w:val="none" w:sz="4" w:space="0" w:color="000000"/>
              <w:bottom w:val="single" w:sz="4" w:space="0" w:color="auto"/>
              <w:right w:val="single" w:sz="4" w:space="0" w:color="auto"/>
            </w:tcBorders>
            <w:vAlign w:val="center"/>
          </w:tcPr>
          <w:p w14:paraId="1D82CBC2"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100 %</w:t>
            </w:r>
          </w:p>
        </w:tc>
        <w:tc>
          <w:tcPr>
            <w:tcW w:w="259" w:type="pct"/>
            <w:tcBorders>
              <w:top w:val="none" w:sz="4" w:space="0" w:color="000000"/>
              <w:left w:val="none" w:sz="4" w:space="0" w:color="000000"/>
              <w:bottom w:val="single" w:sz="4" w:space="0" w:color="auto"/>
              <w:right w:val="single" w:sz="4" w:space="0" w:color="auto"/>
            </w:tcBorders>
            <w:vAlign w:val="center"/>
          </w:tcPr>
          <w:p w14:paraId="3DCF85C7"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100 %</w:t>
            </w:r>
          </w:p>
        </w:tc>
        <w:tc>
          <w:tcPr>
            <w:tcW w:w="605" w:type="pct"/>
            <w:tcBorders>
              <w:top w:val="none" w:sz="4" w:space="0" w:color="000000"/>
              <w:left w:val="none" w:sz="4" w:space="0" w:color="000000"/>
              <w:bottom w:val="single" w:sz="4" w:space="0" w:color="auto"/>
              <w:right w:val="single" w:sz="4" w:space="0" w:color="auto"/>
            </w:tcBorders>
            <w:vAlign w:val="center"/>
          </w:tcPr>
          <w:p w14:paraId="5D4BF4E3"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 xml:space="preserve">DNSH splněno </w:t>
            </w:r>
          </w:p>
          <w:p w14:paraId="45FEA140" w14:textId="77777777" w:rsidR="00602DCA" w:rsidRDefault="00602DCA">
            <w:pPr>
              <w:spacing w:after="0" w:line="240" w:lineRule="auto"/>
              <w:jc w:val="left"/>
              <w:rPr>
                <w:rFonts w:asciiTheme="minorHAnsi" w:eastAsia="Times New Roman" w:hAnsiTheme="minorHAnsi" w:cstheme="minorHAnsi"/>
                <w:color w:val="000000"/>
                <w:sz w:val="16"/>
                <w:szCs w:val="20"/>
                <w:lang w:eastAsia="cs-CZ"/>
              </w:rPr>
            </w:pPr>
          </w:p>
          <w:p w14:paraId="547CE698"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proofErr w:type="gramStart"/>
            <w:r>
              <w:rPr>
                <w:rFonts w:asciiTheme="minorHAnsi" w:eastAsia="Times New Roman" w:hAnsiTheme="minorHAnsi" w:cstheme="minorHAnsi"/>
                <w:color w:val="000000"/>
                <w:sz w:val="16"/>
                <w:szCs w:val="20"/>
                <w:lang w:eastAsia="cs-CZ"/>
              </w:rPr>
              <w:t>CP</w:t>
            </w:r>
            <w:proofErr w:type="gramEnd"/>
            <w:r>
              <w:rPr>
                <w:rFonts w:asciiTheme="minorHAnsi" w:eastAsia="Times New Roman" w:hAnsiTheme="minorHAnsi" w:cstheme="minorHAnsi"/>
                <w:color w:val="000000"/>
                <w:sz w:val="16"/>
                <w:szCs w:val="20"/>
                <w:lang w:eastAsia="cs-CZ"/>
              </w:rPr>
              <w:t xml:space="preserve"> pokud naplnění definice infrastruktury</w:t>
            </w:r>
          </w:p>
        </w:tc>
        <w:tc>
          <w:tcPr>
            <w:tcW w:w="460" w:type="pct"/>
            <w:tcBorders>
              <w:top w:val="none" w:sz="4" w:space="0" w:color="000000"/>
              <w:left w:val="none" w:sz="4" w:space="0" w:color="000000"/>
              <w:bottom w:val="single" w:sz="4" w:space="0" w:color="auto"/>
              <w:right w:val="single" w:sz="4" w:space="0" w:color="auto"/>
            </w:tcBorders>
            <w:vAlign w:val="center"/>
          </w:tcPr>
          <w:p w14:paraId="56A746F5"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p w14:paraId="6A5A1ADD" w14:textId="77777777" w:rsidR="00602DCA" w:rsidRDefault="00602DCA">
            <w:pPr>
              <w:spacing w:after="0" w:line="240" w:lineRule="auto"/>
              <w:jc w:val="left"/>
              <w:rPr>
                <w:rFonts w:asciiTheme="minorHAnsi" w:eastAsia="Times New Roman" w:hAnsiTheme="minorHAnsi" w:cstheme="minorHAnsi"/>
                <w:color w:val="000000"/>
                <w:sz w:val="16"/>
                <w:szCs w:val="20"/>
                <w:lang w:eastAsia="cs-CZ"/>
              </w:rPr>
            </w:pPr>
          </w:p>
          <w:p w14:paraId="1DC585C6"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proofErr w:type="gramStart"/>
            <w:r>
              <w:rPr>
                <w:rFonts w:asciiTheme="minorHAnsi" w:eastAsia="Times New Roman" w:hAnsiTheme="minorHAnsi" w:cstheme="minorHAnsi"/>
                <w:color w:val="000000"/>
                <w:sz w:val="16"/>
                <w:szCs w:val="20"/>
                <w:lang w:eastAsia="cs-CZ"/>
              </w:rPr>
              <w:t>CP</w:t>
            </w:r>
            <w:proofErr w:type="gramEnd"/>
            <w:r>
              <w:rPr>
                <w:rFonts w:asciiTheme="minorHAnsi" w:eastAsia="Times New Roman" w:hAnsiTheme="minorHAnsi" w:cstheme="minorHAnsi"/>
                <w:color w:val="000000"/>
                <w:sz w:val="16"/>
                <w:szCs w:val="20"/>
                <w:lang w:eastAsia="cs-CZ"/>
              </w:rPr>
              <w:t xml:space="preserve"> pokud naplnění definice infrastruktury</w:t>
            </w:r>
          </w:p>
        </w:tc>
        <w:tc>
          <w:tcPr>
            <w:tcW w:w="455" w:type="pct"/>
            <w:tcBorders>
              <w:top w:val="none" w:sz="4" w:space="0" w:color="000000"/>
              <w:left w:val="none" w:sz="4" w:space="0" w:color="000000"/>
              <w:bottom w:val="single" w:sz="4" w:space="0" w:color="auto"/>
              <w:right w:val="single" w:sz="4" w:space="0" w:color="auto"/>
            </w:tcBorders>
            <w:vAlign w:val="center"/>
          </w:tcPr>
          <w:p w14:paraId="3DA9CF93"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tc>
        <w:tc>
          <w:tcPr>
            <w:tcW w:w="456" w:type="pct"/>
            <w:tcBorders>
              <w:top w:val="none" w:sz="4" w:space="0" w:color="000000"/>
              <w:left w:val="none" w:sz="4" w:space="0" w:color="000000"/>
              <w:bottom w:val="single" w:sz="4" w:space="0" w:color="auto"/>
              <w:right w:val="single" w:sz="4" w:space="0" w:color="auto"/>
            </w:tcBorders>
            <w:vAlign w:val="center"/>
          </w:tcPr>
          <w:p w14:paraId="368D21A8"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splněno</w:t>
            </w:r>
          </w:p>
        </w:tc>
        <w:tc>
          <w:tcPr>
            <w:tcW w:w="461" w:type="pct"/>
            <w:tcBorders>
              <w:top w:val="none" w:sz="4" w:space="0" w:color="000000"/>
              <w:left w:val="none" w:sz="4" w:space="0" w:color="000000"/>
              <w:bottom w:val="single" w:sz="4" w:space="0" w:color="auto"/>
              <w:right w:val="single" w:sz="4" w:space="0" w:color="auto"/>
            </w:tcBorders>
            <w:vAlign w:val="center"/>
          </w:tcPr>
          <w:p w14:paraId="5F50E90B"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tc>
        <w:tc>
          <w:tcPr>
            <w:tcW w:w="429" w:type="pct"/>
            <w:tcBorders>
              <w:top w:val="none" w:sz="4" w:space="0" w:color="000000"/>
              <w:left w:val="none" w:sz="4" w:space="0" w:color="000000"/>
              <w:bottom w:val="single" w:sz="4" w:space="0" w:color="auto"/>
              <w:right w:val="single" w:sz="4" w:space="0" w:color="auto"/>
            </w:tcBorders>
            <w:vAlign w:val="center"/>
          </w:tcPr>
          <w:p w14:paraId="3E0941FC"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tc>
      </w:tr>
      <w:tr w:rsidR="00602DCA" w14:paraId="59459303" w14:textId="77777777">
        <w:trPr>
          <w:trHeight w:val="20"/>
        </w:trPr>
        <w:tc>
          <w:tcPr>
            <w:tcW w:w="202" w:type="pct"/>
            <w:tcBorders>
              <w:top w:val="none" w:sz="4" w:space="0" w:color="000000"/>
              <w:left w:val="single" w:sz="4" w:space="0" w:color="auto"/>
              <w:bottom w:val="single" w:sz="4" w:space="0" w:color="auto"/>
              <w:right w:val="single" w:sz="4" w:space="0" w:color="auto"/>
            </w:tcBorders>
            <w:vAlign w:val="center"/>
          </w:tcPr>
          <w:p w14:paraId="05DD5E5E" w14:textId="77777777" w:rsidR="00602DCA" w:rsidRDefault="00C5530C">
            <w:pPr>
              <w:spacing w:after="0" w:line="240" w:lineRule="auto"/>
              <w:jc w:val="righ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73</w:t>
            </w:r>
          </w:p>
        </w:tc>
        <w:tc>
          <w:tcPr>
            <w:tcW w:w="204" w:type="pct"/>
            <w:tcBorders>
              <w:top w:val="none" w:sz="4" w:space="0" w:color="000000"/>
              <w:left w:val="none" w:sz="4" w:space="0" w:color="000000"/>
              <w:bottom w:val="single" w:sz="4" w:space="0" w:color="auto"/>
              <w:right w:val="single" w:sz="4" w:space="0" w:color="auto"/>
            </w:tcBorders>
            <w:vAlign w:val="center"/>
          </w:tcPr>
          <w:p w14:paraId="187A02A9" w14:textId="77777777" w:rsidR="00602DCA" w:rsidRDefault="00C5530C">
            <w:pPr>
              <w:spacing w:after="0" w:line="240" w:lineRule="auto"/>
              <w:jc w:val="center"/>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w:t>
            </w:r>
          </w:p>
        </w:tc>
        <w:tc>
          <w:tcPr>
            <w:tcW w:w="1165" w:type="pct"/>
            <w:tcBorders>
              <w:top w:val="none" w:sz="4" w:space="0" w:color="000000"/>
              <w:left w:val="none" w:sz="4" w:space="0" w:color="000000"/>
              <w:bottom w:val="single" w:sz="4" w:space="0" w:color="auto"/>
              <w:right w:val="single" w:sz="4" w:space="0" w:color="auto"/>
            </w:tcBorders>
            <w:vAlign w:val="center"/>
          </w:tcPr>
          <w:p w14:paraId="1BC4BDF3"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Sanace průmyslových objektů a kontaminované půdy</w:t>
            </w:r>
          </w:p>
        </w:tc>
        <w:tc>
          <w:tcPr>
            <w:tcW w:w="304" w:type="pct"/>
            <w:tcBorders>
              <w:top w:val="none" w:sz="4" w:space="0" w:color="000000"/>
              <w:left w:val="none" w:sz="4" w:space="0" w:color="000000"/>
              <w:bottom w:val="single" w:sz="4" w:space="0" w:color="auto"/>
              <w:right w:val="single" w:sz="4" w:space="0" w:color="auto"/>
            </w:tcBorders>
            <w:vAlign w:val="center"/>
          </w:tcPr>
          <w:p w14:paraId="65B7E1BA"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0 %</w:t>
            </w:r>
          </w:p>
        </w:tc>
        <w:tc>
          <w:tcPr>
            <w:tcW w:w="259" w:type="pct"/>
            <w:tcBorders>
              <w:top w:val="none" w:sz="4" w:space="0" w:color="000000"/>
              <w:left w:val="none" w:sz="4" w:space="0" w:color="000000"/>
              <w:bottom w:val="single" w:sz="4" w:space="0" w:color="auto"/>
              <w:right w:val="single" w:sz="4" w:space="0" w:color="auto"/>
            </w:tcBorders>
            <w:vAlign w:val="center"/>
          </w:tcPr>
          <w:p w14:paraId="5A5B7D3A"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100 %</w:t>
            </w:r>
          </w:p>
        </w:tc>
        <w:tc>
          <w:tcPr>
            <w:tcW w:w="605" w:type="pct"/>
            <w:tcBorders>
              <w:top w:val="none" w:sz="4" w:space="0" w:color="000000"/>
              <w:left w:val="none" w:sz="4" w:space="0" w:color="000000"/>
              <w:bottom w:val="single" w:sz="4" w:space="0" w:color="auto"/>
              <w:right w:val="single" w:sz="4" w:space="0" w:color="auto"/>
            </w:tcBorders>
            <w:vAlign w:val="center"/>
          </w:tcPr>
          <w:p w14:paraId="02E0000D"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p w14:paraId="666EAE5D" w14:textId="77777777" w:rsidR="00602DCA" w:rsidRDefault="00602DCA">
            <w:pPr>
              <w:spacing w:after="0" w:line="240" w:lineRule="auto"/>
              <w:jc w:val="left"/>
              <w:rPr>
                <w:rFonts w:asciiTheme="minorHAnsi" w:eastAsia="Times New Roman" w:hAnsiTheme="minorHAnsi" w:cstheme="minorHAnsi"/>
                <w:color w:val="000000"/>
                <w:sz w:val="16"/>
                <w:szCs w:val="20"/>
                <w:lang w:eastAsia="cs-CZ"/>
              </w:rPr>
            </w:pPr>
          </w:p>
          <w:p w14:paraId="3F24161B"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proofErr w:type="gramStart"/>
            <w:r>
              <w:rPr>
                <w:rFonts w:asciiTheme="minorHAnsi" w:eastAsia="Times New Roman" w:hAnsiTheme="minorHAnsi" w:cstheme="minorHAnsi"/>
                <w:color w:val="000000"/>
                <w:sz w:val="16"/>
                <w:szCs w:val="20"/>
                <w:lang w:eastAsia="cs-CZ"/>
              </w:rPr>
              <w:t>CP</w:t>
            </w:r>
            <w:proofErr w:type="gramEnd"/>
            <w:r>
              <w:rPr>
                <w:rFonts w:asciiTheme="minorHAnsi" w:eastAsia="Times New Roman" w:hAnsiTheme="minorHAnsi" w:cstheme="minorHAnsi"/>
                <w:color w:val="000000"/>
                <w:sz w:val="16"/>
                <w:szCs w:val="20"/>
                <w:lang w:eastAsia="cs-CZ"/>
              </w:rPr>
              <w:t xml:space="preserve"> pokud naplnění definice infrastruktury</w:t>
            </w:r>
          </w:p>
        </w:tc>
        <w:tc>
          <w:tcPr>
            <w:tcW w:w="460" w:type="pct"/>
            <w:tcBorders>
              <w:top w:val="none" w:sz="4" w:space="0" w:color="000000"/>
              <w:left w:val="none" w:sz="4" w:space="0" w:color="000000"/>
              <w:bottom w:val="single" w:sz="4" w:space="0" w:color="auto"/>
              <w:right w:val="single" w:sz="4" w:space="0" w:color="auto"/>
            </w:tcBorders>
            <w:vAlign w:val="center"/>
          </w:tcPr>
          <w:p w14:paraId="6670DF00"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p w14:paraId="1327F0FF" w14:textId="77777777" w:rsidR="00602DCA" w:rsidRDefault="00602DCA">
            <w:pPr>
              <w:spacing w:after="0" w:line="240" w:lineRule="auto"/>
              <w:jc w:val="left"/>
              <w:rPr>
                <w:rFonts w:asciiTheme="minorHAnsi" w:eastAsia="Times New Roman" w:hAnsiTheme="minorHAnsi" w:cstheme="minorHAnsi"/>
                <w:color w:val="000000"/>
                <w:sz w:val="16"/>
                <w:szCs w:val="20"/>
                <w:lang w:eastAsia="cs-CZ"/>
              </w:rPr>
            </w:pPr>
          </w:p>
          <w:p w14:paraId="7E5532FC"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proofErr w:type="gramStart"/>
            <w:r>
              <w:rPr>
                <w:rFonts w:asciiTheme="minorHAnsi" w:eastAsia="Times New Roman" w:hAnsiTheme="minorHAnsi" w:cstheme="minorHAnsi"/>
                <w:color w:val="000000"/>
                <w:sz w:val="16"/>
                <w:szCs w:val="20"/>
                <w:lang w:eastAsia="cs-CZ"/>
              </w:rPr>
              <w:t>CP</w:t>
            </w:r>
            <w:proofErr w:type="gramEnd"/>
            <w:r>
              <w:rPr>
                <w:rFonts w:asciiTheme="minorHAnsi" w:eastAsia="Times New Roman" w:hAnsiTheme="minorHAnsi" w:cstheme="minorHAnsi"/>
                <w:color w:val="000000"/>
                <w:sz w:val="16"/>
                <w:szCs w:val="20"/>
                <w:lang w:eastAsia="cs-CZ"/>
              </w:rPr>
              <w:t xml:space="preserve"> pokud naplnění definice infrastruktury</w:t>
            </w:r>
          </w:p>
        </w:tc>
        <w:tc>
          <w:tcPr>
            <w:tcW w:w="455" w:type="pct"/>
            <w:tcBorders>
              <w:top w:val="none" w:sz="4" w:space="0" w:color="000000"/>
              <w:left w:val="none" w:sz="4" w:space="0" w:color="000000"/>
              <w:bottom w:val="single" w:sz="4" w:space="0" w:color="auto"/>
              <w:right w:val="single" w:sz="4" w:space="0" w:color="auto"/>
            </w:tcBorders>
            <w:vAlign w:val="center"/>
          </w:tcPr>
          <w:p w14:paraId="2591F146"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tc>
        <w:tc>
          <w:tcPr>
            <w:tcW w:w="456" w:type="pct"/>
            <w:tcBorders>
              <w:top w:val="none" w:sz="4" w:space="0" w:color="000000"/>
              <w:left w:val="none" w:sz="4" w:space="0" w:color="000000"/>
              <w:bottom w:val="single" w:sz="4" w:space="0" w:color="auto"/>
              <w:right w:val="single" w:sz="4" w:space="0" w:color="auto"/>
            </w:tcBorders>
            <w:vAlign w:val="center"/>
          </w:tcPr>
          <w:p w14:paraId="6AE1CA7E"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tc>
        <w:tc>
          <w:tcPr>
            <w:tcW w:w="461" w:type="pct"/>
            <w:tcBorders>
              <w:top w:val="none" w:sz="4" w:space="0" w:color="000000"/>
              <w:left w:val="none" w:sz="4" w:space="0" w:color="000000"/>
              <w:bottom w:val="single" w:sz="4" w:space="0" w:color="auto"/>
              <w:right w:val="single" w:sz="4" w:space="0" w:color="auto"/>
            </w:tcBorders>
            <w:vAlign w:val="center"/>
          </w:tcPr>
          <w:p w14:paraId="73222939"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splněno</w:t>
            </w:r>
          </w:p>
        </w:tc>
        <w:tc>
          <w:tcPr>
            <w:tcW w:w="429" w:type="pct"/>
            <w:tcBorders>
              <w:top w:val="none" w:sz="4" w:space="0" w:color="000000"/>
              <w:left w:val="none" w:sz="4" w:space="0" w:color="000000"/>
              <w:bottom w:val="single" w:sz="4" w:space="0" w:color="auto"/>
              <w:right w:val="single" w:sz="4" w:space="0" w:color="auto"/>
            </w:tcBorders>
            <w:vAlign w:val="center"/>
          </w:tcPr>
          <w:p w14:paraId="00946DD1"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tc>
      </w:tr>
      <w:tr w:rsidR="00602DCA" w14:paraId="308D2EA3" w14:textId="77777777">
        <w:trPr>
          <w:trHeight w:val="20"/>
        </w:trPr>
        <w:tc>
          <w:tcPr>
            <w:tcW w:w="202" w:type="pct"/>
            <w:tcBorders>
              <w:top w:val="none" w:sz="4" w:space="0" w:color="000000"/>
              <w:left w:val="single" w:sz="4" w:space="0" w:color="auto"/>
              <w:bottom w:val="single" w:sz="4" w:space="0" w:color="auto"/>
              <w:right w:val="single" w:sz="4" w:space="0" w:color="auto"/>
            </w:tcBorders>
            <w:vAlign w:val="center"/>
          </w:tcPr>
          <w:p w14:paraId="5D25BABF" w14:textId="77777777" w:rsidR="00602DCA" w:rsidRDefault="00C5530C">
            <w:pPr>
              <w:spacing w:after="0" w:line="240" w:lineRule="auto"/>
              <w:jc w:val="righ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lastRenderedPageBreak/>
              <w:t>74</w:t>
            </w:r>
          </w:p>
        </w:tc>
        <w:tc>
          <w:tcPr>
            <w:tcW w:w="204" w:type="pct"/>
            <w:tcBorders>
              <w:top w:val="none" w:sz="4" w:space="0" w:color="000000"/>
              <w:left w:val="none" w:sz="4" w:space="0" w:color="000000"/>
              <w:bottom w:val="single" w:sz="4" w:space="0" w:color="auto"/>
              <w:right w:val="single" w:sz="4" w:space="0" w:color="auto"/>
            </w:tcBorders>
            <w:vAlign w:val="center"/>
          </w:tcPr>
          <w:p w14:paraId="0B7A22D5" w14:textId="77777777" w:rsidR="00602DCA" w:rsidRDefault="00C5530C">
            <w:pPr>
              <w:spacing w:after="0" w:line="240" w:lineRule="auto"/>
              <w:rPr>
                <w:rFonts w:asciiTheme="minorHAnsi" w:eastAsia="Times New Roman" w:hAnsiTheme="minorHAnsi" w:cstheme="minorHAnsi"/>
                <w:color w:val="000000"/>
                <w:sz w:val="16"/>
                <w:szCs w:val="20"/>
                <w:lang w:eastAsia="cs-CZ"/>
              </w:rPr>
            </w:pPr>
            <w:proofErr w:type="gramStart"/>
            <w:r>
              <w:rPr>
                <w:rFonts w:asciiTheme="minorHAnsi" w:eastAsia="Times New Roman" w:hAnsiTheme="minorHAnsi" w:cstheme="minorHAnsi"/>
                <w:color w:val="000000"/>
                <w:sz w:val="16"/>
                <w:szCs w:val="20"/>
                <w:lang w:eastAsia="cs-CZ"/>
              </w:rPr>
              <w:t>046a</w:t>
            </w:r>
            <w:proofErr w:type="gramEnd"/>
          </w:p>
        </w:tc>
        <w:tc>
          <w:tcPr>
            <w:tcW w:w="1165" w:type="pct"/>
            <w:tcBorders>
              <w:top w:val="none" w:sz="4" w:space="0" w:color="000000"/>
              <w:left w:val="none" w:sz="4" w:space="0" w:color="000000"/>
              <w:bottom w:val="single" w:sz="4" w:space="0" w:color="auto"/>
              <w:right w:val="single" w:sz="4" w:space="0" w:color="auto"/>
            </w:tcBorders>
            <w:vAlign w:val="center"/>
          </w:tcPr>
          <w:p w14:paraId="6796F901" w14:textId="77777777" w:rsidR="00602DCA" w:rsidRDefault="00602DCA">
            <w:pPr>
              <w:spacing w:after="0" w:line="240" w:lineRule="auto"/>
              <w:rPr>
                <w:rFonts w:asciiTheme="minorHAnsi" w:eastAsia="Times New Roman" w:hAnsiTheme="minorHAnsi" w:cstheme="minorHAnsi"/>
                <w:color w:val="0563C1"/>
                <w:sz w:val="16"/>
                <w:szCs w:val="20"/>
                <w:u w:val="single"/>
                <w:lang w:eastAsia="cs-CZ"/>
              </w:rPr>
            </w:pPr>
            <w:hyperlink r:id="rId174" w:anchor="E0041" w:tooltip="https://eur-lex.europa.eu/legal-content/CS/TXT/?uri=CELEX%3A02021R1060-20210630&amp;qid=1659091609743#E0041" w:history="1">
              <w:r>
                <w:rPr>
                  <w:rFonts w:asciiTheme="minorHAnsi" w:eastAsia="Times New Roman" w:hAnsiTheme="minorHAnsi" w:cstheme="minorHAnsi"/>
                  <w:color w:val="0563C1"/>
                  <w:sz w:val="16"/>
                  <w:szCs w:val="20"/>
                  <w:u w:val="single"/>
                  <w:lang w:eastAsia="cs-CZ"/>
                </w:rPr>
                <w:t>Rekultivace průmyslových zón a kontaminovaných lokalit v souladu s kritérii účinnosti (20)</w:t>
              </w:r>
            </w:hyperlink>
          </w:p>
        </w:tc>
        <w:tc>
          <w:tcPr>
            <w:tcW w:w="304" w:type="pct"/>
            <w:tcBorders>
              <w:top w:val="none" w:sz="4" w:space="0" w:color="000000"/>
              <w:left w:val="none" w:sz="4" w:space="0" w:color="000000"/>
              <w:bottom w:val="single" w:sz="4" w:space="0" w:color="auto"/>
              <w:right w:val="single" w:sz="4" w:space="0" w:color="auto"/>
            </w:tcBorders>
            <w:vAlign w:val="center"/>
          </w:tcPr>
          <w:p w14:paraId="25DB7AF9"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w:t>
            </w:r>
          </w:p>
        </w:tc>
        <w:tc>
          <w:tcPr>
            <w:tcW w:w="259" w:type="pct"/>
            <w:tcBorders>
              <w:top w:val="none" w:sz="4" w:space="0" w:color="000000"/>
              <w:left w:val="none" w:sz="4" w:space="0" w:color="000000"/>
              <w:bottom w:val="single" w:sz="4" w:space="0" w:color="auto"/>
              <w:right w:val="single" w:sz="4" w:space="0" w:color="auto"/>
            </w:tcBorders>
            <w:vAlign w:val="center"/>
          </w:tcPr>
          <w:p w14:paraId="7009739A"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100 %</w:t>
            </w:r>
          </w:p>
        </w:tc>
        <w:tc>
          <w:tcPr>
            <w:tcW w:w="605" w:type="pct"/>
            <w:tcBorders>
              <w:top w:val="none" w:sz="4" w:space="0" w:color="000000"/>
              <w:left w:val="none" w:sz="4" w:space="0" w:color="000000"/>
              <w:bottom w:val="single" w:sz="4" w:space="0" w:color="auto"/>
              <w:right w:val="single" w:sz="4" w:space="0" w:color="auto"/>
            </w:tcBorders>
            <w:vAlign w:val="center"/>
          </w:tcPr>
          <w:p w14:paraId="35A4D049"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p w14:paraId="0ED74562" w14:textId="77777777" w:rsidR="00602DCA" w:rsidRDefault="00602DCA">
            <w:pPr>
              <w:spacing w:after="0" w:line="240" w:lineRule="auto"/>
              <w:jc w:val="left"/>
              <w:rPr>
                <w:rFonts w:asciiTheme="minorHAnsi" w:eastAsia="Times New Roman" w:hAnsiTheme="minorHAnsi" w:cstheme="minorHAnsi"/>
                <w:color w:val="000000"/>
                <w:sz w:val="16"/>
                <w:szCs w:val="20"/>
                <w:lang w:eastAsia="cs-CZ"/>
              </w:rPr>
            </w:pPr>
          </w:p>
          <w:p w14:paraId="738D714D"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proofErr w:type="gramStart"/>
            <w:r>
              <w:rPr>
                <w:rFonts w:asciiTheme="minorHAnsi" w:eastAsia="Times New Roman" w:hAnsiTheme="minorHAnsi" w:cstheme="minorHAnsi"/>
                <w:color w:val="000000"/>
                <w:sz w:val="16"/>
                <w:szCs w:val="20"/>
                <w:lang w:eastAsia="cs-CZ"/>
              </w:rPr>
              <w:t>CP</w:t>
            </w:r>
            <w:proofErr w:type="gramEnd"/>
            <w:r>
              <w:rPr>
                <w:rFonts w:asciiTheme="minorHAnsi" w:eastAsia="Times New Roman" w:hAnsiTheme="minorHAnsi" w:cstheme="minorHAnsi"/>
                <w:color w:val="000000"/>
                <w:sz w:val="16"/>
                <w:szCs w:val="20"/>
                <w:lang w:eastAsia="cs-CZ"/>
              </w:rPr>
              <w:t xml:space="preserve"> pokud naplnění definice infrastruktury</w:t>
            </w:r>
          </w:p>
        </w:tc>
        <w:tc>
          <w:tcPr>
            <w:tcW w:w="460" w:type="pct"/>
            <w:tcBorders>
              <w:top w:val="none" w:sz="4" w:space="0" w:color="000000"/>
              <w:left w:val="none" w:sz="4" w:space="0" w:color="000000"/>
              <w:bottom w:val="single" w:sz="4" w:space="0" w:color="auto"/>
              <w:right w:val="single" w:sz="4" w:space="0" w:color="auto"/>
            </w:tcBorders>
            <w:vAlign w:val="center"/>
          </w:tcPr>
          <w:p w14:paraId="144099BA"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p w14:paraId="0D5626B3" w14:textId="77777777" w:rsidR="00602DCA" w:rsidRDefault="00602DCA">
            <w:pPr>
              <w:spacing w:after="0" w:line="240" w:lineRule="auto"/>
              <w:jc w:val="left"/>
              <w:rPr>
                <w:rFonts w:asciiTheme="minorHAnsi" w:eastAsia="Times New Roman" w:hAnsiTheme="minorHAnsi" w:cstheme="minorHAnsi"/>
                <w:color w:val="000000"/>
                <w:sz w:val="16"/>
                <w:szCs w:val="20"/>
                <w:lang w:eastAsia="cs-CZ"/>
              </w:rPr>
            </w:pPr>
          </w:p>
          <w:p w14:paraId="3D17685C"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proofErr w:type="gramStart"/>
            <w:r>
              <w:rPr>
                <w:rFonts w:asciiTheme="minorHAnsi" w:eastAsia="Times New Roman" w:hAnsiTheme="minorHAnsi" w:cstheme="minorHAnsi"/>
                <w:color w:val="000000"/>
                <w:sz w:val="16"/>
                <w:szCs w:val="20"/>
                <w:lang w:eastAsia="cs-CZ"/>
              </w:rPr>
              <w:t>CP</w:t>
            </w:r>
            <w:proofErr w:type="gramEnd"/>
            <w:r>
              <w:rPr>
                <w:rFonts w:asciiTheme="minorHAnsi" w:eastAsia="Times New Roman" w:hAnsiTheme="minorHAnsi" w:cstheme="minorHAnsi"/>
                <w:color w:val="000000"/>
                <w:sz w:val="16"/>
                <w:szCs w:val="20"/>
                <w:lang w:eastAsia="cs-CZ"/>
              </w:rPr>
              <w:t xml:space="preserve"> pokud naplnění definice infrastruktury</w:t>
            </w:r>
          </w:p>
        </w:tc>
        <w:tc>
          <w:tcPr>
            <w:tcW w:w="455" w:type="pct"/>
            <w:tcBorders>
              <w:top w:val="none" w:sz="4" w:space="0" w:color="000000"/>
              <w:left w:val="none" w:sz="4" w:space="0" w:color="000000"/>
              <w:bottom w:val="single" w:sz="4" w:space="0" w:color="auto"/>
              <w:right w:val="single" w:sz="4" w:space="0" w:color="auto"/>
            </w:tcBorders>
            <w:vAlign w:val="center"/>
          </w:tcPr>
          <w:p w14:paraId="460B6844"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tc>
        <w:tc>
          <w:tcPr>
            <w:tcW w:w="456" w:type="pct"/>
            <w:tcBorders>
              <w:top w:val="none" w:sz="4" w:space="0" w:color="000000"/>
              <w:left w:val="none" w:sz="4" w:space="0" w:color="000000"/>
              <w:bottom w:val="single" w:sz="4" w:space="0" w:color="auto"/>
              <w:right w:val="single" w:sz="4" w:space="0" w:color="auto"/>
            </w:tcBorders>
            <w:vAlign w:val="center"/>
          </w:tcPr>
          <w:p w14:paraId="3EABC02F"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tc>
        <w:tc>
          <w:tcPr>
            <w:tcW w:w="461" w:type="pct"/>
            <w:tcBorders>
              <w:top w:val="none" w:sz="4" w:space="0" w:color="000000"/>
              <w:left w:val="none" w:sz="4" w:space="0" w:color="000000"/>
              <w:bottom w:val="single" w:sz="4" w:space="0" w:color="auto"/>
              <w:right w:val="single" w:sz="4" w:space="0" w:color="auto"/>
            </w:tcBorders>
            <w:vAlign w:val="center"/>
          </w:tcPr>
          <w:p w14:paraId="5DF8AFDA"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splněno</w:t>
            </w:r>
          </w:p>
        </w:tc>
        <w:tc>
          <w:tcPr>
            <w:tcW w:w="429" w:type="pct"/>
            <w:tcBorders>
              <w:top w:val="none" w:sz="4" w:space="0" w:color="000000"/>
              <w:left w:val="none" w:sz="4" w:space="0" w:color="000000"/>
              <w:bottom w:val="single" w:sz="4" w:space="0" w:color="auto"/>
              <w:right w:val="single" w:sz="4" w:space="0" w:color="auto"/>
            </w:tcBorders>
            <w:vAlign w:val="center"/>
          </w:tcPr>
          <w:p w14:paraId="287F23CD"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tc>
      </w:tr>
      <w:tr w:rsidR="00602DCA" w14:paraId="7A909D85" w14:textId="77777777">
        <w:trPr>
          <w:trHeight w:val="20"/>
        </w:trPr>
        <w:tc>
          <w:tcPr>
            <w:tcW w:w="202" w:type="pct"/>
            <w:tcBorders>
              <w:top w:val="none" w:sz="4" w:space="0" w:color="000000"/>
              <w:left w:val="single" w:sz="4" w:space="0" w:color="auto"/>
              <w:bottom w:val="single" w:sz="4" w:space="0" w:color="auto"/>
              <w:right w:val="single" w:sz="4" w:space="0" w:color="auto"/>
            </w:tcBorders>
            <w:vAlign w:val="center"/>
          </w:tcPr>
          <w:p w14:paraId="334301C7" w14:textId="77777777" w:rsidR="00602DCA" w:rsidRDefault="00C5530C">
            <w:pPr>
              <w:spacing w:after="0" w:line="240" w:lineRule="auto"/>
              <w:jc w:val="righ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75</w:t>
            </w:r>
          </w:p>
        </w:tc>
        <w:tc>
          <w:tcPr>
            <w:tcW w:w="204" w:type="pct"/>
            <w:tcBorders>
              <w:top w:val="none" w:sz="4" w:space="0" w:color="000000"/>
              <w:left w:val="none" w:sz="4" w:space="0" w:color="000000"/>
              <w:bottom w:val="single" w:sz="4" w:space="0" w:color="auto"/>
              <w:right w:val="single" w:sz="4" w:space="0" w:color="auto"/>
            </w:tcBorders>
            <w:vAlign w:val="center"/>
          </w:tcPr>
          <w:p w14:paraId="2CA7EB9D" w14:textId="77777777" w:rsidR="00602DCA" w:rsidRDefault="00C5530C">
            <w:pPr>
              <w:spacing w:after="0" w:line="240" w:lineRule="auto"/>
              <w:jc w:val="righ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47</w:t>
            </w:r>
          </w:p>
        </w:tc>
        <w:tc>
          <w:tcPr>
            <w:tcW w:w="1165" w:type="pct"/>
            <w:tcBorders>
              <w:top w:val="none" w:sz="4" w:space="0" w:color="000000"/>
              <w:left w:val="none" w:sz="4" w:space="0" w:color="000000"/>
              <w:bottom w:val="single" w:sz="4" w:space="0" w:color="auto"/>
              <w:right w:val="single" w:sz="4" w:space="0" w:color="auto"/>
            </w:tcBorders>
            <w:vAlign w:val="center"/>
          </w:tcPr>
          <w:p w14:paraId="4106A1FA"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Podpora výrobních procesů šetrných k životnímu prostředí a účinné využívání zdrojů v malých a středních podnicích</w:t>
            </w:r>
          </w:p>
        </w:tc>
        <w:tc>
          <w:tcPr>
            <w:tcW w:w="304" w:type="pct"/>
            <w:tcBorders>
              <w:top w:val="none" w:sz="4" w:space="0" w:color="000000"/>
              <w:left w:val="none" w:sz="4" w:space="0" w:color="000000"/>
              <w:bottom w:val="single" w:sz="4" w:space="0" w:color="auto"/>
              <w:right w:val="single" w:sz="4" w:space="0" w:color="auto"/>
            </w:tcBorders>
            <w:vAlign w:val="center"/>
          </w:tcPr>
          <w:p w14:paraId="3680D9A6"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w:t>
            </w:r>
          </w:p>
        </w:tc>
        <w:tc>
          <w:tcPr>
            <w:tcW w:w="259" w:type="pct"/>
            <w:tcBorders>
              <w:top w:val="none" w:sz="4" w:space="0" w:color="000000"/>
              <w:left w:val="none" w:sz="4" w:space="0" w:color="000000"/>
              <w:bottom w:val="single" w:sz="4" w:space="0" w:color="auto"/>
              <w:right w:val="single" w:sz="4" w:space="0" w:color="auto"/>
            </w:tcBorders>
            <w:vAlign w:val="center"/>
          </w:tcPr>
          <w:p w14:paraId="082A8961"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w:t>
            </w:r>
          </w:p>
        </w:tc>
        <w:tc>
          <w:tcPr>
            <w:tcW w:w="605" w:type="pct"/>
            <w:tcBorders>
              <w:top w:val="none" w:sz="4" w:space="0" w:color="000000"/>
              <w:left w:val="none" w:sz="4" w:space="0" w:color="000000"/>
              <w:bottom w:val="single" w:sz="4" w:space="0" w:color="auto"/>
              <w:right w:val="single" w:sz="4" w:space="0" w:color="auto"/>
            </w:tcBorders>
            <w:vAlign w:val="center"/>
          </w:tcPr>
          <w:p w14:paraId="62E4FA12"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 není pro DNSH dostatečnou zárukou</w:t>
            </w:r>
          </w:p>
          <w:p w14:paraId="055A6859" w14:textId="77777777" w:rsidR="00602DCA" w:rsidRDefault="00602DCA">
            <w:pPr>
              <w:spacing w:after="0" w:line="240" w:lineRule="auto"/>
              <w:jc w:val="left"/>
              <w:rPr>
                <w:rFonts w:asciiTheme="minorHAnsi" w:eastAsia="Times New Roman" w:hAnsiTheme="minorHAnsi" w:cstheme="minorHAnsi"/>
                <w:color w:val="000000"/>
                <w:sz w:val="16"/>
                <w:szCs w:val="20"/>
                <w:lang w:eastAsia="cs-CZ"/>
              </w:rPr>
            </w:pPr>
          </w:p>
          <w:p w14:paraId="7861CFB5"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proofErr w:type="gramStart"/>
            <w:r>
              <w:rPr>
                <w:rFonts w:asciiTheme="minorHAnsi" w:eastAsia="Times New Roman" w:hAnsiTheme="minorHAnsi" w:cstheme="minorHAnsi"/>
                <w:color w:val="000000"/>
                <w:sz w:val="16"/>
                <w:szCs w:val="20"/>
                <w:lang w:eastAsia="cs-CZ"/>
              </w:rPr>
              <w:t>CP</w:t>
            </w:r>
            <w:proofErr w:type="gramEnd"/>
            <w:r>
              <w:rPr>
                <w:rFonts w:asciiTheme="minorHAnsi" w:eastAsia="Times New Roman" w:hAnsiTheme="minorHAnsi" w:cstheme="minorHAnsi"/>
                <w:color w:val="000000"/>
                <w:sz w:val="16"/>
                <w:szCs w:val="20"/>
                <w:lang w:eastAsia="cs-CZ"/>
              </w:rPr>
              <w:t xml:space="preserve"> pokud naplnění definice infrastruktury</w:t>
            </w:r>
          </w:p>
        </w:tc>
        <w:tc>
          <w:tcPr>
            <w:tcW w:w="460" w:type="pct"/>
            <w:tcBorders>
              <w:top w:val="none" w:sz="4" w:space="0" w:color="000000"/>
              <w:left w:val="none" w:sz="4" w:space="0" w:color="000000"/>
              <w:bottom w:val="single" w:sz="4" w:space="0" w:color="auto"/>
              <w:right w:val="single" w:sz="4" w:space="0" w:color="auto"/>
            </w:tcBorders>
            <w:vAlign w:val="center"/>
          </w:tcPr>
          <w:p w14:paraId="5B6A477E"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 není pro DNSH dostatečnou zárukou</w:t>
            </w:r>
          </w:p>
          <w:p w14:paraId="1745869E" w14:textId="77777777" w:rsidR="00602DCA" w:rsidRDefault="00602DCA">
            <w:pPr>
              <w:spacing w:after="0" w:line="240" w:lineRule="auto"/>
              <w:jc w:val="left"/>
              <w:rPr>
                <w:rFonts w:asciiTheme="minorHAnsi" w:eastAsia="Times New Roman" w:hAnsiTheme="minorHAnsi" w:cstheme="minorHAnsi"/>
                <w:color w:val="000000"/>
                <w:sz w:val="16"/>
                <w:szCs w:val="20"/>
                <w:lang w:eastAsia="cs-CZ"/>
              </w:rPr>
            </w:pPr>
          </w:p>
          <w:p w14:paraId="614A06B5"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proofErr w:type="gramStart"/>
            <w:r>
              <w:rPr>
                <w:rFonts w:asciiTheme="minorHAnsi" w:eastAsia="Times New Roman" w:hAnsiTheme="minorHAnsi" w:cstheme="minorHAnsi"/>
                <w:color w:val="000000"/>
                <w:sz w:val="16"/>
                <w:szCs w:val="20"/>
                <w:lang w:eastAsia="cs-CZ"/>
              </w:rPr>
              <w:t>CP</w:t>
            </w:r>
            <w:proofErr w:type="gramEnd"/>
            <w:r>
              <w:rPr>
                <w:rFonts w:asciiTheme="minorHAnsi" w:eastAsia="Times New Roman" w:hAnsiTheme="minorHAnsi" w:cstheme="minorHAnsi"/>
                <w:color w:val="000000"/>
                <w:sz w:val="16"/>
                <w:szCs w:val="20"/>
                <w:lang w:eastAsia="cs-CZ"/>
              </w:rPr>
              <w:t xml:space="preserve"> pokud naplnění definice infrastruktury</w:t>
            </w:r>
          </w:p>
        </w:tc>
        <w:tc>
          <w:tcPr>
            <w:tcW w:w="455" w:type="pct"/>
            <w:tcBorders>
              <w:top w:val="none" w:sz="4" w:space="0" w:color="000000"/>
              <w:left w:val="none" w:sz="4" w:space="0" w:color="000000"/>
              <w:bottom w:val="single" w:sz="4" w:space="0" w:color="auto"/>
              <w:right w:val="single" w:sz="4" w:space="0" w:color="auto"/>
            </w:tcBorders>
            <w:vAlign w:val="center"/>
          </w:tcPr>
          <w:p w14:paraId="6FF02724"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 není pro DNSH dostatečnou zárukou</w:t>
            </w:r>
          </w:p>
        </w:tc>
        <w:tc>
          <w:tcPr>
            <w:tcW w:w="456" w:type="pct"/>
            <w:tcBorders>
              <w:top w:val="none" w:sz="4" w:space="0" w:color="000000"/>
              <w:left w:val="none" w:sz="4" w:space="0" w:color="000000"/>
              <w:bottom w:val="single" w:sz="4" w:space="0" w:color="auto"/>
              <w:right w:val="single" w:sz="4" w:space="0" w:color="auto"/>
            </w:tcBorders>
            <w:vAlign w:val="center"/>
          </w:tcPr>
          <w:p w14:paraId="6B1A84AA"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 není pro DNSH dostatečnou zárukou</w:t>
            </w:r>
          </w:p>
        </w:tc>
        <w:tc>
          <w:tcPr>
            <w:tcW w:w="461" w:type="pct"/>
            <w:tcBorders>
              <w:top w:val="none" w:sz="4" w:space="0" w:color="000000"/>
              <w:left w:val="none" w:sz="4" w:space="0" w:color="000000"/>
              <w:bottom w:val="single" w:sz="4" w:space="0" w:color="auto"/>
              <w:right w:val="single" w:sz="4" w:space="0" w:color="auto"/>
            </w:tcBorders>
            <w:vAlign w:val="center"/>
          </w:tcPr>
          <w:p w14:paraId="73605FDF"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 není pro DNSH dostatečnou zárukou</w:t>
            </w:r>
          </w:p>
        </w:tc>
        <w:tc>
          <w:tcPr>
            <w:tcW w:w="429" w:type="pct"/>
            <w:tcBorders>
              <w:top w:val="none" w:sz="4" w:space="0" w:color="000000"/>
              <w:left w:val="none" w:sz="4" w:space="0" w:color="000000"/>
              <w:bottom w:val="single" w:sz="4" w:space="0" w:color="auto"/>
              <w:right w:val="single" w:sz="4" w:space="0" w:color="auto"/>
            </w:tcBorders>
            <w:vAlign w:val="center"/>
          </w:tcPr>
          <w:p w14:paraId="534AE06D"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 není pro DNSH dostatečnou zárukou</w:t>
            </w:r>
          </w:p>
        </w:tc>
      </w:tr>
      <w:tr w:rsidR="00602DCA" w14:paraId="7E6DEA07" w14:textId="77777777">
        <w:trPr>
          <w:trHeight w:val="20"/>
        </w:trPr>
        <w:tc>
          <w:tcPr>
            <w:tcW w:w="202" w:type="pct"/>
            <w:tcBorders>
              <w:top w:val="none" w:sz="4" w:space="0" w:color="000000"/>
              <w:left w:val="single" w:sz="4" w:space="0" w:color="auto"/>
              <w:bottom w:val="single" w:sz="4" w:space="0" w:color="auto"/>
              <w:right w:val="single" w:sz="4" w:space="0" w:color="auto"/>
            </w:tcBorders>
            <w:vAlign w:val="center"/>
          </w:tcPr>
          <w:p w14:paraId="18F7F50C" w14:textId="77777777" w:rsidR="00602DCA" w:rsidRDefault="00C5530C">
            <w:pPr>
              <w:spacing w:after="0" w:line="240" w:lineRule="auto"/>
              <w:jc w:val="righ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76</w:t>
            </w:r>
          </w:p>
        </w:tc>
        <w:tc>
          <w:tcPr>
            <w:tcW w:w="204" w:type="pct"/>
            <w:tcBorders>
              <w:top w:val="none" w:sz="4" w:space="0" w:color="000000"/>
              <w:left w:val="none" w:sz="4" w:space="0" w:color="000000"/>
              <w:bottom w:val="single" w:sz="4" w:space="0" w:color="auto"/>
              <w:right w:val="single" w:sz="4" w:space="0" w:color="auto"/>
            </w:tcBorders>
            <w:vAlign w:val="center"/>
          </w:tcPr>
          <w:p w14:paraId="7B809F67" w14:textId="77777777" w:rsidR="00602DCA" w:rsidRDefault="00C5530C">
            <w:pPr>
              <w:spacing w:after="0" w:line="240" w:lineRule="auto"/>
              <w:rPr>
                <w:rFonts w:asciiTheme="minorHAnsi" w:eastAsia="Times New Roman" w:hAnsiTheme="minorHAnsi" w:cstheme="minorHAnsi"/>
                <w:color w:val="000000"/>
                <w:sz w:val="16"/>
                <w:szCs w:val="20"/>
                <w:lang w:eastAsia="cs-CZ"/>
              </w:rPr>
            </w:pPr>
            <w:proofErr w:type="gramStart"/>
            <w:r>
              <w:rPr>
                <w:rFonts w:asciiTheme="minorHAnsi" w:eastAsia="Times New Roman" w:hAnsiTheme="minorHAnsi" w:cstheme="minorHAnsi"/>
                <w:color w:val="000000"/>
                <w:sz w:val="16"/>
                <w:szCs w:val="20"/>
                <w:lang w:eastAsia="cs-CZ"/>
              </w:rPr>
              <w:t>047a</w:t>
            </w:r>
            <w:proofErr w:type="gramEnd"/>
          </w:p>
        </w:tc>
        <w:tc>
          <w:tcPr>
            <w:tcW w:w="1165" w:type="pct"/>
            <w:tcBorders>
              <w:top w:val="none" w:sz="4" w:space="0" w:color="000000"/>
              <w:left w:val="none" w:sz="4" w:space="0" w:color="000000"/>
              <w:bottom w:val="single" w:sz="4" w:space="0" w:color="auto"/>
              <w:right w:val="single" w:sz="4" w:space="0" w:color="auto"/>
            </w:tcBorders>
            <w:vAlign w:val="center"/>
          </w:tcPr>
          <w:p w14:paraId="10702EA7"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Podpora výrobních procesů šetrných k životnímu prostředí a účinné využívání zdrojů ve velkých podnicích</w:t>
            </w:r>
          </w:p>
        </w:tc>
        <w:tc>
          <w:tcPr>
            <w:tcW w:w="304" w:type="pct"/>
            <w:tcBorders>
              <w:top w:val="none" w:sz="4" w:space="0" w:color="000000"/>
              <w:left w:val="none" w:sz="4" w:space="0" w:color="000000"/>
              <w:bottom w:val="single" w:sz="4" w:space="0" w:color="auto"/>
              <w:right w:val="single" w:sz="4" w:space="0" w:color="auto"/>
            </w:tcBorders>
            <w:vAlign w:val="center"/>
          </w:tcPr>
          <w:p w14:paraId="3ABA7670"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w:t>
            </w:r>
          </w:p>
        </w:tc>
        <w:tc>
          <w:tcPr>
            <w:tcW w:w="259" w:type="pct"/>
            <w:tcBorders>
              <w:top w:val="none" w:sz="4" w:space="0" w:color="000000"/>
              <w:left w:val="none" w:sz="4" w:space="0" w:color="000000"/>
              <w:bottom w:val="single" w:sz="4" w:space="0" w:color="auto"/>
              <w:right w:val="single" w:sz="4" w:space="0" w:color="auto"/>
            </w:tcBorders>
            <w:vAlign w:val="center"/>
          </w:tcPr>
          <w:p w14:paraId="1E5E8241"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w:t>
            </w:r>
          </w:p>
        </w:tc>
        <w:tc>
          <w:tcPr>
            <w:tcW w:w="605" w:type="pct"/>
            <w:tcBorders>
              <w:top w:val="none" w:sz="4" w:space="0" w:color="000000"/>
              <w:left w:val="none" w:sz="4" w:space="0" w:color="000000"/>
              <w:bottom w:val="single" w:sz="4" w:space="0" w:color="auto"/>
              <w:right w:val="single" w:sz="4" w:space="0" w:color="auto"/>
            </w:tcBorders>
            <w:vAlign w:val="center"/>
          </w:tcPr>
          <w:p w14:paraId="2AB7A9BE"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 není pro DNSH dostatečnou zárukou</w:t>
            </w:r>
          </w:p>
          <w:p w14:paraId="62F7A55A" w14:textId="77777777" w:rsidR="00602DCA" w:rsidRDefault="00602DCA">
            <w:pPr>
              <w:spacing w:after="0" w:line="240" w:lineRule="auto"/>
              <w:jc w:val="left"/>
              <w:rPr>
                <w:rFonts w:asciiTheme="minorHAnsi" w:eastAsia="Times New Roman" w:hAnsiTheme="minorHAnsi" w:cstheme="minorHAnsi"/>
                <w:color w:val="000000"/>
                <w:sz w:val="16"/>
                <w:szCs w:val="20"/>
                <w:lang w:eastAsia="cs-CZ"/>
              </w:rPr>
            </w:pPr>
          </w:p>
          <w:p w14:paraId="518F6AE6"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proofErr w:type="gramStart"/>
            <w:r>
              <w:rPr>
                <w:rFonts w:asciiTheme="minorHAnsi" w:eastAsia="Times New Roman" w:hAnsiTheme="minorHAnsi" w:cstheme="minorHAnsi"/>
                <w:color w:val="000000"/>
                <w:sz w:val="16"/>
                <w:szCs w:val="20"/>
                <w:lang w:eastAsia="cs-CZ"/>
              </w:rPr>
              <w:t>CP</w:t>
            </w:r>
            <w:proofErr w:type="gramEnd"/>
            <w:r>
              <w:rPr>
                <w:rFonts w:asciiTheme="minorHAnsi" w:eastAsia="Times New Roman" w:hAnsiTheme="minorHAnsi" w:cstheme="minorHAnsi"/>
                <w:color w:val="000000"/>
                <w:sz w:val="16"/>
                <w:szCs w:val="20"/>
                <w:lang w:eastAsia="cs-CZ"/>
              </w:rPr>
              <w:t xml:space="preserve"> pokud naplnění definice infrastruktury</w:t>
            </w:r>
          </w:p>
        </w:tc>
        <w:tc>
          <w:tcPr>
            <w:tcW w:w="460" w:type="pct"/>
            <w:tcBorders>
              <w:top w:val="none" w:sz="4" w:space="0" w:color="000000"/>
              <w:left w:val="none" w:sz="4" w:space="0" w:color="000000"/>
              <w:bottom w:val="single" w:sz="4" w:space="0" w:color="auto"/>
              <w:right w:val="single" w:sz="4" w:space="0" w:color="auto"/>
            </w:tcBorders>
            <w:vAlign w:val="center"/>
          </w:tcPr>
          <w:p w14:paraId="0604E767"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 není pro DNSH dostatečnou zárukou</w:t>
            </w:r>
          </w:p>
          <w:p w14:paraId="052E18D6" w14:textId="77777777" w:rsidR="00602DCA" w:rsidRDefault="00602DCA">
            <w:pPr>
              <w:spacing w:after="0" w:line="240" w:lineRule="auto"/>
              <w:jc w:val="left"/>
              <w:rPr>
                <w:rFonts w:asciiTheme="minorHAnsi" w:eastAsia="Times New Roman" w:hAnsiTheme="minorHAnsi" w:cstheme="minorHAnsi"/>
                <w:color w:val="000000"/>
                <w:sz w:val="16"/>
                <w:szCs w:val="20"/>
                <w:lang w:eastAsia="cs-CZ"/>
              </w:rPr>
            </w:pPr>
          </w:p>
          <w:p w14:paraId="547B88FB"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proofErr w:type="gramStart"/>
            <w:r>
              <w:rPr>
                <w:rFonts w:asciiTheme="minorHAnsi" w:eastAsia="Times New Roman" w:hAnsiTheme="minorHAnsi" w:cstheme="minorHAnsi"/>
                <w:color w:val="000000"/>
                <w:sz w:val="16"/>
                <w:szCs w:val="20"/>
                <w:lang w:eastAsia="cs-CZ"/>
              </w:rPr>
              <w:t>CP</w:t>
            </w:r>
            <w:proofErr w:type="gramEnd"/>
            <w:r>
              <w:rPr>
                <w:rFonts w:asciiTheme="minorHAnsi" w:eastAsia="Times New Roman" w:hAnsiTheme="minorHAnsi" w:cstheme="minorHAnsi"/>
                <w:color w:val="000000"/>
                <w:sz w:val="16"/>
                <w:szCs w:val="20"/>
                <w:lang w:eastAsia="cs-CZ"/>
              </w:rPr>
              <w:t xml:space="preserve"> pokud naplnění definice infrastruktury</w:t>
            </w:r>
          </w:p>
        </w:tc>
        <w:tc>
          <w:tcPr>
            <w:tcW w:w="455" w:type="pct"/>
            <w:tcBorders>
              <w:top w:val="none" w:sz="4" w:space="0" w:color="000000"/>
              <w:left w:val="none" w:sz="4" w:space="0" w:color="000000"/>
              <w:bottom w:val="single" w:sz="4" w:space="0" w:color="auto"/>
              <w:right w:val="single" w:sz="4" w:space="0" w:color="auto"/>
            </w:tcBorders>
            <w:vAlign w:val="center"/>
          </w:tcPr>
          <w:p w14:paraId="2242EAB7"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 není pro DNSH dostatečnou zárukou</w:t>
            </w:r>
          </w:p>
        </w:tc>
        <w:tc>
          <w:tcPr>
            <w:tcW w:w="456" w:type="pct"/>
            <w:tcBorders>
              <w:top w:val="none" w:sz="4" w:space="0" w:color="000000"/>
              <w:left w:val="none" w:sz="4" w:space="0" w:color="000000"/>
              <w:bottom w:val="single" w:sz="4" w:space="0" w:color="auto"/>
              <w:right w:val="single" w:sz="4" w:space="0" w:color="auto"/>
            </w:tcBorders>
            <w:vAlign w:val="center"/>
          </w:tcPr>
          <w:p w14:paraId="7C3326AC"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 není pro DNSH dostatečnou zárukou</w:t>
            </w:r>
          </w:p>
        </w:tc>
        <w:tc>
          <w:tcPr>
            <w:tcW w:w="461" w:type="pct"/>
            <w:tcBorders>
              <w:top w:val="none" w:sz="4" w:space="0" w:color="000000"/>
              <w:left w:val="none" w:sz="4" w:space="0" w:color="000000"/>
              <w:bottom w:val="single" w:sz="4" w:space="0" w:color="auto"/>
              <w:right w:val="single" w:sz="4" w:space="0" w:color="auto"/>
            </w:tcBorders>
            <w:vAlign w:val="center"/>
          </w:tcPr>
          <w:p w14:paraId="515F9D87"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 není pro DNSH dostatečnou zárukou</w:t>
            </w:r>
          </w:p>
        </w:tc>
        <w:tc>
          <w:tcPr>
            <w:tcW w:w="429" w:type="pct"/>
            <w:tcBorders>
              <w:top w:val="none" w:sz="4" w:space="0" w:color="000000"/>
              <w:left w:val="none" w:sz="4" w:space="0" w:color="000000"/>
              <w:bottom w:val="single" w:sz="4" w:space="0" w:color="auto"/>
              <w:right w:val="single" w:sz="4" w:space="0" w:color="auto"/>
            </w:tcBorders>
            <w:vAlign w:val="center"/>
          </w:tcPr>
          <w:p w14:paraId="5C2B266C"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 není pro DNSH dostatečnou zárukou</w:t>
            </w:r>
          </w:p>
        </w:tc>
      </w:tr>
      <w:tr w:rsidR="00602DCA" w14:paraId="7A974C0B" w14:textId="77777777">
        <w:trPr>
          <w:trHeight w:val="20"/>
        </w:trPr>
        <w:tc>
          <w:tcPr>
            <w:tcW w:w="202" w:type="pct"/>
            <w:tcBorders>
              <w:top w:val="none" w:sz="4" w:space="0" w:color="000000"/>
              <w:left w:val="single" w:sz="4" w:space="0" w:color="auto"/>
              <w:bottom w:val="single" w:sz="4" w:space="0" w:color="auto"/>
              <w:right w:val="single" w:sz="4" w:space="0" w:color="auto"/>
            </w:tcBorders>
            <w:vAlign w:val="center"/>
          </w:tcPr>
          <w:p w14:paraId="59B804DA" w14:textId="77777777" w:rsidR="00602DCA" w:rsidRDefault="00C5530C">
            <w:pPr>
              <w:spacing w:after="0" w:line="240" w:lineRule="auto"/>
              <w:jc w:val="righ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77</w:t>
            </w:r>
          </w:p>
        </w:tc>
        <w:tc>
          <w:tcPr>
            <w:tcW w:w="204" w:type="pct"/>
            <w:tcBorders>
              <w:top w:val="none" w:sz="4" w:space="0" w:color="000000"/>
              <w:left w:val="none" w:sz="4" w:space="0" w:color="000000"/>
              <w:bottom w:val="single" w:sz="4" w:space="0" w:color="auto"/>
              <w:right w:val="single" w:sz="4" w:space="0" w:color="auto"/>
            </w:tcBorders>
            <w:vAlign w:val="center"/>
          </w:tcPr>
          <w:p w14:paraId="039F1835" w14:textId="77777777" w:rsidR="00602DCA" w:rsidRDefault="00C5530C">
            <w:pPr>
              <w:spacing w:after="0" w:line="240" w:lineRule="auto"/>
              <w:jc w:val="righ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48</w:t>
            </w:r>
          </w:p>
        </w:tc>
        <w:tc>
          <w:tcPr>
            <w:tcW w:w="1165" w:type="pct"/>
            <w:tcBorders>
              <w:top w:val="none" w:sz="4" w:space="0" w:color="000000"/>
              <w:left w:val="none" w:sz="4" w:space="0" w:color="000000"/>
              <w:bottom w:val="single" w:sz="4" w:space="0" w:color="auto"/>
              <w:right w:val="single" w:sz="4" w:space="0" w:color="auto"/>
            </w:tcBorders>
            <w:vAlign w:val="center"/>
          </w:tcPr>
          <w:p w14:paraId="09706A25"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Kvalita ovzduší a opatření ke snižování hluku</w:t>
            </w:r>
          </w:p>
        </w:tc>
        <w:tc>
          <w:tcPr>
            <w:tcW w:w="304" w:type="pct"/>
            <w:tcBorders>
              <w:top w:val="none" w:sz="4" w:space="0" w:color="000000"/>
              <w:left w:val="none" w:sz="4" w:space="0" w:color="000000"/>
              <w:bottom w:val="single" w:sz="4" w:space="0" w:color="auto"/>
              <w:right w:val="single" w:sz="4" w:space="0" w:color="auto"/>
            </w:tcBorders>
            <w:vAlign w:val="center"/>
          </w:tcPr>
          <w:p w14:paraId="38A4CC75"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w:t>
            </w:r>
          </w:p>
        </w:tc>
        <w:tc>
          <w:tcPr>
            <w:tcW w:w="259" w:type="pct"/>
            <w:tcBorders>
              <w:top w:val="none" w:sz="4" w:space="0" w:color="000000"/>
              <w:left w:val="none" w:sz="4" w:space="0" w:color="000000"/>
              <w:bottom w:val="single" w:sz="4" w:space="0" w:color="auto"/>
              <w:right w:val="single" w:sz="4" w:space="0" w:color="auto"/>
            </w:tcBorders>
            <w:vAlign w:val="center"/>
          </w:tcPr>
          <w:p w14:paraId="25447521"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100 %</w:t>
            </w:r>
          </w:p>
        </w:tc>
        <w:tc>
          <w:tcPr>
            <w:tcW w:w="605" w:type="pct"/>
            <w:tcBorders>
              <w:top w:val="none" w:sz="4" w:space="0" w:color="000000"/>
              <w:left w:val="none" w:sz="4" w:space="0" w:color="000000"/>
              <w:bottom w:val="single" w:sz="4" w:space="0" w:color="auto"/>
              <w:right w:val="single" w:sz="4" w:space="0" w:color="auto"/>
            </w:tcBorders>
            <w:vAlign w:val="center"/>
          </w:tcPr>
          <w:p w14:paraId="4E4E378C"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p w14:paraId="29B5D76B" w14:textId="77777777" w:rsidR="00602DCA" w:rsidRDefault="00602DCA">
            <w:pPr>
              <w:spacing w:after="0" w:line="240" w:lineRule="auto"/>
              <w:jc w:val="left"/>
              <w:rPr>
                <w:rFonts w:asciiTheme="minorHAnsi" w:eastAsia="Times New Roman" w:hAnsiTheme="minorHAnsi" w:cstheme="minorHAnsi"/>
                <w:color w:val="000000"/>
                <w:sz w:val="16"/>
                <w:szCs w:val="20"/>
                <w:lang w:eastAsia="cs-CZ"/>
              </w:rPr>
            </w:pPr>
          </w:p>
          <w:p w14:paraId="4015EA61"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proofErr w:type="gramStart"/>
            <w:r>
              <w:rPr>
                <w:rFonts w:asciiTheme="minorHAnsi" w:eastAsia="Times New Roman" w:hAnsiTheme="minorHAnsi" w:cstheme="minorHAnsi"/>
                <w:color w:val="000000"/>
                <w:sz w:val="16"/>
                <w:szCs w:val="20"/>
                <w:lang w:eastAsia="cs-CZ"/>
              </w:rPr>
              <w:t>CP</w:t>
            </w:r>
            <w:proofErr w:type="gramEnd"/>
            <w:r>
              <w:rPr>
                <w:rFonts w:asciiTheme="minorHAnsi" w:eastAsia="Times New Roman" w:hAnsiTheme="minorHAnsi" w:cstheme="minorHAnsi"/>
                <w:color w:val="000000"/>
                <w:sz w:val="16"/>
                <w:szCs w:val="20"/>
                <w:lang w:eastAsia="cs-CZ"/>
              </w:rPr>
              <w:t xml:space="preserve"> pokud naplnění definice infrastruktury</w:t>
            </w:r>
          </w:p>
        </w:tc>
        <w:tc>
          <w:tcPr>
            <w:tcW w:w="460" w:type="pct"/>
            <w:tcBorders>
              <w:top w:val="none" w:sz="4" w:space="0" w:color="000000"/>
              <w:left w:val="none" w:sz="4" w:space="0" w:color="000000"/>
              <w:bottom w:val="single" w:sz="4" w:space="0" w:color="auto"/>
              <w:right w:val="single" w:sz="4" w:space="0" w:color="auto"/>
            </w:tcBorders>
            <w:vAlign w:val="center"/>
          </w:tcPr>
          <w:p w14:paraId="23CD6228"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p w14:paraId="193B66FC" w14:textId="77777777" w:rsidR="00602DCA" w:rsidRDefault="00602DCA">
            <w:pPr>
              <w:spacing w:after="0" w:line="240" w:lineRule="auto"/>
              <w:jc w:val="left"/>
              <w:rPr>
                <w:rFonts w:asciiTheme="minorHAnsi" w:eastAsia="Times New Roman" w:hAnsiTheme="minorHAnsi" w:cstheme="minorHAnsi"/>
                <w:color w:val="000000"/>
                <w:sz w:val="16"/>
                <w:szCs w:val="20"/>
                <w:lang w:eastAsia="cs-CZ"/>
              </w:rPr>
            </w:pPr>
          </w:p>
          <w:p w14:paraId="16EA8BD8"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proofErr w:type="gramStart"/>
            <w:r>
              <w:rPr>
                <w:rFonts w:asciiTheme="minorHAnsi" w:eastAsia="Times New Roman" w:hAnsiTheme="minorHAnsi" w:cstheme="minorHAnsi"/>
                <w:color w:val="000000"/>
                <w:sz w:val="16"/>
                <w:szCs w:val="20"/>
                <w:lang w:eastAsia="cs-CZ"/>
              </w:rPr>
              <w:t>CP</w:t>
            </w:r>
            <w:proofErr w:type="gramEnd"/>
            <w:r>
              <w:rPr>
                <w:rFonts w:asciiTheme="minorHAnsi" w:eastAsia="Times New Roman" w:hAnsiTheme="minorHAnsi" w:cstheme="minorHAnsi"/>
                <w:color w:val="000000"/>
                <w:sz w:val="16"/>
                <w:szCs w:val="20"/>
                <w:lang w:eastAsia="cs-CZ"/>
              </w:rPr>
              <w:t xml:space="preserve"> pokud naplnění definice infrastruktury</w:t>
            </w:r>
          </w:p>
        </w:tc>
        <w:tc>
          <w:tcPr>
            <w:tcW w:w="455" w:type="pct"/>
            <w:tcBorders>
              <w:top w:val="none" w:sz="4" w:space="0" w:color="000000"/>
              <w:left w:val="none" w:sz="4" w:space="0" w:color="000000"/>
              <w:bottom w:val="single" w:sz="4" w:space="0" w:color="auto"/>
              <w:right w:val="single" w:sz="4" w:space="0" w:color="auto"/>
            </w:tcBorders>
            <w:vAlign w:val="center"/>
          </w:tcPr>
          <w:p w14:paraId="3F039D15"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tc>
        <w:tc>
          <w:tcPr>
            <w:tcW w:w="456" w:type="pct"/>
            <w:tcBorders>
              <w:top w:val="none" w:sz="4" w:space="0" w:color="000000"/>
              <w:left w:val="none" w:sz="4" w:space="0" w:color="000000"/>
              <w:bottom w:val="single" w:sz="4" w:space="0" w:color="auto"/>
              <w:right w:val="single" w:sz="4" w:space="0" w:color="auto"/>
            </w:tcBorders>
            <w:vAlign w:val="center"/>
          </w:tcPr>
          <w:p w14:paraId="08AE10A4"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tc>
        <w:tc>
          <w:tcPr>
            <w:tcW w:w="461" w:type="pct"/>
            <w:tcBorders>
              <w:top w:val="none" w:sz="4" w:space="0" w:color="000000"/>
              <w:left w:val="none" w:sz="4" w:space="0" w:color="000000"/>
              <w:bottom w:val="single" w:sz="4" w:space="0" w:color="auto"/>
              <w:right w:val="single" w:sz="4" w:space="0" w:color="auto"/>
            </w:tcBorders>
            <w:vAlign w:val="center"/>
          </w:tcPr>
          <w:p w14:paraId="18C1072C"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splněno</w:t>
            </w:r>
          </w:p>
        </w:tc>
        <w:tc>
          <w:tcPr>
            <w:tcW w:w="429" w:type="pct"/>
            <w:tcBorders>
              <w:top w:val="none" w:sz="4" w:space="0" w:color="000000"/>
              <w:left w:val="none" w:sz="4" w:space="0" w:color="000000"/>
              <w:bottom w:val="single" w:sz="4" w:space="0" w:color="auto"/>
              <w:right w:val="single" w:sz="4" w:space="0" w:color="auto"/>
            </w:tcBorders>
            <w:vAlign w:val="center"/>
          </w:tcPr>
          <w:p w14:paraId="403CE12D"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tc>
      </w:tr>
      <w:tr w:rsidR="00602DCA" w14:paraId="48DF54FB" w14:textId="77777777">
        <w:trPr>
          <w:trHeight w:val="20"/>
        </w:trPr>
        <w:tc>
          <w:tcPr>
            <w:tcW w:w="202" w:type="pct"/>
            <w:tcBorders>
              <w:top w:val="none" w:sz="4" w:space="0" w:color="000000"/>
              <w:left w:val="single" w:sz="4" w:space="0" w:color="auto"/>
              <w:bottom w:val="single" w:sz="4" w:space="0" w:color="auto"/>
              <w:right w:val="single" w:sz="4" w:space="0" w:color="auto"/>
            </w:tcBorders>
            <w:vAlign w:val="center"/>
          </w:tcPr>
          <w:p w14:paraId="194D33E4" w14:textId="77777777" w:rsidR="00602DCA" w:rsidRDefault="00C5530C">
            <w:pPr>
              <w:spacing w:after="0" w:line="240" w:lineRule="auto"/>
              <w:jc w:val="righ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78</w:t>
            </w:r>
          </w:p>
        </w:tc>
        <w:tc>
          <w:tcPr>
            <w:tcW w:w="204" w:type="pct"/>
            <w:tcBorders>
              <w:top w:val="none" w:sz="4" w:space="0" w:color="000000"/>
              <w:left w:val="none" w:sz="4" w:space="0" w:color="000000"/>
              <w:bottom w:val="single" w:sz="4" w:space="0" w:color="auto"/>
              <w:right w:val="single" w:sz="4" w:space="0" w:color="auto"/>
            </w:tcBorders>
            <w:vAlign w:val="center"/>
          </w:tcPr>
          <w:p w14:paraId="41CC68E7" w14:textId="77777777" w:rsidR="00602DCA" w:rsidRDefault="00C5530C">
            <w:pPr>
              <w:spacing w:after="0" w:line="240" w:lineRule="auto"/>
              <w:jc w:val="righ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49</w:t>
            </w:r>
          </w:p>
        </w:tc>
        <w:tc>
          <w:tcPr>
            <w:tcW w:w="1165" w:type="pct"/>
            <w:tcBorders>
              <w:top w:val="none" w:sz="4" w:space="0" w:color="000000"/>
              <w:left w:val="none" w:sz="4" w:space="0" w:color="000000"/>
              <w:bottom w:val="single" w:sz="4" w:space="0" w:color="auto"/>
              <w:right w:val="single" w:sz="4" w:space="0" w:color="auto"/>
            </w:tcBorders>
            <w:vAlign w:val="center"/>
          </w:tcPr>
          <w:p w14:paraId="59E12CCD"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Ochrana, obnova a udržitelné využívání lokalit sítě Natura 2000</w:t>
            </w:r>
          </w:p>
        </w:tc>
        <w:tc>
          <w:tcPr>
            <w:tcW w:w="304" w:type="pct"/>
            <w:tcBorders>
              <w:top w:val="none" w:sz="4" w:space="0" w:color="000000"/>
              <w:left w:val="none" w:sz="4" w:space="0" w:color="000000"/>
              <w:bottom w:val="single" w:sz="4" w:space="0" w:color="auto"/>
              <w:right w:val="single" w:sz="4" w:space="0" w:color="auto"/>
            </w:tcBorders>
            <w:vAlign w:val="center"/>
          </w:tcPr>
          <w:p w14:paraId="2E8087DF"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w:t>
            </w:r>
          </w:p>
        </w:tc>
        <w:tc>
          <w:tcPr>
            <w:tcW w:w="259" w:type="pct"/>
            <w:tcBorders>
              <w:top w:val="none" w:sz="4" w:space="0" w:color="000000"/>
              <w:left w:val="none" w:sz="4" w:space="0" w:color="000000"/>
              <w:bottom w:val="single" w:sz="4" w:space="0" w:color="auto"/>
              <w:right w:val="single" w:sz="4" w:space="0" w:color="auto"/>
            </w:tcBorders>
            <w:vAlign w:val="center"/>
          </w:tcPr>
          <w:p w14:paraId="13E92FDC"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100 %</w:t>
            </w:r>
          </w:p>
        </w:tc>
        <w:tc>
          <w:tcPr>
            <w:tcW w:w="605" w:type="pct"/>
            <w:tcBorders>
              <w:top w:val="none" w:sz="4" w:space="0" w:color="000000"/>
              <w:left w:val="none" w:sz="4" w:space="0" w:color="000000"/>
              <w:bottom w:val="single" w:sz="4" w:space="0" w:color="auto"/>
              <w:right w:val="single" w:sz="4" w:space="0" w:color="auto"/>
            </w:tcBorders>
            <w:vAlign w:val="center"/>
          </w:tcPr>
          <w:p w14:paraId="73DDC716"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p w14:paraId="1E2B91BA" w14:textId="77777777" w:rsidR="00602DCA" w:rsidRDefault="00602DCA">
            <w:pPr>
              <w:spacing w:after="0" w:line="240" w:lineRule="auto"/>
              <w:jc w:val="left"/>
              <w:rPr>
                <w:rFonts w:asciiTheme="minorHAnsi" w:eastAsia="Times New Roman" w:hAnsiTheme="minorHAnsi" w:cstheme="minorHAnsi"/>
                <w:color w:val="000000"/>
                <w:sz w:val="16"/>
                <w:szCs w:val="20"/>
                <w:lang w:eastAsia="cs-CZ"/>
              </w:rPr>
            </w:pPr>
          </w:p>
          <w:p w14:paraId="0882546E"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proofErr w:type="gramStart"/>
            <w:r>
              <w:rPr>
                <w:rFonts w:asciiTheme="minorHAnsi" w:eastAsia="Times New Roman" w:hAnsiTheme="minorHAnsi" w:cstheme="minorHAnsi"/>
                <w:color w:val="000000"/>
                <w:sz w:val="16"/>
                <w:szCs w:val="20"/>
                <w:lang w:eastAsia="cs-CZ"/>
              </w:rPr>
              <w:t>CP</w:t>
            </w:r>
            <w:proofErr w:type="gramEnd"/>
            <w:r>
              <w:rPr>
                <w:rFonts w:asciiTheme="minorHAnsi" w:eastAsia="Times New Roman" w:hAnsiTheme="minorHAnsi" w:cstheme="minorHAnsi"/>
                <w:color w:val="000000"/>
                <w:sz w:val="16"/>
                <w:szCs w:val="20"/>
                <w:lang w:eastAsia="cs-CZ"/>
              </w:rPr>
              <w:t xml:space="preserve"> pokud naplnění definice infrastruktury</w:t>
            </w:r>
          </w:p>
        </w:tc>
        <w:tc>
          <w:tcPr>
            <w:tcW w:w="460" w:type="pct"/>
            <w:tcBorders>
              <w:top w:val="none" w:sz="4" w:space="0" w:color="000000"/>
              <w:left w:val="none" w:sz="4" w:space="0" w:color="000000"/>
              <w:bottom w:val="single" w:sz="4" w:space="0" w:color="auto"/>
              <w:right w:val="single" w:sz="4" w:space="0" w:color="auto"/>
            </w:tcBorders>
            <w:vAlign w:val="center"/>
          </w:tcPr>
          <w:p w14:paraId="0AEDBADC"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p w14:paraId="5D26348E" w14:textId="77777777" w:rsidR="00602DCA" w:rsidRDefault="00602DCA">
            <w:pPr>
              <w:spacing w:after="0" w:line="240" w:lineRule="auto"/>
              <w:jc w:val="left"/>
              <w:rPr>
                <w:rFonts w:asciiTheme="minorHAnsi" w:eastAsia="Times New Roman" w:hAnsiTheme="minorHAnsi" w:cstheme="minorHAnsi"/>
                <w:color w:val="000000"/>
                <w:sz w:val="16"/>
                <w:szCs w:val="20"/>
                <w:lang w:eastAsia="cs-CZ"/>
              </w:rPr>
            </w:pPr>
          </w:p>
          <w:p w14:paraId="1DBB12FD"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proofErr w:type="gramStart"/>
            <w:r>
              <w:rPr>
                <w:rFonts w:asciiTheme="minorHAnsi" w:eastAsia="Times New Roman" w:hAnsiTheme="minorHAnsi" w:cstheme="minorHAnsi"/>
                <w:color w:val="000000"/>
                <w:sz w:val="16"/>
                <w:szCs w:val="20"/>
                <w:lang w:eastAsia="cs-CZ"/>
              </w:rPr>
              <w:t>CP</w:t>
            </w:r>
            <w:proofErr w:type="gramEnd"/>
            <w:r>
              <w:rPr>
                <w:rFonts w:asciiTheme="minorHAnsi" w:eastAsia="Times New Roman" w:hAnsiTheme="minorHAnsi" w:cstheme="minorHAnsi"/>
                <w:color w:val="000000"/>
                <w:sz w:val="16"/>
                <w:szCs w:val="20"/>
                <w:lang w:eastAsia="cs-CZ"/>
              </w:rPr>
              <w:t xml:space="preserve"> pokud naplnění definice infrastruktury</w:t>
            </w:r>
          </w:p>
        </w:tc>
        <w:tc>
          <w:tcPr>
            <w:tcW w:w="455" w:type="pct"/>
            <w:tcBorders>
              <w:top w:val="none" w:sz="4" w:space="0" w:color="000000"/>
              <w:left w:val="none" w:sz="4" w:space="0" w:color="000000"/>
              <w:bottom w:val="single" w:sz="4" w:space="0" w:color="auto"/>
              <w:right w:val="single" w:sz="4" w:space="0" w:color="auto"/>
            </w:tcBorders>
            <w:vAlign w:val="center"/>
          </w:tcPr>
          <w:p w14:paraId="2CD440DD"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tc>
        <w:tc>
          <w:tcPr>
            <w:tcW w:w="456" w:type="pct"/>
            <w:tcBorders>
              <w:top w:val="none" w:sz="4" w:space="0" w:color="000000"/>
              <w:left w:val="none" w:sz="4" w:space="0" w:color="000000"/>
              <w:bottom w:val="single" w:sz="4" w:space="0" w:color="auto"/>
              <w:right w:val="single" w:sz="4" w:space="0" w:color="auto"/>
            </w:tcBorders>
            <w:vAlign w:val="center"/>
          </w:tcPr>
          <w:p w14:paraId="65C926AA"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tc>
        <w:tc>
          <w:tcPr>
            <w:tcW w:w="461" w:type="pct"/>
            <w:tcBorders>
              <w:top w:val="none" w:sz="4" w:space="0" w:color="000000"/>
              <w:left w:val="none" w:sz="4" w:space="0" w:color="000000"/>
              <w:bottom w:val="single" w:sz="4" w:space="0" w:color="auto"/>
              <w:right w:val="single" w:sz="4" w:space="0" w:color="auto"/>
            </w:tcBorders>
            <w:vAlign w:val="center"/>
          </w:tcPr>
          <w:p w14:paraId="70DD336D"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tc>
        <w:tc>
          <w:tcPr>
            <w:tcW w:w="429" w:type="pct"/>
            <w:tcBorders>
              <w:top w:val="none" w:sz="4" w:space="0" w:color="000000"/>
              <w:left w:val="none" w:sz="4" w:space="0" w:color="000000"/>
              <w:bottom w:val="single" w:sz="4" w:space="0" w:color="auto"/>
              <w:right w:val="single" w:sz="4" w:space="0" w:color="auto"/>
            </w:tcBorders>
            <w:vAlign w:val="center"/>
          </w:tcPr>
          <w:p w14:paraId="710ADD79"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splněno</w:t>
            </w:r>
          </w:p>
        </w:tc>
      </w:tr>
      <w:tr w:rsidR="00602DCA" w14:paraId="3FCEB572" w14:textId="77777777">
        <w:trPr>
          <w:trHeight w:val="20"/>
        </w:trPr>
        <w:tc>
          <w:tcPr>
            <w:tcW w:w="202" w:type="pct"/>
            <w:tcBorders>
              <w:top w:val="none" w:sz="4" w:space="0" w:color="000000"/>
              <w:left w:val="single" w:sz="4" w:space="0" w:color="auto"/>
              <w:bottom w:val="single" w:sz="4" w:space="0" w:color="auto"/>
              <w:right w:val="single" w:sz="4" w:space="0" w:color="auto"/>
            </w:tcBorders>
            <w:vAlign w:val="center"/>
          </w:tcPr>
          <w:p w14:paraId="3ACBFBEC" w14:textId="77777777" w:rsidR="00602DCA" w:rsidRDefault="00C5530C">
            <w:pPr>
              <w:spacing w:after="0" w:line="240" w:lineRule="auto"/>
              <w:jc w:val="righ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79</w:t>
            </w:r>
          </w:p>
        </w:tc>
        <w:tc>
          <w:tcPr>
            <w:tcW w:w="204" w:type="pct"/>
            <w:tcBorders>
              <w:top w:val="none" w:sz="4" w:space="0" w:color="000000"/>
              <w:left w:val="none" w:sz="4" w:space="0" w:color="000000"/>
              <w:bottom w:val="single" w:sz="4" w:space="0" w:color="auto"/>
              <w:right w:val="single" w:sz="4" w:space="0" w:color="auto"/>
            </w:tcBorders>
            <w:vAlign w:val="center"/>
          </w:tcPr>
          <w:p w14:paraId="3E8C654D" w14:textId="77777777" w:rsidR="00602DCA" w:rsidRDefault="00C5530C">
            <w:pPr>
              <w:spacing w:after="0" w:line="240" w:lineRule="auto"/>
              <w:jc w:val="righ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50</w:t>
            </w:r>
          </w:p>
        </w:tc>
        <w:tc>
          <w:tcPr>
            <w:tcW w:w="1165" w:type="pct"/>
            <w:tcBorders>
              <w:top w:val="none" w:sz="4" w:space="0" w:color="000000"/>
              <w:left w:val="none" w:sz="4" w:space="0" w:color="000000"/>
              <w:bottom w:val="single" w:sz="4" w:space="0" w:color="auto"/>
              <w:right w:val="single" w:sz="4" w:space="0" w:color="auto"/>
            </w:tcBorders>
            <w:vAlign w:val="center"/>
          </w:tcPr>
          <w:p w14:paraId="2B170946"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Ochrana přírody a biologické rozmanitosti, přírodní dědictví a zdroje, zelená a modrá infrastruktura</w:t>
            </w:r>
          </w:p>
        </w:tc>
        <w:tc>
          <w:tcPr>
            <w:tcW w:w="304" w:type="pct"/>
            <w:tcBorders>
              <w:top w:val="none" w:sz="4" w:space="0" w:color="000000"/>
              <w:left w:val="none" w:sz="4" w:space="0" w:color="000000"/>
              <w:bottom w:val="single" w:sz="4" w:space="0" w:color="auto"/>
              <w:right w:val="single" w:sz="4" w:space="0" w:color="auto"/>
            </w:tcBorders>
            <w:vAlign w:val="center"/>
          </w:tcPr>
          <w:p w14:paraId="2DCB9527"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w:t>
            </w:r>
          </w:p>
        </w:tc>
        <w:tc>
          <w:tcPr>
            <w:tcW w:w="259" w:type="pct"/>
            <w:tcBorders>
              <w:top w:val="none" w:sz="4" w:space="0" w:color="000000"/>
              <w:left w:val="none" w:sz="4" w:space="0" w:color="000000"/>
              <w:bottom w:val="single" w:sz="4" w:space="0" w:color="auto"/>
              <w:right w:val="single" w:sz="4" w:space="0" w:color="auto"/>
            </w:tcBorders>
            <w:vAlign w:val="center"/>
          </w:tcPr>
          <w:p w14:paraId="7625C105"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100 %</w:t>
            </w:r>
          </w:p>
        </w:tc>
        <w:tc>
          <w:tcPr>
            <w:tcW w:w="605" w:type="pct"/>
            <w:tcBorders>
              <w:top w:val="none" w:sz="4" w:space="0" w:color="000000"/>
              <w:left w:val="none" w:sz="4" w:space="0" w:color="000000"/>
              <w:bottom w:val="single" w:sz="4" w:space="0" w:color="auto"/>
              <w:right w:val="single" w:sz="4" w:space="0" w:color="auto"/>
            </w:tcBorders>
            <w:vAlign w:val="center"/>
          </w:tcPr>
          <w:p w14:paraId="216AE470"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p w14:paraId="1CCA6DD6" w14:textId="77777777" w:rsidR="00602DCA" w:rsidRDefault="00602DCA">
            <w:pPr>
              <w:spacing w:after="0" w:line="240" w:lineRule="auto"/>
              <w:jc w:val="left"/>
              <w:rPr>
                <w:rFonts w:asciiTheme="minorHAnsi" w:eastAsia="Times New Roman" w:hAnsiTheme="minorHAnsi" w:cstheme="minorHAnsi"/>
                <w:color w:val="000000"/>
                <w:sz w:val="16"/>
                <w:szCs w:val="20"/>
                <w:lang w:eastAsia="cs-CZ"/>
              </w:rPr>
            </w:pPr>
          </w:p>
          <w:p w14:paraId="1CE479B8"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proofErr w:type="gramStart"/>
            <w:r>
              <w:rPr>
                <w:rFonts w:asciiTheme="minorHAnsi" w:eastAsia="Times New Roman" w:hAnsiTheme="minorHAnsi" w:cstheme="minorHAnsi"/>
                <w:color w:val="000000"/>
                <w:sz w:val="16"/>
                <w:szCs w:val="20"/>
                <w:lang w:eastAsia="cs-CZ"/>
              </w:rPr>
              <w:t>CP</w:t>
            </w:r>
            <w:proofErr w:type="gramEnd"/>
            <w:r>
              <w:rPr>
                <w:rFonts w:asciiTheme="minorHAnsi" w:eastAsia="Times New Roman" w:hAnsiTheme="minorHAnsi" w:cstheme="minorHAnsi"/>
                <w:color w:val="000000"/>
                <w:sz w:val="16"/>
                <w:szCs w:val="20"/>
                <w:lang w:eastAsia="cs-CZ"/>
              </w:rPr>
              <w:t xml:space="preserve"> pokud naplnění definice infrastruktury</w:t>
            </w:r>
          </w:p>
        </w:tc>
        <w:tc>
          <w:tcPr>
            <w:tcW w:w="460" w:type="pct"/>
            <w:tcBorders>
              <w:top w:val="none" w:sz="4" w:space="0" w:color="000000"/>
              <w:left w:val="none" w:sz="4" w:space="0" w:color="000000"/>
              <w:bottom w:val="single" w:sz="4" w:space="0" w:color="auto"/>
              <w:right w:val="single" w:sz="4" w:space="0" w:color="auto"/>
            </w:tcBorders>
            <w:vAlign w:val="center"/>
          </w:tcPr>
          <w:p w14:paraId="041E4C8F"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p w14:paraId="196BACB8" w14:textId="77777777" w:rsidR="00602DCA" w:rsidRDefault="00602DCA">
            <w:pPr>
              <w:spacing w:after="0" w:line="240" w:lineRule="auto"/>
              <w:jc w:val="left"/>
              <w:rPr>
                <w:rFonts w:asciiTheme="minorHAnsi" w:eastAsia="Times New Roman" w:hAnsiTheme="minorHAnsi" w:cstheme="minorHAnsi"/>
                <w:color w:val="000000"/>
                <w:sz w:val="16"/>
                <w:szCs w:val="20"/>
                <w:lang w:eastAsia="cs-CZ"/>
              </w:rPr>
            </w:pPr>
          </w:p>
          <w:p w14:paraId="52CDCD1C"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proofErr w:type="gramStart"/>
            <w:r>
              <w:rPr>
                <w:rFonts w:asciiTheme="minorHAnsi" w:eastAsia="Times New Roman" w:hAnsiTheme="minorHAnsi" w:cstheme="minorHAnsi"/>
                <w:color w:val="000000"/>
                <w:sz w:val="16"/>
                <w:szCs w:val="20"/>
                <w:lang w:eastAsia="cs-CZ"/>
              </w:rPr>
              <w:t>CP</w:t>
            </w:r>
            <w:proofErr w:type="gramEnd"/>
            <w:r>
              <w:rPr>
                <w:rFonts w:asciiTheme="minorHAnsi" w:eastAsia="Times New Roman" w:hAnsiTheme="minorHAnsi" w:cstheme="minorHAnsi"/>
                <w:color w:val="000000"/>
                <w:sz w:val="16"/>
                <w:szCs w:val="20"/>
                <w:lang w:eastAsia="cs-CZ"/>
              </w:rPr>
              <w:t xml:space="preserve"> pokud naplnění definice infrastruktury</w:t>
            </w:r>
          </w:p>
        </w:tc>
        <w:tc>
          <w:tcPr>
            <w:tcW w:w="455" w:type="pct"/>
            <w:tcBorders>
              <w:top w:val="none" w:sz="4" w:space="0" w:color="000000"/>
              <w:left w:val="none" w:sz="4" w:space="0" w:color="000000"/>
              <w:bottom w:val="single" w:sz="4" w:space="0" w:color="auto"/>
              <w:right w:val="single" w:sz="4" w:space="0" w:color="auto"/>
            </w:tcBorders>
            <w:vAlign w:val="center"/>
          </w:tcPr>
          <w:p w14:paraId="3C4282D7"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tc>
        <w:tc>
          <w:tcPr>
            <w:tcW w:w="456" w:type="pct"/>
            <w:tcBorders>
              <w:top w:val="none" w:sz="4" w:space="0" w:color="000000"/>
              <w:left w:val="none" w:sz="4" w:space="0" w:color="000000"/>
              <w:bottom w:val="single" w:sz="4" w:space="0" w:color="auto"/>
              <w:right w:val="single" w:sz="4" w:space="0" w:color="auto"/>
            </w:tcBorders>
            <w:vAlign w:val="center"/>
          </w:tcPr>
          <w:p w14:paraId="5EA23983"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tc>
        <w:tc>
          <w:tcPr>
            <w:tcW w:w="461" w:type="pct"/>
            <w:tcBorders>
              <w:top w:val="none" w:sz="4" w:space="0" w:color="000000"/>
              <w:left w:val="none" w:sz="4" w:space="0" w:color="000000"/>
              <w:bottom w:val="single" w:sz="4" w:space="0" w:color="auto"/>
              <w:right w:val="single" w:sz="4" w:space="0" w:color="auto"/>
            </w:tcBorders>
            <w:vAlign w:val="center"/>
          </w:tcPr>
          <w:p w14:paraId="10853467"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tc>
        <w:tc>
          <w:tcPr>
            <w:tcW w:w="429" w:type="pct"/>
            <w:tcBorders>
              <w:top w:val="none" w:sz="4" w:space="0" w:color="000000"/>
              <w:left w:val="none" w:sz="4" w:space="0" w:color="000000"/>
              <w:bottom w:val="single" w:sz="4" w:space="0" w:color="auto"/>
              <w:right w:val="single" w:sz="4" w:space="0" w:color="auto"/>
            </w:tcBorders>
            <w:vAlign w:val="center"/>
          </w:tcPr>
          <w:p w14:paraId="613816C7"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splněno</w:t>
            </w:r>
          </w:p>
        </w:tc>
      </w:tr>
      <w:tr w:rsidR="00602DCA" w14:paraId="690E6DAB" w14:textId="77777777">
        <w:trPr>
          <w:trHeight w:val="20"/>
        </w:trPr>
        <w:tc>
          <w:tcPr>
            <w:tcW w:w="202" w:type="pct"/>
            <w:tcBorders>
              <w:top w:val="none" w:sz="4" w:space="0" w:color="000000"/>
              <w:left w:val="single" w:sz="4" w:space="0" w:color="auto"/>
              <w:bottom w:val="single" w:sz="4" w:space="0" w:color="auto"/>
              <w:right w:val="single" w:sz="4" w:space="0" w:color="auto"/>
            </w:tcBorders>
            <w:vAlign w:val="center"/>
          </w:tcPr>
          <w:p w14:paraId="7813B87E" w14:textId="77777777" w:rsidR="00602DCA" w:rsidRDefault="00C5530C">
            <w:pPr>
              <w:spacing w:after="0" w:line="240" w:lineRule="auto"/>
              <w:jc w:val="righ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80</w:t>
            </w:r>
          </w:p>
        </w:tc>
        <w:tc>
          <w:tcPr>
            <w:tcW w:w="204" w:type="pct"/>
            <w:tcBorders>
              <w:top w:val="none" w:sz="4" w:space="0" w:color="000000"/>
              <w:left w:val="none" w:sz="4" w:space="0" w:color="000000"/>
              <w:bottom w:val="single" w:sz="4" w:space="0" w:color="auto"/>
              <w:right w:val="single" w:sz="4" w:space="0" w:color="auto"/>
            </w:tcBorders>
            <w:vAlign w:val="center"/>
          </w:tcPr>
          <w:p w14:paraId="2799B110" w14:textId="77777777" w:rsidR="00602DCA" w:rsidRDefault="00C5530C">
            <w:pPr>
              <w:spacing w:after="0" w:line="240" w:lineRule="auto"/>
              <w:jc w:val="center"/>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w:t>
            </w:r>
          </w:p>
        </w:tc>
        <w:tc>
          <w:tcPr>
            <w:tcW w:w="1165" w:type="pct"/>
            <w:tcBorders>
              <w:top w:val="none" w:sz="4" w:space="0" w:color="000000"/>
              <w:left w:val="none" w:sz="4" w:space="0" w:color="000000"/>
              <w:bottom w:val="single" w:sz="4" w:space="0" w:color="auto"/>
              <w:right w:val="single" w:sz="4" w:space="0" w:color="auto"/>
            </w:tcBorders>
            <w:vAlign w:val="center"/>
          </w:tcPr>
          <w:p w14:paraId="4E2A6CE2"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Další opatření ke snížení emisí skleníkových plynů v oblasti zachování a obnovy přírodních oblastí s vysokým potenciálem pro pohlcování a ukládání uhlíku, např. zavodňováním rašelinišť a zachycováním skládkových plynů</w:t>
            </w:r>
          </w:p>
        </w:tc>
        <w:tc>
          <w:tcPr>
            <w:tcW w:w="304" w:type="pct"/>
            <w:tcBorders>
              <w:top w:val="none" w:sz="4" w:space="0" w:color="000000"/>
              <w:left w:val="none" w:sz="4" w:space="0" w:color="000000"/>
              <w:bottom w:val="single" w:sz="4" w:space="0" w:color="auto"/>
              <w:right w:val="single" w:sz="4" w:space="0" w:color="auto"/>
            </w:tcBorders>
            <w:vAlign w:val="center"/>
          </w:tcPr>
          <w:p w14:paraId="4C9FEB2C"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100 %</w:t>
            </w:r>
          </w:p>
        </w:tc>
        <w:tc>
          <w:tcPr>
            <w:tcW w:w="259" w:type="pct"/>
            <w:tcBorders>
              <w:top w:val="none" w:sz="4" w:space="0" w:color="000000"/>
              <w:left w:val="none" w:sz="4" w:space="0" w:color="000000"/>
              <w:bottom w:val="single" w:sz="4" w:space="0" w:color="auto"/>
              <w:right w:val="single" w:sz="4" w:space="0" w:color="auto"/>
            </w:tcBorders>
            <w:vAlign w:val="center"/>
          </w:tcPr>
          <w:p w14:paraId="2E0DE55B"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100 %</w:t>
            </w:r>
          </w:p>
        </w:tc>
        <w:tc>
          <w:tcPr>
            <w:tcW w:w="605" w:type="pct"/>
            <w:tcBorders>
              <w:top w:val="none" w:sz="4" w:space="0" w:color="000000"/>
              <w:left w:val="none" w:sz="4" w:space="0" w:color="000000"/>
              <w:bottom w:val="single" w:sz="4" w:space="0" w:color="auto"/>
              <w:right w:val="single" w:sz="4" w:space="0" w:color="auto"/>
            </w:tcBorders>
            <w:vAlign w:val="center"/>
          </w:tcPr>
          <w:p w14:paraId="66249CE3"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splněno</w:t>
            </w:r>
          </w:p>
          <w:p w14:paraId="25A39F96" w14:textId="77777777" w:rsidR="00602DCA" w:rsidRDefault="00602DCA">
            <w:pPr>
              <w:spacing w:after="0" w:line="240" w:lineRule="auto"/>
              <w:jc w:val="left"/>
              <w:rPr>
                <w:rFonts w:asciiTheme="minorHAnsi" w:eastAsia="Times New Roman" w:hAnsiTheme="minorHAnsi" w:cstheme="minorHAnsi"/>
                <w:color w:val="000000"/>
                <w:sz w:val="16"/>
                <w:szCs w:val="20"/>
                <w:lang w:eastAsia="cs-CZ"/>
              </w:rPr>
            </w:pPr>
          </w:p>
          <w:p w14:paraId="112DFF48"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proofErr w:type="gramStart"/>
            <w:r>
              <w:rPr>
                <w:rFonts w:asciiTheme="minorHAnsi" w:eastAsia="Times New Roman" w:hAnsiTheme="minorHAnsi" w:cstheme="minorHAnsi"/>
                <w:color w:val="000000"/>
                <w:sz w:val="16"/>
                <w:szCs w:val="20"/>
                <w:lang w:eastAsia="cs-CZ"/>
              </w:rPr>
              <w:t>CP</w:t>
            </w:r>
            <w:proofErr w:type="gramEnd"/>
            <w:r>
              <w:rPr>
                <w:rFonts w:asciiTheme="minorHAnsi" w:eastAsia="Times New Roman" w:hAnsiTheme="minorHAnsi" w:cstheme="minorHAnsi"/>
                <w:color w:val="000000"/>
                <w:sz w:val="16"/>
                <w:szCs w:val="20"/>
                <w:lang w:eastAsia="cs-CZ"/>
              </w:rPr>
              <w:t xml:space="preserve"> pokud naplnění definice infrastruktury</w:t>
            </w:r>
          </w:p>
        </w:tc>
        <w:tc>
          <w:tcPr>
            <w:tcW w:w="460" w:type="pct"/>
            <w:tcBorders>
              <w:top w:val="none" w:sz="4" w:space="0" w:color="000000"/>
              <w:left w:val="none" w:sz="4" w:space="0" w:color="000000"/>
              <w:bottom w:val="single" w:sz="4" w:space="0" w:color="auto"/>
              <w:right w:val="single" w:sz="4" w:space="0" w:color="auto"/>
            </w:tcBorders>
            <w:vAlign w:val="center"/>
          </w:tcPr>
          <w:p w14:paraId="2CA73311"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p w14:paraId="255ED8B6" w14:textId="77777777" w:rsidR="00602DCA" w:rsidRDefault="00602DCA">
            <w:pPr>
              <w:spacing w:after="0" w:line="240" w:lineRule="auto"/>
              <w:jc w:val="left"/>
              <w:rPr>
                <w:rFonts w:asciiTheme="minorHAnsi" w:eastAsia="Times New Roman" w:hAnsiTheme="minorHAnsi" w:cstheme="minorHAnsi"/>
                <w:color w:val="000000"/>
                <w:sz w:val="16"/>
                <w:szCs w:val="20"/>
                <w:lang w:eastAsia="cs-CZ"/>
              </w:rPr>
            </w:pPr>
          </w:p>
          <w:p w14:paraId="42AC872C"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proofErr w:type="gramStart"/>
            <w:r>
              <w:rPr>
                <w:rFonts w:asciiTheme="minorHAnsi" w:eastAsia="Times New Roman" w:hAnsiTheme="minorHAnsi" w:cstheme="minorHAnsi"/>
                <w:color w:val="000000"/>
                <w:sz w:val="16"/>
                <w:szCs w:val="20"/>
                <w:lang w:eastAsia="cs-CZ"/>
              </w:rPr>
              <w:t>CP</w:t>
            </w:r>
            <w:proofErr w:type="gramEnd"/>
            <w:r>
              <w:rPr>
                <w:rFonts w:asciiTheme="minorHAnsi" w:eastAsia="Times New Roman" w:hAnsiTheme="minorHAnsi" w:cstheme="minorHAnsi"/>
                <w:color w:val="000000"/>
                <w:sz w:val="16"/>
                <w:szCs w:val="20"/>
                <w:lang w:eastAsia="cs-CZ"/>
              </w:rPr>
              <w:t xml:space="preserve"> pokud naplnění definice infrastruktury</w:t>
            </w:r>
          </w:p>
        </w:tc>
        <w:tc>
          <w:tcPr>
            <w:tcW w:w="455" w:type="pct"/>
            <w:tcBorders>
              <w:top w:val="none" w:sz="4" w:space="0" w:color="000000"/>
              <w:left w:val="none" w:sz="4" w:space="0" w:color="000000"/>
              <w:bottom w:val="single" w:sz="4" w:space="0" w:color="auto"/>
              <w:right w:val="single" w:sz="4" w:space="0" w:color="auto"/>
            </w:tcBorders>
            <w:vAlign w:val="center"/>
          </w:tcPr>
          <w:p w14:paraId="6FCA80A4"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splněno</w:t>
            </w:r>
          </w:p>
        </w:tc>
        <w:tc>
          <w:tcPr>
            <w:tcW w:w="456" w:type="pct"/>
            <w:tcBorders>
              <w:top w:val="none" w:sz="4" w:space="0" w:color="000000"/>
              <w:left w:val="none" w:sz="4" w:space="0" w:color="000000"/>
              <w:bottom w:val="single" w:sz="4" w:space="0" w:color="auto"/>
              <w:right w:val="single" w:sz="4" w:space="0" w:color="auto"/>
            </w:tcBorders>
            <w:vAlign w:val="center"/>
          </w:tcPr>
          <w:p w14:paraId="46B615BA"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tc>
        <w:tc>
          <w:tcPr>
            <w:tcW w:w="461" w:type="pct"/>
            <w:tcBorders>
              <w:top w:val="none" w:sz="4" w:space="0" w:color="000000"/>
              <w:left w:val="none" w:sz="4" w:space="0" w:color="000000"/>
              <w:bottom w:val="single" w:sz="4" w:space="0" w:color="auto"/>
              <w:right w:val="single" w:sz="4" w:space="0" w:color="auto"/>
            </w:tcBorders>
            <w:vAlign w:val="center"/>
          </w:tcPr>
          <w:p w14:paraId="526C6E0A"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tc>
        <w:tc>
          <w:tcPr>
            <w:tcW w:w="429" w:type="pct"/>
            <w:tcBorders>
              <w:top w:val="none" w:sz="4" w:space="0" w:color="000000"/>
              <w:left w:val="none" w:sz="4" w:space="0" w:color="000000"/>
              <w:bottom w:val="single" w:sz="4" w:space="0" w:color="auto"/>
              <w:right w:val="single" w:sz="4" w:space="0" w:color="auto"/>
            </w:tcBorders>
            <w:vAlign w:val="center"/>
          </w:tcPr>
          <w:p w14:paraId="24C65DEF"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splněno</w:t>
            </w:r>
          </w:p>
        </w:tc>
      </w:tr>
      <w:tr w:rsidR="00602DCA" w14:paraId="034CCE8E" w14:textId="77777777">
        <w:trPr>
          <w:trHeight w:val="20"/>
        </w:trPr>
        <w:tc>
          <w:tcPr>
            <w:tcW w:w="202" w:type="pct"/>
            <w:tcBorders>
              <w:top w:val="none" w:sz="4" w:space="0" w:color="000000"/>
              <w:left w:val="single" w:sz="4" w:space="0" w:color="auto"/>
              <w:bottom w:val="single" w:sz="4" w:space="0" w:color="auto"/>
              <w:right w:val="single" w:sz="4" w:space="0" w:color="auto"/>
            </w:tcBorders>
            <w:vAlign w:val="center"/>
          </w:tcPr>
          <w:p w14:paraId="69921CC6" w14:textId="77777777" w:rsidR="00602DCA" w:rsidRDefault="00C5530C">
            <w:pPr>
              <w:spacing w:after="0" w:line="240" w:lineRule="auto"/>
              <w:jc w:val="righ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lastRenderedPageBreak/>
              <w:t>81</w:t>
            </w:r>
          </w:p>
        </w:tc>
        <w:tc>
          <w:tcPr>
            <w:tcW w:w="204" w:type="pct"/>
            <w:tcBorders>
              <w:top w:val="none" w:sz="4" w:space="0" w:color="000000"/>
              <w:left w:val="none" w:sz="4" w:space="0" w:color="000000"/>
              <w:bottom w:val="single" w:sz="4" w:space="0" w:color="auto"/>
              <w:right w:val="single" w:sz="4" w:space="0" w:color="auto"/>
            </w:tcBorders>
            <w:vAlign w:val="center"/>
          </w:tcPr>
          <w:p w14:paraId="2566C819" w14:textId="77777777" w:rsidR="00602DCA" w:rsidRDefault="00C5530C">
            <w:pPr>
              <w:spacing w:after="0" w:line="240" w:lineRule="auto"/>
              <w:jc w:val="righ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73</w:t>
            </w:r>
          </w:p>
        </w:tc>
        <w:tc>
          <w:tcPr>
            <w:tcW w:w="1165" w:type="pct"/>
            <w:tcBorders>
              <w:top w:val="none" w:sz="4" w:space="0" w:color="000000"/>
              <w:left w:val="none" w:sz="4" w:space="0" w:color="000000"/>
              <w:bottom w:val="single" w:sz="4" w:space="0" w:color="auto"/>
              <w:right w:val="single" w:sz="4" w:space="0" w:color="auto"/>
            </w:tcBorders>
            <w:vAlign w:val="center"/>
          </w:tcPr>
          <w:p w14:paraId="73173DB2" w14:textId="77777777" w:rsidR="00602DCA" w:rsidRDefault="00602DCA">
            <w:pPr>
              <w:spacing w:after="0" w:line="240" w:lineRule="auto"/>
              <w:rPr>
                <w:rFonts w:asciiTheme="minorHAnsi" w:eastAsia="Times New Roman" w:hAnsiTheme="minorHAnsi" w:cstheme="minorHAnsi"/>
                <w:color w:val="0563C1"/>
                <w:sz w:val="16"/>
                <w:szCs w:val="20"/>
                <w:u w:val="single"/>
                <w:lang w:eastAsia="cs-CZ"/>
              </w:rPr>
            </w:pPr>
            <w:hyperlink r:id="rId175" w:anchor="E0042" w:tooltip="https://eur-lex.europa.eu/legal-content/CS/TXT/?uri=CELEX%3A02021R1060-20210630&amp;qid=1659091609743#E0042" w:history="1">
              <w:r>
                <w:rPr>
                  <w:rFonts w:asciiTheme="minorHAnsi" w:eastAsia="Times New Roman" w:hAnsiTheme="minorHAnsi" w:cstheme="minorHAnsi"/>
                  <w:color w:val="0563C1"/>
                  <w:sz w:val="16"/>
                  <w:szCs w:val="20"/>
                  <w:u w:val="single"/>
                  <w:lang w:eastAsia="cs-CZ"/>
                </w:rPr>
                <w:t>Infrastruktura čisté městské dopravy (21)</w:t>
              </w:r>
            </w:hyperlink>
          </w:p>
        </w:tc>
        <w:tc>
          <w:tcPr>
            <w:tcW w:w="304" w:type="pct"/>
            <w:tcBorders>
              <w:top w:val="none" w:sz="4" w:space="0" w:color="000000"/>
              <w:left w:val="none" w:sz="4" w:space="0" w:color="000000"/>
              <w:bottom w:val="single" w:sz="4" w:space="0" w:color="auto"/>
              <w:right w:val="single" w:sz="4" w:space="0" w:color="auto"/>
            </w:tcBorders>
            <w:vAlign w:val="center"/>
          </w:tcPr>
          <w:p w14:paraId="5DA6D4F7"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100 %</w:t>
            </w:r>
          </w:p>
        </w:tc>
        <w:tc>
          <w:tcPr>
            <w:tcW w:w="259" w:type="pct"/>
            <w:tcBorders>
              <w:top w:val="none" w:sz="4" w:space="0" w:color="000000"/>
              <w:left w:val="none" w:sz="4" w:space="0" w:color="000000"/>
              <w:bottom w:val="single" w:sz="4" w:space="0" w:color="auto"/>
              <w:right w:val="single" w:sz="4" w:space="0" w:color="auto"/>
            </w:tcBorders>
            <w:vAlign w:val="center"/>
          </w:tcPr>
          <w:p w14:paraId="6444F8F2"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w:t>
            </w:r>
          </w:p>
        </w:tc>
        <w:tc>
          <w:tcPr>
            <w:tcW w:w="605" w:type="pct"/>
            <w:tcBorders>
              <w:top w:val="none" w:sz="4" w:space="0" w:color="000000"/>
              <w:left w:val="none" w:sz="4" w:space="0" w:color="000000"/>
              <w:bottom w:val="single" w:sz="4" w:space="0" w:color="auto"/>
              <w:right w:val="single" w:sz="4" w:space="0" w:color="auto"/>
            </w:tcBorders>
            <w:vAlign w:val="center"/>
          </w:tcPr>
          <w:p w14:paraId="450F475C"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splněno</w:t>
            </w:r>
          </w:p>
          <w:p w14:paraId="76318064" w14:textId="77777777" w:rsidR="00602DCA" w:rsidRDefault="00602DCA">
            <w:pPr>
              <w:spacing w:after="0" w:line="240" w:lineRule="auto"/>
              <w:jc w:val="left"/>
              <w:rPr>
                <w:rFonts w:asciiTheme="minorHAnsi" w:eastAsia="Times New Roman" w:hAnsiTheme="minorHAnsi" w:cstheme="minorHAnsi"/>
                <w:color w:val="000000"/>
                <w:sz w:val="16"/>
                <w:szCs w:val="20"/>
                <w:lang w:eastAsia="cs-CZ"/>
              </w:rPr>
            </w:pPr>
          </w:p>
          <w:p w14:paraId="641772B7"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proofErr w:type="gramStart"/>
            <w:r>
              <w:rPr>
                <w:rFonts w:asciiTheme="minorHAnsi" w:eastAsia="Times New Roman" w:hAnsiTheme="minorHAnsi" w:cstheme="minorHAnsi"/>
                <w:color w:val="000000"/>
                <w:sz w:val="16"/>
                <w:szCs w:val="20"/>
                <w:lang w:eastAsia="cs-CZ"/>
              </w:rPr>
              <w:t>CP</w:t>
            </w:r>
            <w:proofErr w:type="gramEnd"/>
            <w:r>
              <w:rPr>
                <w:rFonts w:asciiTheme="minorHAnsi" w:eastAsia="Times New Roman" w:hAnsiTheme="minorHAnsi" w:cstheme="minorHAnsi"/>
                <w:color w:val="000000"/>
                <w:sz w:val="16"/>
                <w:szCs w:val="20"/>
                <w:lang w:eastAsia="cs-CZ"/>
              </w:rPr>
              <w:t xml:space="preserve"> pokud naplnění definice infrastruktury</w:t>
            </w:r>
          </w:p>
        </w:tc>
        <w:tc>
          <w:tcPr>
            <w:tcW w:w="460" w:type="pct"/>
            <w:tcBorders>
              <w:top w:val="none" w:sz="4" w:space="0" w:color="000000"/>
              <w:left w:val="none" w:sz="4" w:space="0" w:color="000000"/>
              <w:bottom w:val="single" w:sz="4" w:space="0" w:color="auto"/>
              <w:right w:val="single" w:sz="4" w:space="0" w:color="auto"/>
            </w:tcBorders>
            <w:vAlign w:val="center"/>
          </w:tcPr>
          <w:p w14:paraId="7298B004"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p w14:paraId="66A58BFA" w14:textId="77777777" w:rsidR="00602DCA" w:rsidRDefault="00602DCA">
            <w:pPr>
              <w:spacing w:after="0" w:line="240" w:lineRule="auto"/>
              <w:jc w:val="left"/>
              <w:rPr>
                <w:rFonts w:asciiTheme="minorHAnsi" w:eastAsia="Times New Roman" w:hAnsiTheme="minorHAnsi" w:cstheme="minorHAnsi"/>
                <w:color w:val="000000"/>
                <w:sz w:val="16"/>
                <w:szCs w:val="20"/>
                <w:lang w:eastAsia="cs-CZ"/>
              </w:rPr>
            </w:pPr>
          </w:p>
          <w:p w14:paraId="77F7DFD7"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proofErr w:type="gramStart"/>
            <w:r>
              <w:rPr>
                <w:rFonts w:asciiTheme="minorHAnsi" w:eastAsia="Times New Roman" w:hAnsiTheme="minorHAnsi" w:cstheme="minorHAnsi"/>
                <w:color w:val="000000"/>
                <w:sz w:val="16"/>
                <w:szCs w:val="20"/>
                <w:lang w:eastAsia="cs-CZ"/>
              </w:rPr>
              <w:t>CP</w:t>
            </w:r>
            <w:proofErr w:type="gramEnd"/>
            <w:r>
              <w:rPr>
                <w:rFonts w:asciiTheme="minorHAnsi" w:eastAsia="Times New Roman" w:hAnsiTheme="minorHAnsi" w:cstheme="minorHAnsi"/>
                <w:color w:val="000000"/>
                <w:sz w:val="16"/>
                <w:szCs w:val="20"/>
                <w:lang w:eastAsia="cs-CZ"/>
              </w:rPr>
              <w:t xml:space="preserve"> pokud naplnění definice infrastruktury</w:t>
            </w:r>
          </w:p>
        </w:tc>
        <w:tc>
          <w:tcPr>
            <w:tcW w:w="455" w:type="pct"/>
            <w:tcBorders>
              <w:top w:val="none" w:sz="4" w:space="0" w:color="000000"/>
              <w:left w:val="none" w:sz="4" w:space="0" w:color="000000"/>
              <w:bottom w:val="single" w:sz="4" w:space="0" w:color="auto"/>
              <w:right w:val="single" w:sz="4" w:space="0" w:color="auto"/>
            </w:tcBorders>
            <w:vAlign w:val="center"/>
          </w:tcPr>
          <w:p w14:paraId="7B533C21"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 není pro DNSH dostatečnou zárukou</w:t>
            </w:r>
          </w:p>
        </w:tc>
        <w:tc>
          <w:tcPr>
            <w:tcW w:w="456" w:type="pct"/>
            <w:tcBorders>
              <w:top w:val="none" w:sz="4" w:space="0" w:color="000000"/>
              <w:left w:val="none" w:sz="4" w:space="0" w:color="000000"/>
              <w:bottom w:val="single" w:sz="4" w:space="0" w:color="auto"/>
              <w:right w:val="single" w:sz="4" w:space="0" w:color="auto"/>
            </w:tcBorders>
            <w:vAlign w:val="center"/>
          </w:tcPr>
          <w:p w14:paraId="4336B619"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 není pro DNSH dostatečnou zárukou</w:t>
            </w:r>
          </w:p>
        </w:tc>
        <w:tc>
          <w:tcPr>
            <w:tcW w:w="461" w:type="pct"/>
            <w:tcBorders>
              <w:top w:val="none" w:sz="4" w:space="0" w:color="000000"/>
              <w:left w:val="none" w:sz="4" w:space="0" w:color="000000"/>
              <w:bottom w:val="single" w:sz="4" w:space="0" w:color="auto"/>
              <w:right w:val="single" w:sz="4" w:space="0" w:color="auto"/>
            </w:tcBorders>
            <w:vAlign w:val="center"/>
          </w:tcPr>
          <w:p w14:paraId="24F4BD84"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 není pro DNSH dostatečnou zárukou</w:t>
            </w:r>
          </w:p>
        </w:tc>
        <w:tc>
          <w:tcPr>
            <w:tcW w:w="429" w:type="pct"/>
            <w:tcBorders>
              <w:top w:val="none" w:sz="4" w:space="0" w:color="000000"/>
              <w:left w:val="none" w:sz="4" w:space="0" w:color="000000"/>
              <w:bottom w:val="single" w:sz="4" w:space="0" w:color="auto"/>
              <w:right w:val="single" w:sz="4" w:space="0" w:color="auto"/>
            </w:tcBorders>
            <w:vAlign w:val="center"/>
          </w:tcPr>
          <w:p w14:paraId="5C174206"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 není pro DNSH dostatečnou zárukou</w:t>
            </w:r>
          </w:p>
        </w:tc>
      </w:tr>
      <w:tr w:rsidR="00602DCA" w14:paraId="097A360D" w14:textId="77777777">
        <w:trPr>
          <w:trHeight w:val="20"/>
        </w:trPr>
        <w:tc>
          <w:tcPr>
            <w:tcW w:w="202" w:type="pct"/>
            <w:tcBorders>
              <w:top w:val="none" w:sz="4" w:space="0" w:color="000000"/>
              <w:left w:val="single" w:sz="4" w:space="0" w:color="auto"/>
              <w:bottom w:val="single" w:sz="4" w:space="0" w:color="auto"/>
              <w:right w:val="single" w:sz="4" w:space="0" w:color="auto"/>
            </w:tcBorders>
            <w:vAlign w:val="center"/>
          </w:tcPr>
          <w:p w14:paraId="349CC00E" w14:textId="77777777" w:rsidR="00602DCA" w:rsidRDefault="00C5530C">
            <w:pPr>
              <w:spacing w:after="0" w:line="240" w:lineRule="auto"/>
              <w:jc w:val="righ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82</w:t>
            </w:r>
          </w:p>
        </w:tc>
        <w:tc>
          <w:tcPr>
            <w:tcW w:w="204" w:type="pct"/>
            <w:tcBorders>
              <w:top w:val="none" w:sz="4" w:space="0" w:color="000000"/>
              <w:left w:val="none" w:sz="4" w:space="0" w:color="000000"/>
              <w:bottom w:val="single" w:sz="4" w:space="0" w:color="auto"/>
              <w:right w:val="single" w:sz="4" w:space="0" w:color="auto"/>
            </w:tcBorders>
            <w:vAlign w:val="center"/>
          </w:tcPr>
          <w:p w14:paraId="7C80A1D7" w14:textId="77777777" w:rsidR="00602DCA" w:rsidRDefault="00C5530C">
            <w:pPr>
              <w:spacing w:after="0" w:line="240" w:lineRule="auto"/>
              <w:jc w:val="righ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74</w:t>
            </w:r>
          </w:p>
        </w:tc>
        <w:tc>
          <w:tcPr>
            <w:tcW w:w="1165" w:type="pct"/>
            <w:tcBorders>
              <w:top w:val="none" w:sz="4" w:space="0" w:color="000000"/>
              <w:left w:val="none" w:sz="4" w:space="0" w:color="000000"/>
              <w:bottom w:val="single" w:sz="4" w:space="0" w:color="auto"/>
              <w:right w:val="single" w:sz="4" w:space="0" w:color="auto"/>
            </w:tcBorders>
            <w:vAlign w:val="center"/>
          </w:tcPr>
          <w:p w14:paraId="6DCDB442" w14:textId="77777777" w:rsidR="00602DCA" w:rsidRDefault="00602DCA">
            <w:pPr>
              <w:spacing w:after="0" w:line="240" w:lineRule="auto"/>
              <w:rPr>
                <w:rFonts w:asciiTheme="minorHAnsi" w:eastAsia="Times New Roman" w:hAnsiTheme="minorHAnsi" w:cstheme="minorHAnsi"/>
                <w:color w:val="0563C1"/>
                <w:sz w:val="16"/>
                <w:szCs w:val="20"/>
                <w:u w:val="single"/>
                <w:lang w:eastAsia="cs-CZ"/>
              </w:rPr>
            </w:pPr>
            <w:hyperlink r:id="rId176" w:anchor="E0043" w:tooltip="https://eur-lex.europa.eu/legal-content/CS/TXT/?uri=CELEX%3A02021R1060-20210630&amp;qid=1659091609743#E0043" w:history="1">
              <w:r>
                <w:rPr>
                  <w:rFonts w:asciiTheme="minorHAnsi" w:eastAsia="Times New Roman" w:hAnsiTheme="minorHAnsi" w:cstheme="minorHAnsi"/>
                  <w:color w:val="0563C1"/>
                  <w:sz w:val="16"/>
                  <w:szCs w:val="20"/>
                  <w:u w:val="single"/>
                  <w:lang w:eastAsia="cs-CZ"/>
                </w:rPr>
                <w:t>Kolejová vozidla čisté městské dopravy (22)</w:t>
              </w:r>
            </w:hyperlink>
          </w:p>
        </w:tc>
        <w:tc>
          <w:tcPr>
            <w:tcW w:w="304" w:type="pct"/>
            <w:tcBorders>
              <w:top w:val="none" w:sz="4" w:space="0" w:color="000000"/>
              <w:left w:val="none" w:sz="4" w:space="0" w:color="000000"/>
              <w:bottom w:val="single" w:sz="4" w:space="0" w:color="auto"/>
              <w:right w:val="single" w:sz="4" w:space="0" w:color="auto"/>
            </w:tcBorders>
            <w:vAlign w:val="center"/>
          </w:tcPr>
          <w:p w14:paraId="07892B43"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100 %</w:t>
            </w:r>
          </w:p>
        </w:tc>
        <w:tc>
          <w:tcPr>
            <w:tcW w:w="259" w:type="pct"/>
            <w:tcBorders>
              <w:top w:val="none" w:sz="4" w:space="0" w:color="000000"/>
              <w:left w:val="none" w:sz="4" w:space="0" w:color="000000"/>
              <w:bottom w:val="single" w:sz="4" w:space="0" w:color="auto"/>
              <w:right w:val="single" w:sz="4" w:space="0" w:color="auto"/>
            </w:tcBorders>
            <w:vAlign w:val="center"/>
          </w:tcPr>
          <w:p w14:paraId="344D5061"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w:t>
            </w:r>
          </w:p>
        </w:tc>
        <w:tc>
          <w:tcPr>
            <w:tcW w:w="605" w:type="pct"/>
            <w:tcBorders>
              <w:top w:val="none" w:sz="4" w:space="0" w:color="000000"/>
              <w:left w:val="none" w:sz="4" w:space="0" w:color="000000"/>
              <w:bottom w:val="single" w:sz="4" w:space="0" w:color="auto"/>
              <w:right w:val="single" w:sz="4" w:space="0" w:color="auto"/>
            </w:tcBorders>
            <w:vAlign w:val="center"/>
          </w:tcPr>
          <w:p w14:paraId="15116512"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splněno</w:t>
            </w:r>
          </w:p>
          <w:p w14:paraId="575F101F" w14:textId="77777777" w:rsidR="00602DCA" w:rsidRDefault="00602DCA">
            <w:pPr>
              <w:spacing w:after="0" w:line="240" w:lineRule="auto"/>
              <w:jc w:val="left"/>
              <w:rPr>
                <w:rFonts w:asciiTheme="minorHAnsi" w:eastAsia="Times New Roman" w:hAnsiTheme="minorHAnsi" w:cstheme="minorHAnsi"/>
                <w:color w:val="000000"/>
                <w:sz w:val="16"/>
                <w:szCs w:val="20"/>
                <w:lang w:eastAsia="cs-CZ"/>
              </w:rPr>
            </w:pPr>
          </w:p>
          <w:p w14:paraId="74FA5205"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proofErr w:type="gramStart"/>
            <w:r>
              <w:rPr>
                <w:rFonts w:asciiTheme="minorHAnsi" w:eastAsia="Times New Roman" w:hAnsiTheme="minorHAnsi" w:cstheme="minorHAnsi"/>
                <w:color w:val="000000"/>
                <w:sz w:val="16"/>
                <w:szCs w:val="20"/>
                <w:lang w:eastAsia="cs-CZ"/>
              </w:rPr>
              <w:t>CP</w:t>
            </w:r>
            <w:proofErr w:type="gramEnd"/>
            <w:r>
              <w:rPr>
                <w:rFonts w:asciiTheme="minorHAnsi" w:eastAsia="Times New Roman" w:hAnsiTheme="minorHAnsi" w:cstheme="minorHAnsi"/>
                <w:color w:val="000000"/>
                <w:sz w:val="16"/>
                <w:szCs w:val="20"/>
                <w:lang w:eastAsia="cs-CZ"/>
              </w:rPr>
              <w:t xml:space="preserve"> pokud naplnění definice infrastruktury</w:t>
            </w:r>
          </w:p>
        </w:tc>
        <w:tc>
          <w:tcPr>
            <w:tcW w:w="460" w:type="pct"/>
            <w:tcBorders>
              <w:top w:val="none" w:sz="4" w:space="0" w:color="000000"/>
              <w:left w:val="none" w:sz="4" w:space="0" w:color="000000"/>
              <w:bottom w:val="single" w:sz="4" w:space="0" w:color="auto"/>
              <w:right w:val="single" w:sz="4" w:space="0" w:color="auto"/>
            </w:tcBorders>
            <w:vAlign w:val="center"/>
          </w:tcPr>
          <w:p w14:paraId="42298513"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p w14:paraId="4DE2FC19" w14:textId="77777777" w:rsidR="00602DCA" w:rsidRDefault="00602DCA">
            <w:pPr>
              <w:spacing w:after="0" w:line="240" w:lineRule="auto"/>
              <w:jc w:val="left"/>
              <w:rPr>
                <w:rFonts w:asciiTheme="minorHAnsi" w:eastAsia="Times New Roman" w:hAnsiTheme="minorHAnsi" w:cstheme="minorHAnsi"/>
                <w:color w:val="000000"/>
                <w:sz w:val="16"/>
                <w:szCs w:val="20"/>
                <w:lang w:eastAsia="cs-CZ"/>
              </w:rPr>
            </w:pPr>
          </w:p>
          <w:p w14:paraId="17EE2EE4"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proofErr w:type="gramStart"/>
            <w:r>
              <w:rPr>
                <w:rFonts w:asciiTheme="minorHAnsi" w:eastAsia="Times New Roman" w:hAnsiTheme="minorHAnsi" w:cstheme="minorHAnsi"/>
                <w:color w:val="000000"/>
                <w:sz w:val="16"/>
                <w:szCs w:val="20"/>
                <w:lang w:eastAsia="cs-CZ"/>
              </w:rPr>
              <w:t>CP</w:t>
            </w:r>
            <w:proofErr w:type="gramEnd"/>
            <w:r>
              <w:rPr>
                <w:rFonts w:asciiTheme="minorHAnsi" w:eastAsia="Times New Roman" w:hAnsiTheme="minorHAnsi" w:cstheme="minorHAnsi"/>
                <w:color w:val="000000"/>
                <w:sz w:val="16"/>
                <w:szCs w:val="20"/>
                <w:lang w:eastAsia="cs-CZ"/>
              </w:rPr>
              <w:t xml:space="preserve"> pokud naplnění definice infrastruktury</w:t>
            </w:r>
          </w:p>
        </w:tc>
        <w:tc>
          <w:tcPr>
            <w:tcW w:w="455" w:type="pct"/>
            <w:tcBorders>
              <w:top w:val="none" w:sz="4" w:space="0" w:color="000000"/>
              <w:left w:val="none" w:sz="4" w:space="0" w:color="000000"/>
              <w:bottom w:val="single" w:sz="4" w:space="0" w:color="auto"/>
              <w:right w:val="single" w:sz="4" w:space="0" w:color="auto"/>
            </w:tcBorders>
            <w:vAlign w:val="center"/>
          </w:tcPr>
          <w:p w14:paraId="27899235"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 není pro DNSH dostatečnou zárukou</w:t>
            </w:r>
          </w:p>
        </w:tc>
        <w:tc>
          <w:tcPr>
            <w:tcW w:w="456" w:type="pct"/>
            <w:tcBorders>
              <w:top w:val="none" w:sz="4" w:space="0" w:color="000000"/>
              <w:left w:val="none" w:sz="4" w:space="0" w:color="000000"/>
              <w:bottom w:val="single" w:sz="4" w:space="0" w:color="auto"/>
              <w:right w:val="single" w:sz="4" w:space="0" w:color="auto"/>
            </w:tcBorders>
            <w:vAlign w:val="center"/>
          </w:tcPr>
          <w:p w14:paraId="63BAC9A1"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 není pro DNSH dostatečnou zárukou</w:t>
            </w:r>
          </w:p>
        </w:tc>
        <w:tc>
          <w:tcPr>
            <w:tcW w:w="461" w:type="pct"/>
            <w:tcBorders>
              <w:top w:val="none" w:sz="4" w:space="0" w:color="000000"/>
              <w:left w:val="none" w:sz="4" w:space="0" w:color="000000"/>
              <w:bottom w:val="single" w:sz="4" w:space="0" w:color="auto"/>
              <w:right w:val="single" w:sz="4" w:space="0" w:color="auto"/>
            </w:tcBorders>
            <w:vAlign w:val="center"/>
          </w:tcPr>
          <w:p w14:paraId="0FD5FF2E"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 není pro DNSH dostatečnou zárukou</w:t>
            </w:r>
          </w:p>
        </w:tc>
        <w:tc>
          <w:tcPr>
            <w:tcW w:w="429" w:type="pct"/>
            <w:tcBorders>
              <w:top w:val="none" w:sz="4" w:space="0" w:color="000000"/>
              <w:left w:val="none" w:sz="4" w:space="0" w:color="000000"/>
              <w:bottom w:val="single" w:sz="4" w:space="0" w:color="auto"/>
              <w:right w:val="single" w:sz="4" w:space="0" w:color="auto"/>
            </w:tcBorders>
            <w:vAlign w:val="center"/>
          </w:tcPr>
          <w:p w14:paraId="1FAB4B73"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 není pro DNSH dostatečnou zárukou</w:t>
            </w:r>
          </w:p>
        </w:tc>
      </w:tr>
      <w:tr w:rsidR="00602DCA" w14:paraId="6126DFDB" w14:textId="77777777">
        <w:trPr>
          <w:trHeight w:val="20"/>
        </w:trPr>
        <w:tc>
          <w:tcPr>
            <w:tcW w:w="202" w:type="pct"/>
            <w:tcBorders>
              <w:top w:val="none" w:sz="4" w:space="0" w:color="000000"/>
              <w:left w:val="single" w:sz="4" w:space="0" w:color="auto"/>
              <w:bottom w:val="single" w:sz="4" w:space="0" w:color="auto"/>
              <w:right w:val="single" w:sz="4" w:space="0" w:color="auto"/>
            </w:tcBorders>
            <w:vAlign w:val="center"/>
          </w:tcPr>
          <w:p w14:paraId="307837D6" w14:textId="77777777" w:rsidR="00602DCA" w:rsidRDefault="00C5530C">
            <w:pPr>
              <w:spacing w:after="0" w:line="240" w:lineRule="auto"/>
              <w:jc w:val="righ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83</w:t>
            </w:r>
          </w:p>
        </w:tc>
        <w:tc>
          <w:tcPr>
            <w:tcW w:w="204" w:type="pct"/>
            <w:tcBorders>
              <w:top w:val="none" w:sz="4" w:space="0" w:color="000000"/>
              <w:left w:val="none" w:sz="4" w:space="0" w:color="000000"/>
              <w:bottom w:val="single" w:sz="4" w:space="0" w:color="auto"/>
              <w:right w:val="single" w:sz="4" w:space="0" w:color="auto"/>
            </w:tcBorders>
            <w:vAlign w:val="center"/>
          </w:tcPr>
          <w:p w14:paraId="0F02DF8B" w14:textId="77777777" w:rsidR="00602DCA" w:rsidRDefault="00C5530C">
            <w:pPr>
              <w:spacing w:after="0" w:line="240" w:lineRule="auto"/>
              <w:jc w:val="righ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75</w:t>
            </w:r>
          </w:p>
        </w:tc>
        <w:tc>
          <w:tcPr>
            <w:tcW w:w="1165" w:type="pct"/>
            <w:tcBorders>
              <w:top w:val="none" w:sz="4" w:space="0" w:color="000000"/>
              <w:left w:val="none" w:sz="4" w:space="0" w:color="000000"/>
              <w:bottom w:val="single" w:sz="4" w:space="0" w:color="auto"/>
              <w:right w:val="single" w:sz="4" w:space="0" w:color="auto"/>
            </w:tcBorders>
            <w:vAlign w:val="center"/>
          </w:tcPr>
          <w:p w14:paraId="7C467FF4"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Cyklistická infrastruktura</w:t>
            </w:r>
          </w:p>
        </w:tc>
        <w:tc>
          <w:tcPr>
            <w:tcW w:w="304" w:type="pct"/>
            <w:tcBorders>
              <w:top w:val="none" w:sz="4" w:space="0" w:color="000000"/>
              <w:left w:val="none" w:sz="4" w:space="0" w:color="000000"/>
              <w:bottom w:val="single" w:sz="4" w:space="0" w:color="auto"/>
              <w:right w:val="single" w:sz="4" w:space="0" w:color="auto"/>
            </w:tcBorders>
            <w:vAlign w:val="center"/>
          </w:tcPr>
          <w:p w14:paraId="37A7B724"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100 %</w:t>
            </w:r>
          </w:p>
        </w:tc>
        <w:tc>
          <w:tcPr>
            <w:tcW w:w="259" w:type="pct"/>
            <w:tcBorders>
              <w:top w:val="none" w:sz="4" w:space="0" w:color="000000"/>
              <w:left w:val="none" w:sz="4" w:space="0" w:color="000000"/>
              <w:bottom w:val="single" w:sz="4" w:space="0" w:color="auto"/>
              <w:right w:val="single" w:sz="4" w:space="0" w:color="auto"/>
            </w:tcBorders>
            <w:vAlign w:val="center"/>
          </w:tcPr>
          <w:p w14:paraId="3829B187"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100 %</w:t>
            </w:r>
          </w:p>
        </w:tc>
        <w:tc>
          <w:tcPr>
            <w:tcW w:w="605" w:type="pct"/>
            <w:tcBorders>
              <w:top w:val="none" w:sz="4" w:space="0" w:color="000000"/>
              <w:left w:val="none" w:sz="4" w:space="0" w:color="000000"/>
              <w:bottom w:val="single" w:sz="4" w:space="0" w:color="auto"/>
              <w:right w:val="single" w:sz="4" w:space="0" w:color="auto"/>
            </w:tcBorders>
            <w:vAlign w:val="center"/>
          </w:tcPr>
          <w:p w14:paraId="328C4C87"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splněno</w:t>
            </w:r>
          </w:p>
          <w:p w14:paraId="4B60B1A2" w14:textId="77777777" w:rsidR="00602DCA" w:rsidRDefault="00602DCA">
            <w:pPr>
              <w:spacing w:after="0" w:line="240" w:lineRule="auto"/>
              <w:jc w:val="left"/>
              <w:rPr>
                <w:rFonts w:asciiTheme="minorHAnsi" w:eastAsia="Times New Roman" w:hAnsiTheme="minorHAnsi" w:cstheme="minorHAnsi"/>
                <w:color w:val="000000"/>
                <w:sz w:val="16"/>
                <w:szCs w:val="20"/>
                <w:lang w:eastAsia="cs-CZ"/>
              </w:rPr>
            </w:pPr>
          </w:p>
          <w:p w14:paraId="578B5E7B"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proofErr w:type="gramStart"/>
            <w:r>
              <w:rPr>
                <w:rFonts w:asciiTheme="minorHAnsi" w:eastAsia="Times New Roman" w:hAnsiTheme="minorHAnsi" w:cstheme="minorHAnsi"/>
                <w:color w:val="000000"/>
                <w:sz w:val="16"/>
                <w:szCs w:val="20"/>
                <w:lang w:eastAsia="cs-CZ"/>
              </w:rPr>
              <w:t>CP</w:t>
            </w:r>
            <w:proofErr w:type="gramEnd"/>
            <w:r>
              <w:rPr>
                <w:rFonts w:asciiTheme="minorHAnsi" w:eastAsia="Times New Roman" w:hAnsiTheme="minorHAnsi" w:cstheme="minorHAnsi"/>
                <w:color w:val="000000"/>
                <w:sz w:val="16"/>
                <w:szCs w:val="20"/>
                <w:lang w:eastAsia="cs-CZ"/>
              </w:rPr>
              <w:t xml:space="preserve"> pokud naplnění definice infrastruktury</w:t>
            </w:r>
          </w:p>
        </w:tc>
        <w:tc>
          <w:tcPr>
            <w:tcW w:w="460" w:type="pct"/>
            <w:tcBorders>
              <w:top w:val="none" w:sz="4" w:space="0" w:color="000000"/>
              <w:left w:val="none" w:sz="4" w:space="0" w:color="000000"/>
              <w:bottom w:val="single" w:sz="4" w:space="0" w:color="auto"/>
              <w:right w:val="single" w:sz="4" w:space="0" w:color="auto"/>
            </w:tcBorders>
            <w:vAlign w:val="center"/>
          </w:tcPr>
          <w:p w14:paraId="18B46B3A"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p w14:paraId="5C82620A" w14:textId="77777777" w:rsidR="00602DCA" w:rsidRDefault="00602DCA">
            <w:pPr>
              <w:spacing w:after="0" w:line="240" w:lineRule="auto"/>
              <w:jc w:val="left"/>
              <w:rPr>
                <w:rFonts w:asciiTheme="minorHAnsi" w:eastAsia="Times New Roman" w:hAnsiTheme="minorHAnsi" w:cstheme="minorHAnsi"/>
                <w:color w:val="000000"/>
                <w:sz w:val="16"/>
                <w:szCs w:val="20"/>
                <w:lang w:eastAsia="cs-CZ"/>
              </w:rPr>
            </w:pPr>
          </w:p>
          <w:p w14:paraId="10F80EE6"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proofErr w:type="gramStart"/>
            <w:r>
              <w:rPr>
                <w:rFonts w:asciiTheme="minorHAnsi" w:eastAsia="Times New Roman" w:hAnsiTheme="minorHAnsi" w:cstheme="minorHAnsi"/>
                <w:color w:val="000000"/>
                <w:sz w:val="16"/>
                <w:szCs w:val="20"/>
                <w:lang w:eastAsia="cs-CZ"/>
              </w:rPr>
              <w:t>CP</w:t>
            </w:r>
            <w:proofErr w:type="gramEnd"/>
            <w:r>
              <w:rPr>
                <w:rFonts w:asciiTheme="minorHAnsi" w:eastAsia="Times New Roman" w:hAnsiTheme="minorHAnsi" w:cstheme="minorHAnsi"/>
                <w:color w:val="000000"/>
                <w:sz w:val="16"/>
                <w:szCs w:val="20"/>
                <w:lang w:eastAsia="cs-CZ"/>
              </w:rPr>
              <w:t xml:space="preserve"> pokud naplnění definice infrastruktury</w:t>
            </w:r>
          </w:p>
        </w:tc>
        <w:tc>
          <w:tcPr>
            <w:tcW w:w="455" w:type="pct"/>
            <w:tcBorders>
              <w:top w:val="none" w:sz="4" w:space="0" w:color="000000"/>
              <w:left w:val="none" w:sz="4" w:space="0" w:color="000000"/>
              <w:bottom w:val="single" w:sz="4" w:space="0" w:color="auto"/>
              <w:right w:val="single" w:sz="4" w:space="0" w:color="auto"/>
            </w:tcBorders>
            <w:vAlign w:val="center"/>
          </w:tcPr>
          <w:p w14:paraId="17604B4C"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tc>
        <w:tc>
          <w:tcPr>
            <w:tcW w:w="456" w:type="pct"/>
            <w:tcBorders>
              <w:top w:val="none" w:sz="4" w:space="0" w:color="000000"/>
              <w:left w:val="none" w:sz="4" w:space="0" w:color="000000"/>
              <w:bottom w:val="single" w:sz="4" w:space="0" w:color="auto"/>
              <w:right w:val="single" w:sz="4" w:space="0" w:color="auto"/>
            </w:tcBorders>
            <w:vAlign w:val="center"/>
          </w:tcPr>
          <w:p w14:paraId="64356FDC"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tc>
        <w:tc>
          <w:tcPr>
            <w:tcW w:w="461" w:type="pct"/>
            <w:tcBorders>
              <w:top w:val="none" w:sz="4" w:space="0" w:color="000000"/>
              <w:left w:val="none" w:sz="4" w:space="0" w:color="000000"/>
              <w:bottom w:val="single" w:sz="4" w:space="0" w:color="auto"/>
              <w:right w:val="single" w:sz="4" w:space="0" w:color="auto"/>
            </w:tcBorders>
            <w:vAlign w:val="center"/>
          </w:tcPr>
          <w:p w14:paraId="71112F2C"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splněno</w:t>
            </w:r>
          </w:p>
        </w:tc>
        <w:tc>
          <w:tcPr>
            <w:tcW w:w="429" w:type="pct"/>
            <w:tcBorders>
              <w:top w:val="none" w:sz="4" w:space="0" w:color="000000"/>
              <w:left w:val="none" w:sz="4" w:space="0" w:color="000000"/>
              <w:bottom w:val="single" w:sz="4" w:space="0" w:color="auto"/>
              <w:right w:val="single" w:sz="4" w:space="0" w:color="auto"/>
            </w:tcBorders>
            <w:vAlign w:val="center"/>
          </w:tcPr>
          <w:p w14:paraId="3B4BAC89"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tc>
      </w:tr>
      <w:tr w:rsidR="00602DCA" w14:paraId="2C201B17" w14:textId="77777777">
        <w:trPr>
          <w:trHeight w:val="20"/>
        </w:trPr>
        <w:tc>
          <w:tcPr>
            <w:tcW w:w="202" w:type="pct"/>
            <w:tcBorders>
              <w:top w:val="none" w:sz="4" w:space="0" w:color="000000"/>
              <w:left w:val="single" w:sz="4" w:space="0" w:color="auto"/>
              <w:bottom w:val="single" w:sz="4" w:space="0" w:color="auto"/>
              <w:right w:val="single" w:sz="4" w:space="0" w:color="auto"/>
            </w:tcBorders>
            <w:vAlign w:val="center"/>
          </w:tcPr>
          <w:p w14:paraId="2B66B777" w14:textId="77777777" w:rsidR="00602DCA" w:rsidRDefault="00C5530C">
            <w:pPr>
              <w:spacing w:after="0" w:line="240" w:lineRule="auto"/>
              <w:jc w:val="righ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85</w:t>
            </w:r>
          </w:p>
        </w:tc>
        <w:tc>
          <w:tcPr>
            <w:tcW w:w="204" w:type="pct"/>
            <w:tcBorders>
              <w:top w:val="none" w:sz="4" w:space="0" w:color="000000"/>
              <w:left w:val="none" w:sz="4" w:space="0" w:color="000000"/>
              <w:bottom w:val="single" w:sz="4" w:space="0" w:color="auto"/>
              <w:right w:val="single" w:sz="4" w:space="0" w:color="auto"/>
            </w:tcBorders>
            <w:vAlign w:val="center"/>
          </w:tcPr>
          <w:p w14:paraId="1E992115" w14:textId="77777777" w:rsidR="00602DCA" w:rsidRDefault="00C5530C">
            <w:pPr>
              <w:spacing w:after="0" w:line="240" w:lineRule="auto"/>
              <w:rPr>
                <w:rFonts w:asciiTheme="minorHAnsi" w:eastAsia="Times New Roman" w:hAnsiTheme="minorHAnsi" w:cstheme="minorHAnsi"/>
                <w:color w:val="000000"/>
                <w:sz w:val="16"/>
                <w:szCs w:val="20"/>
                <w:lang w:eastAsia="cs-CZ"/>
              </w:rPr>
            </w:pPr>
            <w:proofErr w:type="gramStart"/>
            <w:r>
              <w:rPr>
                <w:rFonts w:asciiTheme="minorHAnsi" w:eastAsia="Times New Roman" w:hAnsiTheme="minorHAnsi" w:cstheme="minorHAnsi"/>
                <w:color w:val="000000"/>
                <w:sz w:val="16"/>
                <w:szCs w:val="20"/>
                <w:lang w:eastAsia="cs-CZ"/>
              </w:rPr>
              <w:t>076a</w:t>
            </w:r>
            <w:proofErr w:type="gramEnd"/>
          </w:p>
        </w:tc>
        <w:tc>
          <w:tcPr>
            <w:tcW w:w="1165" w:type="pct"/>
            <w:tcBorders>
              <w:top w:val="none" w:sz="4" w:space="0" w:color="000000"/>
              <w:left w:val="none" w:sz="4" w:space="0" w:color="000000"/>
              <w:bottom w:val="single" w:sz="4" w:space="0" w:color="auto"/>
              <w:right w:val="single" w:sz="4" w:space="0" w:color="auto"/>
            </w:tcBorders>
            <w:vAlign w:val="center"/>
          </w:tcPr>
          <w:p w14:paraId="7396D5BA"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Digitalizace dopravy, pokud je částečně zaměřená na snížení emisí skleníkových plynů: městská doprava</w:t>
            </w:r>
          </w:p>
        </w:tc>
        <w:tc>
          <w:tcPr>
            <w:tcW w:w="304" w:type="pct"/>
            <w:tcBorders>
              <w:top w:val="none" w:sz="4" w:space="0" w:color="000000"/>
              <w:left w:val="none" w:sz="4" w:space="0" w:color="000000"/>
              <w:bottom w:val="single" w:sz="4" w:space="0" w:color="auto"/>
              <w:right w:val="single" w:sz="4" w:space="0" w:color="auto"/>
            </w:tcBorders>
            <w:vAlign w:val="center"/>
          </w:tcPr>
          <w:p w14:paraId="7C923C20"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w:t>
            </w:r>
          </w:p>
        </w:tc>
        <w:tc>
          <w:tcPr>
            <w:tcW w:w="259" w:type="pct"/>
            <w:tcBorders>
              <w:top w:val="none" w:sz="4" w:space="0" w:color="000000"/>
              <w:left w:val="none" w:sz="4" w:space="0" w:color="000000"/>
              <w:bottom w:val="single" w:sz="4" w:space="0" w:color="auto"/>
              <w:right w:val="single" w:sz="4" w:space="0" w:color="auto"/>
            </w:tcBorders>
            <w:vAlign w:val="center"/>
          </w:tcPr>
          <w:p w14:paraId="111985B3"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0 %</w:t>
            </w:r>
          </w:p>
        </w:tc>
        <w:tc>
          <w:tcPr>
            <w:tcW w:w="605" w:type="pct"/>
            <w:tcBorders>
              <w:top w:val="none" w:sz="4" w:space="0" w:color="000000"/>
              <w:left w:val="none" w:sz="4" w:space="0" w:color="000000"/>
              <w:bottom w:val="single" w:sz="4" w:space="0" w:color="auto"/>
              <w:right w:val="single" w:sz="4" w:space="0" w:color="auto"/>
            </w:tcBorders>
            <w:vAlign w:val="center"/>
          </w:tcPr>
          <w:p w14:paraId="1B2AD110"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p w14:paraId="54A30CA8" w14:textId="77777777" w:rsidR="00602DCA" w:rsidRDefault="00602DCA">
            <w:pPr>
              <w:spacing w:after="0" w:line="240" w:lineRule="auto"/>
              <w:jc w:val="left"/>
              <w:rPr>
                <w:rFonts w:asciiTheme="minorHAnsi" w:eastAsia="Times New Roman" w:hAnsiTheme="minorHAnsi" w:cstheme="minorHAnsi"/>
                <w:color w:val="000000"/>
                <w:sz w:val="16"/>
                <w:szCs w:val="20"/>
                <w:lang w:eastAsia="cs-CZ"/>
              </w:rPr>
            </w:pPr>
          </w:p>
          <w:p w14:paraId="0E296B91"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proofErr w:type="gramStart"/>
            <w:r>
              <w:rPr>
                <w:rFonts w:asciiTheme="minorHAnsi" w:eastAsia="Times New Roman" w:hAnsiTheme="minorHAnsi" w:cstheme="minorHAnsi"/>
                <w:color w:val="000000"/>
                <w:sz w:val="16"/>
                <w:szCs w:val="20"/>
                <w:lang w:eastAsia="cs-CZ"/>
              </w:rPr>
              <w:t>CP</w:t>
            </w:r>
            <w:proofErr w:type="gramEnd"/>
            <w:r>
              <w:rPr>
                <w:rFonts w:asciiTheme="minorHAnsi" w:eastAsia="Times New Roman" w:hAnsiTheme="minorHAnsi" w:cstheme="minorHAnsi"/>
                <w:color w:val="000000"/>
                <w:sz w:val="16"/>
                <w:szCs w:val="20"/>
                <w:lang w:eastAsia="cs-CZ"/>
              </w:rPr>
              <w:t xml:space="preserve"> pokud naplnění definice infrastruktury</w:t>
            </w:r>
          </w:p>
        </w:tc>
        <w:tc>
          <w:tcPr>
            <w:tcW w:w="460" w:type="pct"/>
            <w:tcBorders>
              <w:top w:val="none" w:sz="4" w:space="0" w:color="000000"/>
              <w:left w:val="none" w:sz="4" w:space="0" w:color="000000"/>
              <w:bottom w:val="single" w:sz="4" w:space="0" w:color="auto"/>
              <w:right w:val="single" w:sz="4" w:space="0" w:color="auto"/>
            </w:tcBorders>
            <w:vAlign w:val="center"/>
          </w:tcPr>
          <w:p w14:paraId="661047AE"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p w14:paraId="199ACC49" w14:textId="77777777" w:rsidR="00602DCA" w:rsidRDefault="00602DCA">
            <w:pPr>
              <w:spacing w:after="0" w:line="240" w:lineRule="auto"/>
              <w:jc w:val="left"/>
              <w:rPr>
                <w:rFonts w:asciiTheme="minorHAnsi" w:eastAsia="Times New Roman" w:hAnsiTheme="minorHAnsi" w:cstheme="minorHAnsi"/>
                <w:color w:val="000000"/>
                <w:sz w:val="16"/>
                <w:szCs w:val="20"/>
                <w:lang w:eastAsia="cs-CZ"/>
              </w:rPr>
            </w:pPr>
          </w:p>
          <w:p w14:paraId="629BB97A"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proofErr w:type="gramStart"/>
            <w:r>
              <w:rPr>
                <w:rFonts w:asciiTheme="minorHAnsi" w:eastAsia="Times New Roman" w:hAnsiTheme="minorHAnsi" w:cstheme="minorHAnsi"/>
                <w:color w:val="000000"/>
                <w:sz w:val="16"/>
                <w:szCs w:val="20"/>
                <w:lang w:eastAsia="cs-CZ"/>
              </w:rPr>
              <w:t>CP</w:t>
            </w:r>
            <w:proofErr w:type="gramEnd"/>
            <w:r>
              <w:rPr>
                <w:rFonts w:asciiTheme="minorHAnsi" w:eastAsia="Times New Roman" w:hAnsiTheme="minorHAnsi" w:cstheme="minorHAnsi"/>
                <w:color w:val="000000"/>
                <w:sz w:val="16"/>
                <w:szCs w:val="20"/>
                <w:lang w:eastAsia="cs-CZ"/>
              </w:rPr>
              <w:t xml:space="preserve"> pokud naplnění definice infrastruktury</w:t>
            </w:r>
          </w:p>
        </w:tc>
        <w:tc>
          <w:tcPr>
            <w:tcW w:w="455" w:type="pct"/>
            <w:tcBorders>
              <w:top w:val="none" w:sz="4" w:space="0" w:color="000000"/>
              <w:left w:val="none" w:sz="4" w:space="0" w:color="000000"/>
              <w:bottom w:val="single" w:sz="4" w:space="0" w:color="auto"/>
              <w:right w:val="single" w:sz="4" w:space="0" w:color="auto"/>
            </w:tcBorders>
            <w:noWrap/>
            <w:vAlign w:val="center"/>
          </w:tcPr>
          <w:p w14:paraId="0B275690"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tc>
        <w:tc>
          <w:tcPr>
            <w:tcW w:w="456" w:type="pct"/>
            <w:tcBorders>
              <w:top w:val="none" w:sz="4" w:space="0" w:color="000000"/>
              <w:left w:val="none" w:sz="4" w:space="0" w:color="000000"/>
              <w:bottom w:val="single" w:sz="4" w:space="0" w:color="auto"/>
              <w:right w:val="single" w:sz="4" w:space="0" w:color="auto"/>
            </w:tcBorders>
            <w:noWrap/>
            <w:vAlign w:val="center"/>
          </w:tcPr>
          <w:p w14:paraId="7F309299"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tc>
        <w:tc>
          <w:tcPr>
            <w:tcW w:w="461" w:type="pct"/>
            <w:tcBorders>
              <w:top w:val="none" w:sz="4" w:space="0" w:color="000000"/>
              <w:left w:val="none" w:sz="4" w:space="0" w:color="000000"/>
              <w:bottom w:val="single" w:sz="4" w:space="0" w:color="auto"/>
              <w:right w:val="single" w:sz="4" w:space="0" w:color="auto"/>
            </w:tcBorders>
            <w:noWrap/>
            <w:vAlign w:val="center"/>
          </w:tcPr>
          <w:p w14:paraId="0574F1F2"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tc>
        <w:tc>
          <w:tcPr>
            <w:tcW w:w="429" w:type="pct"/>
            <w:tcBorders>
              <w:top w:val="none" w:sz="4" w:space="0" w:color="000000"/>
              <w:left w:val="none" w:sz="4" w:space="0" w:color="000000"/>
              <w:bottom w:val="single" w:sz="4" w:space="0" w:color="auto"/>
              <w:right w:val="single" w:sz="4" w:space="0" w:color="auto"/>
            </w:tcBorders>
            <w:noWrap/>
            <w:vAlign w:val="center"/>
          </w:tcPr>
          <w:p w14:paraId="727275DA"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tc>
      </w:tr>
      <w:tr w:rsidR="00602DCA" w14:paraId="755F88D9" w14:textId="77777777">
        <w:trPr>
          <w:trHeight w:val="20"/>
        </w:trPr>
        <w:tc>
          <w:tcPr>
            <w:tcW w:w="202" w:type="pct"/>
            <w:tcBorders>
              <w:top w:val="none" w:sz="4" w:space="0" w:color="000000"/>
              <w:left w:val="single" w:sz="4" w:space="0" w:color="auto"/>
              <w:bottom w:val="single" w:sz="4" w:space="0" w:color="auto"/>
              <w:right w:val="single" w:sz="4" w:space="0" w:color="auto"/>
            </w:tcBorders>
            <w:vAlign w:val="center"/>
          </w:tcPr>
          <w:p w14:paraId="66BC1499" w14:textId="77777777" w:rsidR="00602DCA" w:rsidRDefault="00C5530C">
            <w:pPr>
              <w:spacing w:after="0" w:line="240" w:lineRule="auto"/>
              <w:jc w:val="righ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86</w:t>
            </w:r>
          </w:p>
        </w:tc>
        <w:tc>
          <w:tcPr>
            <w:tcW w:w="204" w:type="pct"/>
            <w:tcBorders>
              <w:top w:val="none" w:sz="4" w:space="0" w:color="000000"/>
              <w:left w:val="none" w:sz="4" w:space="0" w:color="000000"/>
              <w:bottom w:val="single" w:sz="4" w:space="0" w:color="auto"/>
              <w:right w:val="single" w:sz="4" w:space="0" w:color="auto"/>
            </w:tcBorders>
            <w:vAlign w:val="center"/>
          </w:tcPr>
          <w:p w14:paraId="586F2A37" w14:textId="77777777" w:rsidR="00602DCA" w:rsidRDefault="00C5530C">
            <w:pPr>
              <w:spacing w:after="0" w:line="240" w:lineRule="auto"/>
              <w:jc w:val="righ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77</w:t>
            </w:r>
          </w:p>
        </w:tc>
        <w:tc>
          <w:tcPr>
            <w:tcW w:w="1165" w:type="pct"/>
            <w:tcBorders>
              <w:top w:val="none" w:sz="4" w:space="0" w:color="000000"/>
              <w:left w:val="none" w:sz="4" w:space="0" w:color="000000"/>
              <w:bottom w:val="single" w:sz="4" w:space="0" w:color="auto"/>
              <w:right w:val="single" w:sz="4" w:space="0" w:color="auto"/>
            </w:tcBorders>
            <w:vAlign w:val="center"/>
          </w:tcPr>
          <w:p w14:paraId="3BB36AC1" w14:textId="77777777" w:rsidR="00602DCA" w:rsidRDefault="00602DCA">
            <w:pPr>
              <w:spacing w:after="0" w:line="240" w:lineRule="auto"/>
              <w:rPr>
                <w:rFonts w:asciiTheme="minorHAnsi" w:eastAsia="Times New Roman" w:hAnsiTheme="minorHAnsi" w:cstheme="minorHAnsi"/>
                <w:color w:val="0563C1"/>
                <w:sz w:val="16"/>
                <w:szCs w:val="20"/>
                <w:u w:val="single"/>
                <w:lang w:eastAsia="cs-CZ"/>
              </w:rPr>
            </w:pPr>
            <w:hyperlink r:id="rId177" w:anchor="E0044" w:tooltip="https://eur-lex.europa.eu/legal-content/CS/TXT/?uri=CELEX%3A02021R1060-20210630&amp;qid=1659091609743#E0044" w:history="1">
              <w:r>
                <w:rPr>
                  <w:rFonts w:asciiTheme="minorHAnsi" w:eastAsia="Times New Roman" w:hAnsiTheme="minorHAnsi" w:cstheme="minorHAnsi"/>
                  <w:color w:val="0563C1"/>
                  <w:sz w:val="16"/>
                  <w:szCs w:val="20"/>
                  <w:u w:val="single"/>
                  <w:lang w:eastAsia="cs-CZ"/>
                </w:rPr>
                <w:t>Infrastruktura pro alternativní paliva (23)</w:t>
              </w:r>
            </w:hyperlink>
          </w:p>
        </w:tc>
        <w:tc>
          <w:tcPr>
            <w:tcW w:w="304" w:type="pct"/>
            <w:tcBorders>
              <w:top w:val="none" w:sz="4" w:space="0" w:color="000000"/>
              <w:left w:val="none" w:sz="4" w:space="0" w:color="000000"/>
              <w:bottom w:val="single" w:sz="4" w:space="0" w:color="auto"/>
              <w:right w:val="single" w:sz="4" w:space="0" w:color="auto"/>
            </w:tcBorders>
            <w:vAlign w:val="center"/>
          </w:tcPr>
          <w:p w14:paraId="6D1341BB"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100 %</w:t>
            </w:r>
          </w:p>
        </w:tc>
        <w:tc>
          <w:tcPr>
            <w:tcW w:w="259" w:type="pct"/>
            <w:tcBorders>
              <w:top w:val="none" w:sz="4" w:space="0" w:color="000000"/>
              <w:left w:val="none" w:sz="4" w:space="0" w:color="000000"/>
              <w:bottom w:val="single" w:sz="4" w:space="0" w:color="auto"/>
              <w:right w:val="single" w:sz="4" w:space="0" w:color="auto"/>
            </w:tcBorders>
            <w:vAlign w:val="center"/>
          </w:tcPr>
          <w:p w14:paraId="16CD980D"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w:t>
            </w:r>
          </w:p>
        </w:tc>
        <w:tc>
          <w:tcPr>
            <w:tcW w:w="605" w:type="pct"/>
            <w:tcBorders>
              <w:top w:val="none" w:sz="4" w:space="0" w:color="000000"/>
              <w:left w:val="none" w:sz="4" w:space="0" w:color="000000"/>
              <w:bottom w:val="single" w:sz="4" w:space="0" w:color="auto"/>
              <w:right w:val="single" w:sz="4" w:space="0" w:color="auto"/>
            </w:tcBorders>
            <w:vAlign w:val="center"/>
          </w:tcPr>
          <w:p w14:paraId="684EDA9A"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splněno</w:t>
            </w:r>
          </w:p>
          <w:p w14:paraId="34252268" w14:textId="77777777" w:rsidR="00602DCA" w:rsidRDefault="00602DCA">
            <w:pPr>
              <w:spacing w:after="0" w:line="240" w:lineRule="auto"/>
              <w:jc w:val="left"/>
              <w:rPr>
                <w:rFonts w:asciiTheme="minorHAnsi" w:eastAsia="Times New Roman" w:hAnsiTheme="minorHAnsi" w:cstheme="minorHAnsi"/>
                <w:color w:val="000000"/>
                <w:sz w:val="16"/>
                <w:szCs w:val="20"/>
                <w:lang w:eastAsia="cs-CZ"/>
              </w:rPr>
            </w:pPr>
          </w:p>
          <w:p w14:paraId="0FA5CF2B"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proofErr w:type="gramStart"/>
            <w:r>
              <w:rPr>
                <w:rFonts w:asciiTheme="minorHAnsi" w:eastAsia="Times New Roman" w:hAnsiTheme="minorHAnsi" w:cstheme="minorHAnsi"/>
                <w:color w:val="000000"/>
                <w:sz w:val="16"/>
                <w:szCs w:val="20"/>
                <w:lang w:eastAsia="cs-CZ"/>
              </w:rPr>
              <w:t>CP</w:t>
            </w:r>
            <w:proofErr w:type="gramEnd"/>
            <w:r>
              <w:rPr>
                <w:rFonts w:asciiTheme="minorHAnsi" w:eastAsia="Times New Roman" w:hAnsiTheme="minorHAnsi" w:cstheme="minorHAnsi"/>
                <w:color w:val="000000"/>
                <w:sz w:val="16"/>
                <w:szCs w:val="20"/>
                <w:lang w:eastAsia="cs-CZ"/>
              </w:rPr>
              <w:t xml:space="preserve"> pokud naplnění definice infrastruktury</w:t>
            </w:r>
          </w:p>
        </w:tc>
        <w:tc>
          <w:tcPr>
            <w:tcW w:w="460" w:type="pct"/>
            <w:tcBorders>
              <w:top w:val="none" w:sz="4" w:space="0" w:color="000000"/>
              <w:left w:val="none" w:sz="4" w:space="0" w:color="000000"/>
              <w:bottom w:val="single" w:sz="4" w:space="0" w:color="auto"/>
              <w:right w:val="single" w:sz="4" w:space="0" w:color="auto"/>
            </w:tcBorders>
            <w:vAlign w:val="center"/>
          </w:tcPr>
          <w:p w14:paraId="670960DD"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p w14:paraId="6DD5D99F" w14:textId="77777777" w:rsidR="00602DCA" w:rsidRDefault="00602DCA">
            <w:pPr>
              <w:spacing w:after="0" w:line="240" w:lineRule="auto"/>
              <w:jc w:val="left"/>
              <w:rPr>
                <w:rFonts w:asciiTheme="minorHAnsi" w:eastAsia="Times New Roman" w:hAnsiTheme="minorHAnsi" w:cstheme="minorHAnsi"/>
                <w:color w:val="000000"/>
                <w:sz w:val="16"/>
                <w:szCs w:val="20"/>
                <w:lang w:eastAsia="cs-CZ"/>
              </w:rPr>
            </w:pPr>
          </w:p>
          <w:p w14:paraId="400A92B6"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proofErr w:type="gramStart"/>
            <w:r>
              <w:rPr>
                <w:rFonts w:asciiTheme="minorHAnsi" w:eastAsia="Times New Roman" w:hAnsiTheme="minorHAnsi" w:cstheme="minorHAnsi"/>
                <w:color w:val="000000"/>
                <w:sz w:val="16"/>
                <w:szCs w:val="20"/>
                <w:lang w:eastAsia="cs-CZ"/>
              </w:rPr>
              <w:t>CP</w:t>
            </w:r>
            <w:proofErr w:type="gramEnd"/>
            <w:r>
              <w:rPr>
                <w:rFonts w:asciiTheme="minorHAnsi" w:eastAsia="Times New Roman" w:hAnsiTheme="minorHAnsi" w:cstheme="minorHAnsi"/>
                <w:color w:val="000000"/>
                <w:sz w:val="16"/>
                <w:szCs w:val="20"/>
                <w:lang w:eastAsia="cs-CZ"/>
              </w:rPr>
              <w:t xml:space="preserve"> pokud naplnění definice infrastruktury</w:t>
            </w:r>
          </w:p>
        </w:tc>
        <w:tc>
          <w:tcPr>
            <w:tcW w:w="455" w:type="pct"/>
            <w:tcBorders>
              <w:top w:val="none" w:sz="4" w:space="0" w:color="000000"/>
              <w:left w:val="none" w:sz="4" w:space="0" w:color="000000"/>
              <w:bottom w:val="single" w:sz="4" w:space="0" w:color="auto"/>
              <w:right w:val="single" w:sz="4" w:space="0" w:color="auto"/>
            </w:tcBorders>
            <w:vAlign w:val="center"/>
          </w:tcPr>
          <w:p w14:paraId="70AB23F6"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 není pro DNSH dostatečnou zárukou</w:t>
            </w:r>
          </w:p>
        </w:tc>
        <w:tc>
          <w:tcPr>
            <w:tcW w:w="456" w:type="pct"/>
            <w:tcBorders>
              <w:top w:val="none" w:sz="4" w:space="0" w:color="000000"/>
              <w:left w:val="none" w:sz="4" w:space="0" w:color="000000"/>
              <w:bottom w:val="single" w:sz="4" w:space="0" w:color="auto"/>
              <w:right w:val="single" w:sz="4" w:space="0" w:color="auto"/>
            </w:tcBorders>
            <w:vAlign w:val="center"/>
          </w:tcPr>
          <w:p w14:paraId="708F7805"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 není pro DNSH dostatečnou zárukou</w:t>
            </w:r>
          </w:p>
        </w:tc>
        <w:tc>
          <w:tcPr>
            <w:tcW w:w="461" w:type="pct"/>
            <w:tcBorders>
              <w:top w:val="none" w:sz="4" w:space="0" w:color="000000"/>
              <w:left w:val="none" w:sz="4" w:space="0" w:color="000000"/>
              <w:bottom w:val="single" w:sz="4" w:space="0" w:color="auto"/>
              <w:right w:val="single" w:sz="4" w:space="0" w:color="auto"/>
            </w:tcBorders>
            <w:vAlign w:val="center"/>
          </w:tcPr>
          <w:p w14:paraId="4AFC4822"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 není pro DNSH dostatečnou zárukou</w:t>
            </w:r>
          </w:p>
        </w:tc>
        <w:tc>
          <w:tcPr>
            <w:tcW w:w="429" w:type="pct"/>
            <w:tcBorders>
              <w:top w:val="none" w:sz="4" w:space="0" w:color="000000"/>
              <w:left w:val="none" w:sz="4" w:space="0" w:color="000000"/>
              <w:bottom w:val="single" w:sz="4" w:space="0" w:color="auto"/>
              <w:right w:val="single" w:sz="4" w:space="0" w:color="auto"/>
            </w:tcBorders>
            <w:vAlign w:val="center"/>
          </w:tcPr>
          <w:p w14:paraId="4B6824FB"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 není pro DNSH dostatečnou zárukou</w:t>
            </w:r>
          </w:p>
        </w:tc>
      </w:tr>
      <w:tr w:rsidR="00602DCA" w14:paraId="60FC23D4" w14:textId="77777777">
        <w:trPr>
          <w:trHeight w:val="20"/>
        </w:trPr>
        <w:tc>
          <w:tcPr>
            <w:tcW w:w="5000" w:type="pct"/>
            <w:gridSpan w:val="11"/>
            <w:tcBorders>
              <w:top w:val="single" w:sz="4" w:space="0" w:color="auto"/>
              <w:left w:val="single" w:sz="4" w:space="0" w:color="auto"/>
              <w:bottom w:val="single" w:sz="4" w:space="0" w:color="auto"/>
              <w:right w:val="single" w:sz="4" w:space="0" w:color="auto"/>
            </w:tcBorders>
            <w:vAlign w:val="center"/>
          </w:tcPr>
          <w:p w14:paraId="6D11DA99"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Cíl politiky 3: Propojenější Evropa díky zvyšování mobility</w:t>
            </w:r>
          </w:p>
        </w:tc>
      </w:tr>
      <w:tr w:rsidR="00602DCA" w14:paraId="551D3D49" w14:textId="77777777">
        <w:trPr>
          <w:trHeight w:val="20"/>
        </w:trPr>
        <w:tc>
          <w:tcPr>
            <w:tcW w:w="202" w:type="pct"/>
            <w:tcBorders>
              <w:top w:val="none" w:sz="4" w:space="0" w:color="000000"/>
              <w:left w:val="single" w:sz="4" w:space="0" w:color="auto"/>
              <w:bottom w:val="single" w:sz="4" w:space="0" w:color="auto"/>
              <w:right w:val="single" w:sz="4" w:space="0" w:color="auto"/>
            </w:tcBorders>
            <w:vAlign w:val="center"/>
          </w:tcPr>
          <w:p w14:paraId="43F76CC8" w14:textId="77777777" w:rsidR="00602DCA" w:rsidRDefault="00C5530C">
            <w:pPr>
              <w:spacing w:after="0" w:line="240" w:lineRule="auto"/>
              <w:jc w:val="righ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95</w:t>
            </w:r>
          </w:p>
        </w:tc>
        <w:tc>
          <w:tcPr>
            <w:tcW w:w="204" w:type="pct"/>
            <w:tcBorders>
              <w:top w:val="none" w:sz="4" w:space="0" w:color="000000"/>
              <w:left w:val="none" w:sz="4" w:space="0" w:color="000000"/>
              <w:bottom w:val="single" w:sz="4" w:space="0" w:color="auto"/>
              <w:right w:val="single" w:sz="4" w:space="0" w:color="auto"/>
            </w:tcBorders>
            <w:vAlign w:val="center"/>
          </w:tcPr>
          <w:p w14:paraId="06151CA9" w14:textId="77777777" w:rsidR="00602DCA" w:rsidRDefault="00C5530C">
            <w:pPr>
              <w:spacing w:after="0" w:line="240" w:lineRule="auto"/>
              <w:rPr>
                <w:rFonts w:asciiTheme="minorHAnsi" w:eastAsia="Times New Roman" w:hAnsiTheme="minorHAnsi" w:cstheme="minorHAnsi"/>
                <w:color w:val="000000"/>
                <w:sz w:val="16"/>
                <w:szCs w:val="20"/>
                <w:lang w:eastAsia="cs-CZ"/>
              </w:rPr>
            </w:pPr>
            <w:proofErr w:type="gramStart"/>
            <w:r>
              <w:rPr>
                <w:rFonts w:asciiTheme="minorHAnsi" w:eastAsia="Times New Roman" w:hAnsiTheme="minorHAnsi" w:cstheme="minorHAnsi"/>
                <w:color w:val="000000"/>
                <w:sz w:val="16"/>
                <w:szCs w:val="20"/>
                <w:lang w:eastAsia="cs-CZ"/>
              </w:rPr>
              <w:t>063a</w:t>
            </w:r>
            <w:proofErr w:type="gramEnd"/>
          </w:p>
        </w:tc>
        <w:tc>
          <w:tcPr>
            <w:tcW w:w="1165" w:type="pct"/>
            <w:tcBorders>
              <w:top w:val="none" w:sz="4" w:space="0" w:color="000000"/>
              <w:left w:val="none" w:sz="4" w:space="0" w:color="000000"/>
              <w:bottom w:val="single" w:sz="4" w:space="0" w:color="auto"/>
              <w:right w:val="single" w:sz="4" w:space="0" w:color="auto"/>
            </w:tcBorders>
            <w:vAlign w:val="center"/>
          </w:tcPr>
          <w:p w14:paraId="72F9375D"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Digitalizace dopravy, pokud je částečně zaměřená na snížení emisí skleníkových plynů: silnice</w:t>
            </w:r>
          </w:p>
        </w:tc>
        <w:tc>
          <w:tcPr>
            <w:tcW w:w="304" w:type="pct"/>
            <w:tcBorders>
              <w:top w:val="none" w:sz="4" w:space="0" w:color="000000"/>
              <w:left w:val="none" w:sz="4" w:space="0" w:color="000000"/>
              <w:bottom w:val="single" w:sz="4" w:space="0" w:color="auto"/>
              <w:right w:val="single" w:sz="4" w:space="0" w:color="auto"/>
            </w:tcBorders>
            <w:vAlign w:val="center"/>
          </w:tcPr>
          <w:p w14:paraId="5DCDDEEC"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w:t>
            </w:r>
          </w:p>
        </w:tc>
        <w:tc>
          <w:tcPr>
            <w:tcW w:w="259" w:type="pct"/>
            <w:tcBorders>
              <w:top w:val="none" w:sz="4" w:space="0" w:color="000000"/>
              <w:left w:val="none" w:sz="4" w:space="0" w:color="000000"/>
              <w:bottom w:val="single" w:sz="4" w:space="0" w:color="auto"/>
              <w:right w:val="single" w:sz="4" w:space="0" w:color="auto"/>
            </w:tcBorders>
            <w:vAlign w:val="center"/>
          </w:tcPr>
          <w:p w14:paraId="3DEDF28E"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0 %</w:t>
            </w:r>
          </w:p>
        </w:tc>
        <w:tc>
          <w:tcPr>
            <w:tcW w:w="605" w:type="pct"/>
            <w:tcBorders>
              <w:top w:val="none" w:sz="4" w:space="0" w:color="000000"/>
              <w:left w:val="none" w:sz="4" w:space="0" w:color="000000"/>
              <w:bottom w:val="single" w:sz="4" w:space="0" w:color="auto"/>
              <w:right w:val="single" w:sz="4" w:space="0" w:color="auto"/>
            </w:tcBorders>
            <w:vAlign w:val="center"/>
          </w:tcPr>
          <w:p w14:paraId="6C7EFDDC"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p w14:paraId="5EDDDDAD" w14:textId="77777777" w:rsidR="00602DCA" w:rsidRDefault="00602DCA">
            <w:pPr>
              <w:spacing w:after="0" w:line="240" w:lineRule="auto"/>
              <w:jc w:val="left"/>
              <w:rPr>
                <w:rFonts w:asciiTheme="minorHAnsi" w:eastAsia="Times New Roman" w:hAnsiTheme="minorHAnsi" w:cstheme="minorHAnsi"/>
                <w:color w:val="000000"/>
                <w:sz w:val="16"/>
                <w:szCs w:val="20"/>
                <w:lang w:eastAsia="cs-CZ"/>
              </w:rPr>
            </w:pPr>
          </w:p>
          <w:p w14:paraId="008E2053"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proofErr w:type="gramStart"/>
            <w:r>
              <w:rPr>
                <w:rFonts w:asciiTheme="minorHAnsi" w:eastAsia="Times New Roman" w:hAnsiTheme="minorHAnsi" w:cstheme="minorHAnsi"/>
                <w:color w:val="000000"/>
                <w:sz w:val="16"/>
                <w:szCs w:val="20"/>
                <w:lang w:eastAsia="cs-CZ"/>
              </w:rPr>
              <w:t>CP</w:t>
            </w:r>
            <w:proofErr w:type="gramEnd"/>
            <w:r>
              <w:rPr>
                <w:rFonts w:asciiTheme="minorHAnsi" w:eastAsia="Times New Roman" w:hAnsiTheme="minorHAnsi" w:cstheme="minorHAnsi"/>
                <w:color w:val="000000"/>
                <w:sz w:val="16"/>
                <w:szCs w:val="20"/>
                <w:lang w:eastAsia="cs-CZ"/>
              </w:rPr>
              <w:t xml:space="preserve"> pokud naplnění definice infrastruktury</w:t>
            </w:r>
          </w:p>
        </w:tc>
        <w:tc>
          <w:tcPr>
            <w:tcW w:w="460" w:type="pct"/>
            <w:tcBorders>
              <w:top w:val="none" w:sz="4" w:space="0" w:color="000000"/>
              <w:left w:val="none" w:sz="4" w:space="0" w:color="000000"/>
              <w:bottom w:val="single" w:sz="4" w:space="0" w:color="auto"/>
              <w:right w:val="single" w:sz="4" w:space="0" w:color="auto"/>
            </w:tcBorders>
            <w:vAlign w:val="center"/>
          </w:tcPr>
          <w:p w14:paraId="677AC7E6"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p w14:paraId="6C53A1CA" w14:textId="77777777" w:rsidR="00602DCA" w:rsidRDefault="00602DCA">
            <w:pPr>
              <w:spacing w:after="0" w:line="240" w:lineRule="auto"/>
              <w:jc w:val="left"/>
              <w:rPr>
                <w:rFonts w:asciiTheme="minorHAnsi" w:eastAsia="Times New Roman" w:hAnsiTheme="minorHAnsi" w:cstheme="minorHAnsi"/>
                <w:color w:val="000000"/>
                <w:sz w:val="16"/>
                <w:szCs w:val="20"/>
                <w:lang w:eastAsia="cs-CZ"/>
              </w:rPr>
            </w:pPr>
          </w:p>
          <w:p w14:paraId="5F72A284"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proofErr w:type="gramStart"/>
            <w:r>
              <w:rPr>
                <w:rFonts w:asciiTheme="minorHAnsi" w:eastAsia="Times New Roman" w:hAnsiTheme="minorHAnsi" w:cstheme="minorHAnsi"/>
                <w:color w:val="000000"/>
                <w:sz w:val="16"/>
                <w:szCs w:val="20"/>
                <w:lang w:eastAsia="cs-CZ"/>
              </w:rPr>
              <w:t>CP</w:t>
            </w:r>
            <w:proofErr w:type="gramEnd"/>
            <w:r>
              <w:rPr>
                <w:rFonts w:asciiTheme="minorHAnsi" w:eastAsia="Times New Roman" w:hAnsiTheme="minorHAnsi" w:cstheme="minorHAnsi"/>
                <w:color w:val="000000"/>
                <w:sz w:val="16"/>
                <w:szCs w:val="20"/>
                <w:lang w:eastAsia="cs-CZ"/>
              </w:rPr>
              <w:t xml:space="preserve"> pokud naplnění definice infrastruktury</w:t>
            </w:r>
          </w:p>
        </w:tc>
        <w:tc>
          <w:tcPr>
            <w:tcW w:w="455" w:type="pct"/>
            <w:tcBorders>
              <w:top w:val="none" w:sz="4" w:space="0" w:color="000000"/>
              <w:left w:val="none" w:sz="4" w:space="0" w:color="000000"/>
              <w:bottom w:val="single" w:sz="4" w:space="0" w:color="auto"/>
              <w:right w:val="single" w:sz="4" w:space="0" w:color="auto"/>
            </w:tcBorders>
            <w:noWrap/>
            <w:vAlign w:val="center"/>
          </w:tcPr>
          <w:p w14:paraId="4BD17D97"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tc>
        <w:tc>
          <w:tcPr>
            <w:tcW w:w="456" w:type="pct"/>
            <w:tcBorders>
              <w:top w:val="none" w:sz="4" w:space="0" w:color="000000"/>
              <w:left w:val="none" w:sz="4" w:space="0" w:color="000000"/>
              <w:bottom w:val="single" w:sz="4" w:space="0" w:color="auto"/>
              <w:right w:val="single" w:sz="4" w:space="0" w:color="auto"/>
            </w:tcBorders>
            <w:noWrap/>
            <w:vAlign w:val="center"/>
          </w:tcPr>
          <w:p w14:paraId="3ECBE951"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tc>
        <w:tc>
          <w:tcPr>
            <w:tcW w:w="461" w:type="pct"/>
            <w:tcBorders>
              <w:top w:val="none" w:sz="4" w:space="0" w:color="000000"/>
              <w:left w:val="none" w:sz="4" w:space="0" w:color="000000"/>
              <w:bottom w:val="single" w:sz="4" w:space="0" w:color="auto"/>
              <w:right w:val="single" w:sz="4" w:space="0" w:color="auto"/>
            </w:tcBorders>
            <w:noWrap/>
            <w:vAlign w:val="center"/>
          </w:tcPr>
          <w:p w14:paraId="2FC28BA3"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tc>
        <w:tc>
          <w:tcPr>
            <w:tcW w:w="429" w:type="pct"/>
            <w:tcBorders>
              <w:top w:val="none" w:sz="4" w:space="0" w:color="000000"/>
              <w:left w:val="none" w:sz="4" w:space="0" w:color="000000"/>
              <w:bottom w:val="single" w:sz="4" w:space="0" w:color="auto"/>
              <w:right w:val="single" w:sz="4" w:space="0" w:color="auto"/>
            </w:tcBorders>
            <w:noWrap/>
            <w:vAlign w:val="center"/>
          </w:tcPr>
          <w:p w14:paraId="5573C36E"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tc>
      </w:tr>
      <w:tr w:rsidR="00602DCA" w14:paraId="1F8B9F3B" w14:textId="77777777">
        <w:trPr>
          <w:trHeight w:val="20"/>
        </w:trPr>
        <w:tc>
          <w:tcPr>
            <w:tcW w:w="202" w:type="pct"/>
            <w:tcBorders>
              <w:top w:val="none" w:sz="4" w:space="0" w:color="000000"/>
              <w:left w:val="single" w:sz="4" w:space="0" w:color="auto"/>
              <w:bottom w:val="single" w:sz="4" w:space="0" w:color="auto"/>
              <w:right w:val="single" w:sz="4" w:space="0" w:color="auto"/>
            </w:tcBorders>
            <w:vAlign w:val="center"/>
          </w:tcPr>
          <w:p w14:paraId="5DC4E9B1" w14:textId="77777777" w:rsidR="00602DCA" w:rsidRDefault="00C5530C">
            <w:pPr>
              <w:spacing w:after="0" w:line="240" w:lineRule="auto"/>
              <w:jc w:val="righ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96</w:t>
            </w:r>
          </w:p>
        </w:tc>
        <w:tc>
          <w:tcPr>
            <w:tcW w:w="204" w:type="pct"/>
            <w:tcBorders>
              <w:top w:val="none" w:sz="4" w:space="0" w:color="000000"/>
              <w:left w:val="none" w:sz="4" w:space="0" w:color="000000"/>
              <w:bottom w:val="single" w:sz="4" w:space="0" w:color="auto"/>
              <w:right w:val="single" w:sz="4" w:space="0" w:color="auto"/>
            </w:tcBorders>
            <w:vAlign w:val="center"/>
          </w:tcPr>
          <w:p w14:paraId="664612C6" w14:textId="77777777" w:rsidR="00602DCA" w:rsidRDefault="00C5530C">
            <w:pPr>
              <w:spacing w:after="0" w:line="240" w:lineRule="auto"/>
              <w:jc w:val="righ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64</w:t>
            </w:r>
          </w:p>
        </w:tc>
        <w:tc>
          <w:tcPr>
            <w:tcW w:w="1165" w:type="pct"/>
            <w:tcBorders>
              <w:top w:val="none" w:sz="4" w:space="0" w:color="000000"/>
              <w:left w:val="none" w:sz="4" w:space="0" w:color="000000"/>
              <w:bottom w:val="single" w:sz="4" w:space="0" w:color="auto"/>
              <w:right w:val="single" w:sz="4" w:space="0" w:color="auto"/>
            </w:tcBorders>
            <w:vAlign w:val="center"/>
          </w:tcPr>
          <w:p w14:paraId="294B3037"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Nově postavené nebo renovované železnice – hlavní síť TEN-T</w:t>
            </w:r>
          </w:p>
        </w:tc>
        <w:tc>
          <w:tcPr>
            <w:tcW w:w="304" w:type="pct"/>
            <w:tcBorders>
              <w:top w:val="none" w:sz="4" w:space="0" w:color="000000"/>
              <w:left w:val="none" w:sz="4" w:space="0" w:color="000000"/>
              <w:bottom w:val="single" w:sz="4" w:space="0" w:color="auto"/>
              <w:right w:val="single" w:sz="4" w:space="0" w:color="auto"/>
            </w:tcBorders>
            <w:vAlign w:val="center"/>
          </w:tcPr>
          <w:p w14:paraId="4485723D"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100 %</w:t>
            </w:r>
          </w:p>
        </w:tc>
        <w:tc>
          <w:tcPr>
            <w:tcW w:w="259" w:type="pct"/>
            <w:tcBorders>
              <w:top w:val="none" w:sz="4" w:space="0" w:color="000000"/>
              <w:left w:val="none" w:sz="4" w:space="0" w:color="000000"/>
              <w:bottom w:val="single" w:sz="4" w:space="0" w:color="auto"/>
              <w:right w:val="single" w:sz="4" w:space="0" w:color="auto"/>
            </w:tcBorders>
            <w:vAlign w:val="center"/>
          </w:tcPr>
          <w:p w14:paraId="4E7C7A35"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w:t>
            </w:r>
          </w:p>
        </w:tc>
        <w:tc>
          <w:tcPr>
            <w:tcW w:w="605" w:type="pct"/>
            <w:tcBorders>
              <w:top w:val="none" w:sz="4" w:space="0" w:color="000000"/>
              <w:left w:val="none" w:sz="4" w:space="0" w:color="000000"/>
              <w:bottom w:val="single" w:sz="4" w:space="0" w:color="auto"/>
              <w:right w:val="single" w:sz="4" w:space="0" w:color="auto"/>
            </w:tcBorders>
            <w:vAlign w:val="center"/>
          </w:tcPr>
          <w:p w14:paraId="18691A40"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splněno</w:t>
            </w:r>
          </w:p>
          <w:p w14:paraId="1320B84F" w14:textId="77777777" w:rsidR="00602DCA" w:rsidRDefault="00602DCA">
            <w:pPr>
              <w:spacing w:after="0" w:line="240" w:lineRule="auto"/>
              <w:jc w:val="left"/>
              <w:rPr>
                <w:rFonts w:asciiTheme="minorHAnsi" w:eastAsia="Times New Roman" w:hAnsiTheme="minorHAnsi" w:cstheme="minorHAnsi"/>
                <w:color w:val="000000"/>
                <w:sz w:val="16"/>
                <w:szCs w:val="20"/>
                <w:lang w:eastAsia="cs-CZ"/>
              </w:rPr>
            </w:pPr>
          </w:p>
          <w:p w14:paraId="694B64DF"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proofErr w:type="gramStart"/>
            <w:r>
              <w:rPr>
                <w:rFonts w:asciiTheme="minorHAnsi" w:eastAsia="Times New Roman" w:hAnsiTheme="minorHAnsi" w:cstheme="minorHAnsi"/>
                <w:color w:val="000000"/>
                <w:sz w:val="16"/>
                <w:szCs w:val="20"/>
                <w:lang w:eastAsia="cs-CZ"/>
              </w:rPr>
              <w:t>CP</w:t>
            </w:r>
            <w:proofErr w:type="gramEnd"/>
            <w:r>
              <w:rPr>
                <w:rFonts w:asciiTheme="minorHAnsi" w:eastAsia="Times New Roman" w:hAnsiTheme="minorHAnsi" w:cstheme="minorHAnsi"/>
                <w:color w:val="000000"/>
                <w:sz w:val="16"/>
                <w:szCs w:val="20"/>
                <w:lang w:eastAsia="cs-CZ"/>
              </w:rPr>
              <w:t xml:space="preserve"> pokud naplnění definice infrastruktury</w:t>
            </w:r>
          </w:p>
        </w:tc>
        <w:tc>
          <w:tcPr>
            <w:tcW w:w="460" w:type="pct"/>
            <w:tcBorders>
              <w:top w:val="none" w:sz="4" w:space="0" w:color="000000"/>
              <w:left w:val="none" w:sz="4" w:space="0" w:color="000000"/>
              <w:bottom w:val="single" w:sz="4" w:space="0" w:color="auto"/>
              <w:right w:val="single" w:sz="4" w:space="0" w:color="auto"/>
            </w:tcBorders>
            <w:vAlign w:val="center"/>
          </w:tcPr>
          <w:p w14:paraId="0C69A55E"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p w14:paraId="4BF9BF45" w14:textId="77777777" w:rsidR="00602DCA" w:rsidRDefault="00602DCA">
            <w:pPr>
              <w:spacing w:after="0" w:line="240" w:lineRule="auto"/>
              <w:jc w:val="left"/>
              <w:rPr>
                <w:rFonts w:asciiTheme="minorHAnsi" w:eastAsia="Times New Roman" w:hAnsiTheme="minorHAnsi" w:cstheme="minorHAnsi"/>
                <w:color w:val="000000"/>
                <w:sz w:val="16"/>
                <w:szCs w:val="20"/>
                <w:lang w:eastAsia="cs-CZ"/>
              </w:rPr>
            </w:pPr>
          </w:p>
          <w:p w14:paraId="472B95C7"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proofErr w:type="gramStart"/>
            <w:r>
              <w:rPr>
                <w:rFonts w:asciiTheme="minorHAnsi" w:eastAsia="Times New Roman" w:hAnsiTheme="minorHAnsi" w:cstheme="minorHAnsi"/>
                <w:color w:val="000000"/>
                <w:sz w:val="16"/>
                <w:szCs w:val="20"/>
                <w:lang w:eastAsia="cs-CZ"/>
              </w:rPr>
              <w:t>CP</w:t>
            </w:r>
            <w:proofErr w:type="gramEnd"/>
            <w:r>
              <w:rPr>
                <w:rFonts w:asciiTheme="minorHAnsi" w:eastAsia="Times New Roman" w:hAnsiTheme="minorHAnsi" w:cstheme="minorHAnsi"/>
                <w:color w:val="000000"/>
                <w:sz w:val="16"/>
                <w:szCs w:val="20"/>
                <w:lang w:eastAsia="cs-CZ"/>
              </w:rPr>
              <w:t xml:space="preserve"> pokud naplnění definice infrastruktury</w:t>
            </w:r>
          </w:p>
        </w:tc>
        <w:tc>
          <w:tcPr>
            <w:tcW w:w="455" w:type="pct"/>
            <w:tcBorders>
              <w:top w:val="none" w:sz="4" w:space="0" w:color="000000"/>
              <w:left w:val="none" w:sz="4" w:space="0" w:color="000000"/>
              <w:bottom w:val="single" w:sz="4" w:space="0" w:color="auto"/>
              <w:right w:val="single" w:sz="4" w:space="0" w:color="auto"/>
            </w:tcBorders>
            <w:vAlign w:val="center"/>
          </w:tcPr>
          <w:p w14:paraId="6E1DD9B8"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 není pro DNSH dostatečnou zárukou</w:t>
            </w:r>
          </w:p>
        </w:tc>
        <w:tc>
          <w:tcPr>
            <w:tcW w:w="456" w:type="pct"/>
            <w:tcBorders>
              <w:top w:val="none" w:sz="4" w:space="0" w:color="000000"/>
              <w:left w:val="none" w:sz="4" w:space="0" w:color="000000"/>
              <w:bottom w:val="single" w:sz="4" w:space="0" w:color="auto"/>
              <w:right w:val="single" w:sz="4" w:space="0" w:color="auto"/>
            </w:tcBorders>
            <w:vAlign w:val="center"/>
          </w:tcPr>
          <w:p w14:paraId="0A364D4D"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 není pro DNSH dostatečnou zárukou</w:t>
            </w:r>
          </w:p>
        </w:tc>
        <w:tc>
          <w:tcPr>
            <w:tcW w:w="461" w:type="pct"/>
            <w:tcBorders>
              <w:top w:val="none" w:sz="4" w:space="0" w:color="000000"/>
              <w:left w:val="none" w:sz="4" w:space="0" w:color="000000"/>
              <w:bottom w:val="single" w:sz="4" w:space="0" w:color="auto"/>
              <w:right w:val="single" w:sz="4" w:space="0" w:color="auto"/>
            </w:tcBorders>
            <w:vAlign w:val="center"/>
          </w:tcPr>
          <w:p w14:paraId="60403459"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 není pro DNSH dostatečnou zárukou</w:t>
            </w:r>
          </w:p>
        </w:tc>
        <w:tc>
          <w:tcPr>
            <w:tcW w:w="429" w:type="pct"/>
            <w:tcBorders>
              <w:top w:val="none" w:sz="4" w:space="0" w:color="000000"/>
              <w:left w:val="none" w:sz="4" w:space="0" w:color="000000"/>
              <w:bottom w:val="single" w:sz="4" w:space="0" w:color="auto"/>
              <w:right w:val="single" w:sz="4" w:space="0" w:color="auto"/>
            </w:tcBorders>
            <w:vAlign w:val="center"/>
          </w:tcPr>
          <w:p w14:paraId="1A252F13"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 není pro DNSH dostatečnou zárukou</w:t>
            </w:r>
          </w:p>
        </w:tc>
      </w:tr>
      <w:tr w:rsidR="00602DCA" w14:paraId="0FF21236" w14:textId="77777777">
        <w:trPr>
          <w:trHeight w:val="20"/>
        </w:trPr>
        <w:tc>
          <w:tcPr>
            <w:tcW w:w="202" w:type="pct"/>
            <w:tcBorders>
              <w:top w:val="none" w:sz="4" w:space="0" w:color="000000"/>
              <w:left w:val="single" w:sz="4" w:space="0" w:color="auto"/>
              <w:bottom w:val="single" w:sz="4" w:space="0" w:color="auto"/>
              <w:right w:val="single" w:sz="4" w:space="0" w:color="auto"/>
            </w:tcBorders>
            <w:vAlign w:val="center"/>
          </w:tcPr>
          <w:p w14:paraId="4A685E2B" w14:textId="77777777" w:rsidR="00602DCA" w:rsidRDefault="00C5530C">
            <w:pPr>
              <w:spacing w:after="0" w:line="240" w:lineRule="auto"/>
              <w:jc w:val="righ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97</w:t>
            </w:r>
          </w:p>
        </w:tc>
        <w:tc>
          <w:tcPr>
            <w:tcW w:w="204" w:type="pct"/>
            <w:tcBorders>
              <w:top w:val="none" w:sz="4" w:space="0" w:color="000000"/>
              <w:left w:val="none" w:sz="4" w:space="0" w:color="000000"/>
              <w:bottom w:val="single" w:sz="4" w:space="0" w:color="auto"/>
              <w:right w:val="single" w:sz="4" w:space="0" w:color="auto"/>
            </w:tcBorders>
            <w:vAlign w:val="center"/>
          </w:tcPr>
          <w:p w14:paraId="20F17941" w14:textId="77777777" w:rsidR="00602DCA" w:rsidRDefault="00C5530C">
            <w:pPr>
              <w:spacing w:after="0" w:line="240" w:lineRule="auto"/>
              <w:jc w:val="righ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65</w:t>
            </w:r>
          </w:p>
        </w:tc>
        <w:tc>
          <w:tcPr>
            <w:tcW w:w="1165" w:type="pct"/>
            <w:tcBorders>
              <w:top w:val="none" w:sz="4" w:space="0" w:color="000000"/>
              <w:left w:val="none" w:sz="4" w:space="0" w:color="000000"/>
              <w:bottom w:val="single" w:sz="4" w:space="0" w:color="auto"/>
              <w:right w:val="single" w:sz="4" w:space="0" w:color="auto"/>
            </w:tcBorders>
            <w:vAlign w:val="center"/>
          </w:tcPr>
          <w:p w14:paraId="6AC58016"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Nově postavené nebo renovované železnice – globální síť TEN-T</w:t>
            </w:r>
          </w:p>
        </w:tc>
        <w:tc>
          <w:tcPr>
            <w:tcW w:w="304" w:type="pct"/>
            <w:tcBorders>
              <w:top w:val="none" w:sz="4" w:space="0" w:color="000000"/>
              <w:left w:val="none" w:sz="4" w:space="0" w:color="000000"/>
              <w:bottom w:val="single" w:sz="4" w:space="0" w:color="auto"/>
              <w:right w:val="single" w:sz="4" w:space="0" w:color="auto"/>
            </w:tcBorders>
            <w:vAlign w:val="center"/>
          </w:tcPr>
          <w:p w14:paraId="35CFC527"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100 %</w:t>
            </w:r>
          </w:p>
        </w:tc>
        <w:tc>
          <w:tcPr>
            <w:tcW w:w="259" w:type="pct"/>
            <w:tcBorders>
              <w:top w:val="none" w:sz="4" w:space="0" w:color="000000"/>
              <w:left w:val="none" w:sz="4" w:space="0" w:color="000000"/>
              <w:bottom w:val="single" w:sz="4" w:space="0" w:color="auto"/>
              <w:right w:val="single" w:sz="4" w:space="0" w:color="auto"/>
            </w:tcBorders>
            <w:vAlign w:val="center"/>
          </w:tcPr>
          <w:p w14:paraId="7ECB3810"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w:t>
            </w:r>
          </w:p>
        </w:tc>
        <w:tc>
          <w:tcPr>
            <w:tcW w:w="605" w:type="pct"/>
            <w:tcBorders>
              <w:top w:val="none" w:sz="4" w:space="0" w:color="000000"/>
              <w:left w:val="none" w:sz="4" w:space="0" w:color="000000"/>
              <w:bottom w:val="single" w:sz="4" w:space="0" w:color="auto"/>
              <w:right w:val="single" w:sz="4" w:space="0" w:color="auto"/>
            </w:tcBorders>
            <w:vAlign w:val="center"/>
          </w:tcPr>
          <w:p w14:paraId="5532C847"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splněno</w:t>
            </w:r>
          </w:p>
          <w:p w14:paraId="183A3F69" w14:textId="77777777" w:rsidR="00602DCA" w:rsidRDefault="00602DCA">
            <w:pPr>
              <w:spacing w:after="0" w:line="240" w:lineRule="auto"/>
              <w:jc w:val="left"/>
              <w:rPr>
                <w:rFonts w:asciiTheme="minorHAnsi" w:eastAsia="Times New Roman" w:hAnsiTheme="minorHAnsi" w:cstheme="minorHAnsi"/>
                <w:color w:val="000000"/>
                <w:sz w:val="16"/>
                <w:szCs w:val="20"/>
                <w:lang w:eastAsia="cs-CZ"/>
              </w:rPr>
            </w:pPr>
          </w:p>
          <w:p w14:paraId="0D9F5D0A"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proofErr w:type="gramStart"/>
            <w:r>
              <w:rPr>
                <w:rFonts w:asciiTheme="minorHAnsi" w:eastAsia="Times New Roman" w:hAnsiTheme="minorHAnsi" w:cstheme="minorHAnsi"/>
                <w:color w:val="000000"/>
                <w:sz w:val="16"/>
                <w:szCs w:val="20"/>
                <w:lang w:eastAsia="cs-CZ"/>
              </w:rPr>
              <w:lastRenderedPageBreak/>
              <w:t>CP</w:t>
            </w:r>
            <w:proofErr w:type="gramEnd"/>
            <w:r>
              <w:rPr>
                <w:rFonts w:asciiTheme="minorHAnsi" w:eastAsia="Times New Roman" w:hAnsiTheme="minorHAnsi" w:cstheme="minorHAnsi"/>
                <w:color w:val="000000"/>
                <w:sz w:val="16"/>
                <w:szCs w:val="20"/>
                <w:lang w:eastAsia="cs-CZ"/>
              </w:rPr>
              <w:t xml:space="preserve"> pokud naplnění definice infrastruktury</w:t>
            </w:r>
          </w:p>
        </w:tc>
        <w:tc>
          <w:tcPr>
            <w:tcW w:w="460" w:type="pct"/>
            <w:tcBorders>
              <w:top w:val="none" w:sz="4" w:space="0" w:color="000000"/>
              <w:left w:val="none" w:sz="4" w:space="0" w:color="000000"/>
              <w:bottom w:val="single" w:sz="4" w:space="0" w:color="auto"/>
              <w:right w:val="single" w:sz="4" w:space="0" w:color="auto"/>
            </w:tcBorders>
            <w:vAlign w:val="center"/>
          </w:tcPr>
          <w:p w14:paraId="35C0FD75"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lastRenderedPageBreak/>
              <w:t>DNSH nutné posoudit</w:t>
            </w:r>
          </w:p>
          <w:p w14:paraId="47C84D84" w14:textId="77777777" w:rsidR="00602DCA" w:rsidRDefault="00602DCA">
            <w:pPr>
              <w:spacing w:after="0" w:line="240" w:lineRule="auto"/>
              <w:jc w:val="left"/>
              <w:rPr>
                <w:rFonts w:asciiTheme="minorHAnsi" w:eastAsia="Times New Roman" w:hAnsiTheme="minorHAnsi" w:cstheme="minorHAnsi"/>
                <w:color w:val="000000"/>
                <w:sz w:val="16"/>
                <w:szCs w:val="20"/>
                <w:lang w:eastAsia="cs-CZ"/>
              </w:rPr>
            </w:pPr>
          </w:p>
          <w:p w14:paraId="6A529CE3"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proofErr w:type="gramStart"/>
            <w:r>
              <w:rPr>
                <w:rFonts w:asciiTheme="minorHAnsi" w:eastAsia="Times New Roman" w:hAnsiTheme="minorHAnsi" w:cstheme="minorHAnsi"/>
                <w:color w:val="000000"/>
                <w:sz w:val="16"/>
                <w:szCs w:val="20"/>
                <w:lang w:eastAsia="cs-CZ"/>
              </w:rPr>
              <w:t>CP</w:t>
            </w:r>
            <w:proofErr w:type="gramEnd"/>
            <w:r>
              <w:rPr>
                <w:rFonts w:asciiTheme="minorHAnsi" w:eastAsia="Times New Roman" w:hAnsiTheme="minorHAnsi" w:cstheme="minorHAnsi"/>
                <w:color w:val="000000"/>
                <w:sz w:val="16"/>
                <w:szCs w:val="20"/>
                <w:lang w:eastAsia="cs-CZ"/>
              </w:rPr>
              <w:t xml:space="preserve"> pokud naplnění definice infrastruktury</w:t>
            </w:r>
          </w:p>
        </w:tc>
        <w:tc>
          <w:tcPr>
            <w:tcW w:w="455" w:type="pct"/>
            <w:tcBorders>
              <w:top w:val="none" w:sz="4" w:space="0" w:color="000000"/>
              <w:left w:val="none" w:sz="4" w:space="0" w:color="000000"/>
              <w:bottom w:val="single" w:sz="4" w:space="0" w:color="auto"/>
              <w:right w:val="single" w:sz="4" w:space="0" w:color="auto"/>
            </w:tcBorders>
            <w:vAlign w:val="center"/>
          </w:tcPr>
          <w:p w14:paraId="7E59ABCB"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lastRenderedPageBreak/>
              <w:t xml:space="preserve">40 % není pro DNSH </w:t>
            </w:r>
            <w:r>
              <w:rPr>
                <w:rFonts w:asciiTheme="minorHAnsi" w:eastAsia="Times New Roman" w:hAnsiTheme="minorHAnsi" w:cstheme="minorHAnsi"/>
                <w:color w:val="000000"/>
                <w:sz w:val="16"/>
                <w:szCs w:val="20"/>
                <w:lang w:eastAsia="cs-CZ"/>
              </w:rPr>
              <w:lastRenderedPageBreak/>
              <w:t>dostatečnou zárukou</w:t>
            </w:r>
          </w:p>
        </w:tc>
        <w:tc>
          <w:tcPr>
            <w:tcW w:w="456" w:type="pct"/>
            <w:tcBorders>
              <w:top w:val="none" w:sz="4" w:space="0" w:color="000000"/>
              <w:left w:val="none" w:sz="4" w:space="0" w:color="000000"/>
              <w:bottom w:val="single" w:sz="4" w:space="0" w:color="auto"/>
              <w:right w:val="single" w:sz="4" w:space="0" w:color="auto"/>
            </w:tcBorders>
            <w:vAlign w:val="center"/>
          </w:tcPr>
          <w:p w14:paraId="51208A33"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lastRenderedPageBreak/>
              <w:t xml:space="preserve">40 % není pro DNSH </w:t>
            </w:r>
            <w:r>
              <w:rPr>
                <w:rFonts w:asciiTheme="minorHAnsi" w:eastAsia="Times New Roman" w:hAnsiTheme="minorHAnsi" w:cstheme="minorHAnsi"/>
                <w:color w:val="000000"/>
                <w:sz w:val="16"/>
                <w:szCs w:val="20"/>
                <w:lang w:eastAsia="cs-CZ"/>
              </w:rPr>
              <w:lastRenderedPageBreak/>
              <w:t>dostatečnou zárukou</w:t>
            </w:r>
          </w:p>
        </w:tc>
        <w:tc>
          <w:tcPr>
            <w:tcW w:w="461" w:type="pct"/>
            <w:tcBorders>
              <w:top w:val="none" w:sz="4" w:space="0" w:color="000000"/>
              <w:left w:val="none" w:sz="4" w:space="0" w:color="000000"/>
              <w:bottom w:val="single" w:sz="4" w:space="0" w:color="auto"/>
              <w:right w:val="single" w:sz="4" w:space="0" w:color="auto"/>
            </w:tcBorders>
            <w:vAlign w:val="center"/>
          </w:tcPr>
          <w:p w14:paraId="68629F51"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lastRenderedPageBreak/>
              <w:t xml:space="preserve">40 % není pro DNSH </w:t>
            </w:r>
            <w:r>
              <w:rPr>
                <w:rFonts w:asciiTheme="minorHAnsi" w:eastAsia="Times New Roman" w:hAnsiTheme="minorHAnsi" w:cstheme="minorHAnsi"/>
                <w:color w:val="000000"/>
                <w:sz w:val="16"/>
                <w:szCs w:val="20"/>
                <w:lang w:eastAsia="cs-CZ"/>
              </w:rPr>
              <w:lastRenderedPageBreak/>
              <w:t>dostatečnou zárukou</w:t>
            </w:r>
          </w:p>
        </w:tc>
        <w:tc>
          <w:tcPr>
            <w:tcW w:w="429" w:type="pct"/>
            <w:tcBorders>
              <w:top w:val="none" w:sz="4" w:space="0" w:color="000000"/>
              <w:left w:val="none" w:sz="4" w:space="0" w:color="000000"/>
              <w:bottom w:val="single" w:sz="4" w:space="0" w:color="auto"/>
              <w:right w:val="single" w:sz="4" w:space="0" w:color="auto"/>
            </w:tcBorders>
            <w:vAlign w:val="center"/>
          </w:tcPr>
          <w:p w14:paraId="2A86C9A2"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lastRenderedPageBreak/>
              <w:t xml:space="preserve">40 % není pro DNSH </w:t>
            </w:r>
            <w:r>
              <w:rPr>
                <w:rFonts w:asciiTheme="minorHAnsi" w:eastAsia="Times New Roman" w:hAnsiTheme="minorHAnsi" w:cstheme="minorHAnsi"/>
                <w:color w:val="000000"/>
                <w:sz w:val="16"/>
                <w:szCs w:val="20"/>
                <w:lang w:eastAsia="cs-CZ"/>
              </w:rPr>
              <w:lastRenderedPageBreak/>
              <w:t>dostatečnou zárukou</w:t>
            </w:r>
          </w:p>
        </w:tc>
      </w:tr>
      <w:tr w:rsidR="00602DCA" w14:paraId="0BF52749" w14:textId="77777777">
        <w:trPr>
          <w:trHeight w:val="20"/>
        </w:trPr>
        <w:tc>
          <w:tcPr>
            <w:tcW w:w="202" w:type="pct"/>
            <w:tcBorders>
              <w:top w:val="none" w:sz="4" w:space="0" w:color="000000"/>
              <w:left w:val="single" w:sz="4" w:space="0" w:color="auto"/>
              <w:bottom w:val="single" w:sz="4" w:space="0" w:color="auto"/>
              <w:right w:val="single" w:sz="4" w:space="0" w:color="auto"/>
            </w:tcBorders>
            <w:vAlign w:val="center"/>
          </w:tcPr>
          <w:p w14:paraId="54B16A99" w14:textId="77777777" w:rsidR="00602DCA" w:rsidRDefault="00C5530C">
            <w:pPr>
              <w:spacing w:after="0" w:line="240" w:lineRule="auto"/>
              <w:jc w:val="righ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lastRenderedPageBreak/>
              <w:t>98</w:t>
            </w:r>
          </w:p>
        </w:tc>
        <w:tc>
          <w:tcPr>
            <w:tcW w:w="204" w:type="pct"/>
            <w:tcBorders>
              <w:top w:val="none" w:sz="4" w:space="0" w:color="000000"/>
              <w:left w:val="none" w:sz="4" w:space="0" w:color="000000"/>
              <w:bottom w:val="single" w:sz="4" w:space="0" w:color="auto"/>
              <w:right w:val="single" w:sz="4" w:space="0" w:color="auto"/>
            </w:tcBorders>
            <w:vAlign w:val="center"/>
          </w:tcPr>
          <w:p w14:paraId="35534646" w14:textId="77777777" w:rsidR="00602DCA" w:rsidRDefault="00C5530C">
            <w:pPr>
              <w:spacing w:after="0" w:line="240" w:lineRule="auto"/>
              <w:jc w:val="righ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66</w:t>
            </w:r>
          </w:p>
        </w:tc>
        <w:tc>
          <w:tcPr>
            <w:tcW w:w="1165" w:type="pct"/>
            <w:tcBorders>
              <w:top w:val="none" w:sz="4" w:space="0" w:color="000000"/>
              <w:left w:val="none" w:sz="4" w:space="0" w:color="000000"/>
              <w:bottom w:val="single" w:sz="4" w:space="0" w:color="auto"/>
              <w:right w:val="single" w:sz="4" w:space="0" w:color="auto"/>
            </w:tcBorders>
            <w:vAlign w:val="center"/>
          </w:tcPr>
          <w:p w14:paraId="56BBCB56"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Jiné nově postavené nebo renovované železnice</w:t>
            </w:r>
          </w:p>
        </w:tc>
        <w:tc>
          <w:tcPr>
            <w:tcW w:w="304" w:type="pct"/>
            <w:tcBorders>
              <w:top w:val="none" w:sz="4" w:space="0" w:color="000000"/>
              <w:left w:val="none" w:sz="4" w:space="0" w:color="000000"/>
              <w:bottom w:val="single" w:sz="4" w:space="0" w:color="auto"/>
              <w:right w:val="single" w:sz="4" w:space="0" w:color="auto"/>
            </w:tcBorders>
            <w:vAlign w:val="center"/>
          </w:tcPr>
          <w:p w14:paraId="7D748F42"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w:t>
            </w:r>
          </w:p>
        </w:tc>
        <w:tc>
          <w:tcPr>
            <w:tcW w:w="259" w:type="pct"/>
            <w:tcBorders>
              <w:top w:val="none" w:sz="4" w:space="0" w:color="000000"/>
              <w:left w:val="none" w:sz="4" w:space="0" w:color="000000"/>
              <w:bottom w:val="single" w:sz="4" w:space="0" w:color="auto"/>
              <w:right w:val="single" w:sz="4" w:space="0" w:color="auto"/>
            </w:tcBorders>
            <w:vAlign w:val="center"/>
          </w:tcPr>
          <w:p w14:paraId="7BA8E231"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w:t>
            </w:r>
          </w:p>
        </w:tc>
        <w:tc>
          <w:tcPr>
            <w:tcW w:w="605" w:type="pct"/>
            <w:tcBorders>
              <w:top w:val="none" w:sz="4" w:space="0" w:color="000000"/>
              <w:left w:val="none" w:sz="4" w:space="0" w:color="000000"/>
              <w:bottom w:val="single" w:sz="4" w:space="0" w:color="auto"/>
              <w:right w:val="single" w:sz="4" w:space="0" w:color="auto"/>
            </w:tcBorders>
            <w:vAlign w:val="center"/>
          </w:tcPr>
          <w:p w14:paraId="18FA5E86"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p w14:paraId="580903BC" w14:textId="77777777" w:rsidR="00602DCA" w:rsidRDefault="00602DCA">
            <w:pPr>
              <w:spacing w:after="0" w:line="240" w:lineRule="auto"/>
              <w:jc w:val="left"/>
              <w:rPr>
                <w:rFonts w:asciiTheme="minorHAnsi" w:eastAsia="Times New Roman" w:hAnsiTheme="minorHAnsi" w:cstheme="minorHAnsi"/>
                <w:color w:val="000000"/>
                <w:sz w:val="16"/>
                <w:szCs w:val="20"/>
                <w:lang w:eastAsia="cs-CZ"/>
              </w:rPr>
            </w:pPr>
          </w:p>
          <w:p w14:paraId="6CE120F4"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proofErr w:type="gramStart"/>
            <w:r>
              <w:rPr>
                <w:rFonts w:asciiTheme="minorHAnsi" w:eastAsia="Times New Roman" w:hAnsiTheme="minorHAnsi" w:cstheme="minorHAnsi"/>
                <w:color w:val="000000"/>
                <w:sz w:val="16"/>
                <w:szCs w:val="20"/>
                <w:lang w:eastAsia="cs-CZ"/>
              </w:rPr>
              <w:t>CP</w:t>
            </w:r>
            <w:proofErr w:type="gramEnd"/>
            <w:r>
              <w:rPr>
                <w:rFonts w:asciiTheme="minorHAnsi" w:eastAsia="Times New Roman" w:hAnsiTheme="minorHAnsi" w:cstheme="minorHAnsi"/>
                <w:color w:val="000000"/>
                <w:sz w:val="16"/>
                <w:szCs w:val="20"/>
                <w:lang w:eastAsia="cs-CZ"/>
              </w:rPr>
              <w:t xml:space="preserve"> pokud naplnění definice infrastruktury</w:t>
            </w:r>
          </w:p>
        </w:tc>
        <w:tc>
          <w:tcPr>
            <w:tcW w:w="460" w:type="pct"/>
            <w:tcBorders>
              <w:top w:val="none" w:sz="4" w:space="0" w:color="000000"/>
              <w:left w:val="none" w:sz="4" w:space="0" w:color="000000"/>
              <w:bottom w:val="single" w:sz="4" w:space="0" w:color="auto"/>
              <w:right w:val="single" w:sz="4" w:space="0" w:color="auto"/>
            </w:tcBorders>
            <w:vAlign w:val="center"/>
          </w:tcPr>
          <w:p w14:paraId="13BA32CB"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p w14:paraId="693B5CDA" w14:textId="77777777" w:rsidR="00602DCA" w:rsidRDefault="00602DCA">
            <w:pPr>
              <w:spacing w:after="0" w:line="240" w:lineRule="auto"/>
              <w:jc w:val="left"/>
              <w:rPr>
                <w:rFonts w:asciiTheme="minorHAnsi" w:eastAsia="Times New Roman" w:hAnsiTheme="minorHAnsi" w:cstheme="minorHAnsi"/>
                <w:color w:val="000000"/>
                <w:sz w:val="16"/>
                <w:szCs w:val="20"/>
                <w:lang w:eastAsia="cs-CZ"/>
              </w:rPr>
            </w:pPr>
          </w:p>
          <w:p w14:paraId="2565FF7F"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proofErr w:type="gramStart"/>
            <w:r>
              <w:rPr>
                <w:rFonts w:asciiTheme="minorHAnsi" w:eastAsia="Times New Roman" w:hAnsiTheme="minorHAnsi" w:cstheme="minorHAnsi"/>
                <w:color w:val="000000"/>
                <w:sz w:val="16"/>
                <w:szCs w:val="20"/>
                <w:lang w:eastAsia="cs-CZ"/>
              </w:rPr>
              <w:t>CP</w:t>
            </w:r>
            <w:proofErr w:type="gramEnd"/>
            <w:r>
              <w:rPr>
                <w:rFonts w:asciiTheme="minorHAnsi" w:eastAsia="Times New Roman" w:hAnsiTheme="minorHAnsi" w:cstheme="minorHAnsi"/>
                <w:color w:val="000000"/>
                <w:sz w:val="16"/>
                <w:szCs w:val="20"/>
                <w:lang w:eastAsia="cs-CZ"/>
              </w:rPr>
              <w:t xml:space="preserve"> pokud naplnění definice infrastruktury</w:t>
            </w:r>
          </w:p>
        </w:tc>
        <w:tc>
          <w:tcPr>
            <w:tcW w:w="455" w:type="pct"/>
            <w:tcBorders>
              <w:top w:val="none" w:sz="4" w:space="0" w:color="000000"/>
              <w:left w:val="none" w:sz="4" w:space="0" w:color="000000"/>
              <w:bottom w:val="single" w:sz="4" w:space="0" w:color="auto"/>
              <w:right w:val="single" w:sz="4" w:space="0" w:color="auto"/>
            </w:tcBorders>
            <w:vAlign w:val="center"/>
          </w:tcPr>
          <w:p w14:paraId="55077EFB"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 není pro DNSH dostatečnou zárukou</w:t>
            </w:r>
          </w:p>
        </w:tc>
        <w:tc>
          <w:tcPr>
            <w:tcW w:w="456" w:type="pct"/>
            <w:tcBorders>
              <w:top w:val="none" w:sz="4" w:space="0" w:color="000000"/>
              <w:left w:val="none" w:sz="4" w:space="0" w:color="000000"/>
              <w:bottom w:val="single" w:sz="4" w:space="0" w:color="auto"/>
              <w:right w:val="single" w:sz="4" w:space="0" w:color="auto"/>
            </w:tcBorders>
            <w:vAlign w:val="center"/>
          </w:tcPr>
          <w:p w14:paraId="1B9F46D7"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 není pro DNSH dostatečnou zárukou</w:t>
            </w:r>
          </w:p>
        </w:tc>
        <w:tc>
          <w:tcPr>
            <w:tcW w:w="461" w:type="pct"/>
            <w:tcBorders>
              <w:top w:val="none" w:sz="4" w:space="0" w:color="000000"/>
              <w:left w:val="none" w:sz="4" w:space="0" w:color="000000"/>
              <w:bottom w:val="single" w:sz="4" w:space="0" w:color="auto"/>
              <w:right w:val="single" w:sz="4" w:space="0" w:color="auto"/>
            </w:tcBorders>
            <w:vAlign w:val="center"/>
          </w:tcPr>
          <w:p w14:paraId="486D6FE9"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 není pro DNSH dostatečnou zárukou</w:t>
            </w:r>
          </w:p>
        </w:tc>
        <w:tc>
          <w:tcPr>
            <w:tcW w:w="429" w:type="pct"/>
            <w:tcBorders>
              <w:top w:val="none" w:sz="4" w:space="0" w:color="000000"/>
              <w:left w:val="none" w:sz="4" w:space="0" w:color="000000"/>
              <w:bottom w:val="single" w:sz="4" w:space="0" w:color="auto"/>
              <w:right w:val="single" w:sz="4" w:space="0" w:color="auto"/>
            </w:tcBorders>
            <w:vAlign w:val="center"/>
          </w:tcPr>
          <w:p w14:paraId="296B1443"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 není pro DNSH dostatečnou zárukou</w:t>
            </w:r>
          </w:p>
        </w:tc>
      </w:tr>
      <w:tr w:rsidR="00602DCA" w14:paraId="114089CA" w14:textId="77777777">
        <w:trPr>
          <w:trHeight w:val="20"/>
        </w:trPr>
        <w:tc>
          <w:tcPr>
            <w:tcW w:w="202" w:type="pct"/>
            <w:tcBorders>
              <w:top w:val="none" w:sz="4" w:space="0" w:color="000000"/>
              <w:left w:val="single" w:sz="4" w:space="0" w:color="auto"/>
              <w:bottom w:val="single" w:sz="4" w:space="0" w:color="auto"/>
              <w:right w:val="single" w:sz="4" w:space="0" w:color="auto"/>
            </w:tcBorders>
            <w:vAlign w:val="center"/>
          </w:tcPr>
          <w:p w14:paraId="56F0BFEF" w14:textId="77777777" w:rsidR="00602DCA" w:rsidRDefault="00C5530C">
            <w:pPr>
              <w:spacing w:after="0" w:line="240" w:lineRule="auto"/>
              <w:jc w:val="righ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99</w:t>
            </w:r>
          </w:p>
        </w:tc>
        <w:tc>
          <w:tcPr>
            <w:tcW w:w="204" w:type="pct"/>
            <w:tcBorders>
              <w:top w:val="none" w:sz="4" w:space="0" w:color="000000"/>
              <w:left w:val="none" w:sz="4" w:space="0" w:color="000000"/>
              <w:bottom w:val="single" w:sz="4" w:space="0" w:color="auto"/>
              <w:right w:val="single" w:sz="4" w:space="0" w:color="auto"/>
            </w:tcBorders>
            <w:vAlign w:val="center"/>
          </w:tcPr>
          <w:p w14:paraId="6D00184D" w14:textId="77777777" w:rsidR="00602DCA" w:rsidRDefault="00C5530C">
            <w:pPr>
              <w:spacing w:after="0" w:line="240" w:lineRule="auto"/>
              <w:rPr>
                <w:rFonts w:asciiTheme="minorHAnsi" w:eastAsia="Times New Roman" w:hAnsiTheme="minorHAnsi" w:cstheme="minorHAnsi"/>
                <w:color w:val="000000"/>
                <w:sz w:val="16"/>
                <w:szCs w:val="20"/>
                <w:lang w:eastAsia="cs-CZ"/>
              </w:rPr>
            </w:pPr>
            <w:proofErr w:type="gramStart"/>
            <w:r>
              <w:rPr>
                <w:rFonts w:asciiTheme="minorHAnsi" w:eastAsia="Times New Roman" w:hAnsiTheme="minorHAnsi" w:cstheme="minorHAnsi"/>
                <w:color w:val="000000"/>
                <w:sz w:val="16"/>
                <w:szCs w:val="20"/>
                <w:lang w:eastAsia="cs-CZ"/>
              </w:rPr>
              <w:t>066a</w:t>
            </w:r>
            <w:proofErr w:type="gramEnd"/>
          </w:p>
        </w:tc>
        <w:tc>
          <w:tcPr>
            <w:tcW w:w="1165" w:type="pct"/>
            <w:tcBorders>
              <w:top w:val="none" w:sz="4" w:space="0" w:color="000000"/>
              <w:left w:val="none" w:sz="4" w:space="0" w:color="000000"/>
              <w:bottom w:val="single" w:sz="4" w:space="0" w:color="auto"/>
              <w:right w:val="single" w:sz="4" w:space="0" w:color="auto"/>
            </w:tcBorders>
            <w:vAlign w:val="center"/>
          </w:tcPr>
          <w:p w14:paraId="37B13211" w14:textId="77777777" w:rsidR="00602DCA" w:rsidRDefault="00602DCA">
            <w:pPr>
              <w:spacing w:after="0" w:line="240" w:lineRule="auto"/>
              <w:rPr>
                <w:rFonts w:asciiTheme="minorHAnsi" w:eastAsia="Times New Roman" w:hAnsiTheme="minorHAnsi" w:cstheme="minorHAnsi"/>
                <w:color w:val="0563C1"/>
                <w:sz w:val="16"/>
                <w:szCs w:val="20"/>
                <w:u w:val="single"/>
                <w:lang w:eastAsia="cs-CZ"/>
              </w:rPr>
            </w:pPr>
            <w:hyperlink r:id="rId178" w:anchor="E0046" w:tooltip="https://eur-lex.europa.eu/legal-content/CS/TXT/?uri=CELEX%3A02021R1060-20210630&amp;qid=1659091609743#E0046" w:history="1">
              <w:r>
                <w:rPr>
                  <w:rFonts w:asciiTheme="minorHAnsi" w:eastAsia="Times New Roman" w:hAnsiTheme="minorHAnsi" w:cstheme="minorHAnsi"/>
                  <w:color w:val="0563C1"/>
                  <w:sz w:val="16"/>
                  <w:szCs w:val="20"/>
                  <w:u w:val="single"/>
                  <w:lang w:eastAsia="cs-CZ"/>
                </w:rPr>
                <w:t>Jiné nově postavené nebo renovované železnice – elektrifikované / nulové emise (25)</w:t>
              </w:r>
            </w:hyperlink>
          </w:p>
        </w:tc>
        <w:tc>
          <w:tcPr>
            <w:tcW w:w="304" w:type="pct"/>
            <w:tcBorders>
              <w:top w:val="none" w:sz="4" w:space="0" w:color="000000"/>
              <w:left w:val="none" w:sz="4" w:space="0" w:color="000000"/>
              <w:bottom w:val="single" w:sz="4" w:space="0" w:color="auto"/>
              <w:right w:val="single" w:sz="4" w:space="0" w:color="auto"/>
            </w:tcBorders>
            <w:vAlign w:val="center"/>
          </w:tcPr>
          <w:p w14:paraId="23DA85D4"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100 %</w:t>
            </w:r>
          </w:p>
        </w:tc>
        <w:tc>
          <w:tcPr>
            <w:tcW w:w="259" w:type="pct"/>
            <w:tcBorders>
              <w:top w:val="none" w:sz="4" w:space="0" w:color="000000"/>
              <w:left w:val="none" w:sz="4" w:space="0" w:color="000000"/>
              <w:bottom w:val="single" w:sz="4" w:space="0" w:color="auto"/>
              <w:right w:val="single" w:sz="4" w:space="0" w:color="auto"/>
            </w:tcBorders>
            <w:vAlign w:val="center"/>
          </w:tcPr>
          <w:p w14:paraId="114CCCB7"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w:t>
            </w:r>
          </w:p>
        </w:tc>
        <w:tc>
          <w:tcPr>
            <w:tcW w:w="605" w:type="pct"/>
            <w:tcBorders>
              <w:top w:val="none" w:sz="4" w:space="0" w:color="000000"/>
              <w:left w:val="none" w:sz="4" w:space="0" w:color="000000"/>
              <w:bottom w:val="single" w:sz="4" w:space="0" w:color="auto"/>
              <w:right w:val="single" w:sz="4" w:space="0" w:color="auto"/>
            </w:tcBorders>
            <w:vAlign w:val="center"/>
          </w:tcPr>
          <w:p w14:paraId="4A5652E2"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splněno</w:t>
            </w:r>
          </w:p>
          <w:p w14:paraId="6CB6901A" w14:textId="77777777" w:rsidR="00602DCA" w:rsidRDefault="00602DCA">
            <w:pPr>
              <w:spacing w:after="0" w:line="240" w:lineRule="auto"/>
              <w:jc w:val="left"/>
              <w:rPr>
                <w:rFonts w:asciiTheme="minorHAnsi" w:eastAsia="Times New Roman" w:hAnsiTheme="minorHAnsi" w:cstheme="minorHAnsi"/>
                <w:color w:val="000000"/>
                <w:sz w:val="16"/>
                <w:szCs w:val="20"/>
                <w:lang w:eastAsia="cs-CZ"/>
              </w:rPr>
            </w:pPr>
          </w:p>
          <w:p w14:paraId="32C313C8"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proofErr w:type="gramStart"/>
            <w:r>
              <w:rPr>
                <w:rFonts w:asciiTheme="minorHAnsi" w:eastAsia="Times New Roman" w:hAnsiTheme="minorHAnsi" w:cstheme="minorHAnsi"/>
                <w:color w:val="000000"/>
                <w:sz w:val="16"/>
                <w:szCs w:val="20"/>
                <w:lang w:eastAsia="cs-CZ"/>
              </w:rPr>
              <w:t>CP</w:t>
            </w:r>
            <w:proofErr w:type="gramEnd"/>
            <w:r>
              <w:rPr>
                <w:rFonts w:asciiTheme="minorHAnsi" w:eastAsia="Times New Roman" w:hAnsiTheme="minorHAnsi" w:cstheme="minorHAnsi"/>
                <w:color w:val="000000"/>
                <w:sz w:val="16"/>
                <w:szCs w:val="20"/>
                <w:lang w:eastAsia="cs-CZ"/>
              </w:rPr>
              <w:t xml:space="preserve"> pokud naplnění definice infrastruktury</w:t>
            </w:r>
          </w:p>
        </w:tc>
        <w:tc>
          <w:tcPr>
            <w:tcW w:w="460" w:type="pct"/>
            <w:tcBorders>
              <w:top w:val="none" w:sz="4" w:space="0" w:color="000000"/>
              <w:left w:val="none" w:sz="4" w:space="0" w:color="000000"/>
              <w:bottom w:val="single" w:sz="4" w:space="0" w:color="auto"/>
              <w:right w:val="single" w:sz="4" w:space="0" w:color="auto"/>
            </w:tcBorders>
            <w:vAlign w:val="center"/>
          </w:tcPr>
          <w:p w14:paraId="00DAAD83"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p w14:paraId="603F2380" w14:textId="77777777" w:rsidR="00602DCA" w:rsidRDefault="00602DCA">
            <w:pPr>
              <w:spacing w:after="0" w:line="240" w:lineRule="auto"/>
              <w:jc w:val="left"/>
              <w:rPr>
                <w:rFonts w:asciiTheme="minorHAnsi" w:eastAsia="Times New Roman" w:hAnsiTheme="minorHAnsi" w:cstheme="minorHAnsi"/>
                <w:color w:val="000000"/>
                <w:sz w:val="16"/>
                <w:szCs w:val="20"/>
                <w:lang w:eastAsia="cs-CZ"/>
              </w:rPr>
            </w:pPr>
          </w:p>
          <w:p w14:paraId="7141C615"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proofErr w:type="gramStart"/>
            <w:r>
              <w:rPr>
                <w:rFonts w:asciiTheme="minorHAnsi" w:eastAsia="Times New Roman" w:hAnsiTheme="minorHAnsi" w:cstheme="minorHAnsi"/>
                <w:color w:val="000000"/>
                <w:sz w:val="16"/>
                <w:szCs w:val="20"/>
                <w:lang w:eastAsia="cs-CZ"/>
              </w:rPr>
              <w:t>CP</w:t>
            </w:r>
            <w:proofErr w:type="gramEnd"/>
            <w:r>
              <w:rPr>
                <w:rFonts w:asciiTheme="minorHAnsi" w:eastAsia="Times New Roman" w:hAnsiTheme="minorHAnsi" w:cstheme="minorHAnsi"/>
                <w:color w:val="000000"/>
                <w:sz w:val="16"/>
                <w:szCs w:val="20"/>
                <w:lang w:eastAsia="cs-CZ"/>
              </w:rPr>
              <w:t xml:space="preserve"> pokud naplnění definice infrastruktury</w:t>
            </w:r>
          </w:p>
        </w:tc>
        <w:tc>
          <w:tcPr>
            <w:tcW w:w="455" w:type="pct"/>
            <w:tcBorders>
              <w:top w:val="none" w:sz="4" w:space="0" w:color="000000"/>
              <w:left w:val="none" w:sz="4" w:space="0" w:color="000000"/>
              <w:bottom w:val="single" w:sz="4" w:space="0" w:color="auto"/>
              <w:right w:val="single" w:sz="4" w:space="0" w:color="auto"/>
            </w:tcBorders>
            <w:vAlign w:val="center"/>
          </w:tcPr>
          <w:p w14:paraId="0358FE1B"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 není pro DNSH dostatečnou zárukou</w:t>
            </w:r>
          </w:p>
        </w:tc>
        <w:tc>
          <w:tcPr>
            <w:tcW w:w="456" w:type="pct"/>
            <w:tcBorders>
              <w:top w:val="none" w:sz="4" w:space="0" w:color="000000"/>
              <w:left w:val="none" w:sz="4" w:space="0" w:color="000000"/>
              <w:bottom w:val="single" w:sz="4" w:space="0" w:color="auto"/>
              <w:right w:val="single" w:sz="4" w:space="0" w:color="auto"/>
            </w:tcBorders>
            <w:vAlign w:val="center"/>
          </w:tcPr>
          <w:p w14:paraId="081909A2"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 není pro DNSH dostatečnou zárukou</w:t>
            </w:r>
          </w:p>
        </w:tc>
        <w:tc>
          <w:tcPr>
            <w:tcW w:w="461" w:type="pct"/>
            <w:tcBorders>
              <w:top w:val="none" w:sz="4" w:space="0" w:color="000000"/>
              <w:left w:val="none" w:sz="4" w:space="0" w:color="000000"/>
              <w:bottom w:val="single" w:sz="4" w:space="0" w:color="auto"/>
              <w:right w:val="single" w:sz="4" w:space="0" w:color="auto"/>
            </w:tcBorders>
            <w:vAlign w:val="center"/>
          </w:tcPr>
          <w:p w14:paraId="43934BB1"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 není pro DNSH dostatečnou zárukou</w:t>
            </w:r>
          </w:p>
        </w:tc>
        <w:tc>
          <w:tcPr>
            <w:tcW w:w="429" w:type="pct"/>
            <w:tcBorders>
              <w:top w:val="none" w:sz="4" w:space="0" w:color="000000"/>
              <w:left w:val="none" w:sz="4" w:space="0" w:color="000000"/>
              <w:bottom w:val="single" w:sz="4" w:space="0" w:color="auto"/>
              <w:right w:val="single" w:sz="4" w:space="0" w:color="auto"/>
            </w:tcBorders>
            <w:vAlign w:val="center"/>
          </w:tcPr>
          <w:p w14:paraId="04CB95DA"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 není pro DNSH dostatečnou zárukou</w:t>
            </w:r>
          </w:p>
        </w:tc>
      </w:tr>
      <w:tr w:rsidR="00602DCA" w14:paraId="308642DD" w14:textId="77777777">
        <w:trPr>
          <w:trHeight w:val="20"/>
        </w:trPr>
        <w:tc>
          <w:tcPr>
            <w:tcW w:w="202" w:type="pct"/>
            <w:tcBorders>
              <w:top w:val="none" w:sz="4" w:space="0" w:color="000000"/>
              <w:left w:val="single" w:sz="4" w:space="0" w:color="auto"/>
              <w:bottom w:val="single" w:sz="4" w:space="0" w:color="auto"/>
              <w:right w:val="single" w:sz="4" w:space="0" w:color="auto"/>
            </w:tcBorders>
            <w:vAlign w:val="center"/>
          </w:tcPr>
          <w:p w14:paraId="73F2C9B2" w14:textId="77777777" w:rsidR="00602DCA" w:rsidRDefault="00C5530C">
            <w:pPr>
              <w:spacing w:after="0" w:line="240" w:lineRule="auto"/>
              <w:jc w:val="righ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100</w:t>
            </w:r>
          </w:p>
        </w:tc>
        <w:tc>
          <w:tcPr>
            <w:tcW w:w="204" w:type="pct"/>
            <w:tcBorders>
              <w:top w:val="none" w:sz="4" w:space="0" w:color="000000"/>
              <w:left w:val="none" w:sz="4" w:space="0" w:color="000000"/>
              <w:bottom w:val="single" w:sz="4" w:space="0" w:color="auto"/>
              <w:right w:val="single" w:sz="4" w:space="0" w:color="auto"/>
            </w:tcBorders>
            <w:vAlign w:val="center"/>
          </w:tcPr>
          <w:p w14:paraId="44309E29" w14:textId="77777777" w:rsidR="00602DCA" w:rsidRDefault="00C5530C">
            <w:pPr>
              <w:spacing w:after="0" w:line="240" w:lineRule="auto"/>
              <w:jc w:val="righ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67</w:t>
            </w:r>
          </w:p>
        </w:tc>
        <w:tc>
          <w:tcPr>
            <w:tcW w:w="1165" w:type="pct"/>
            <w:tcBorders>
              <w:top w:val="none" w:sz="4" w:space="0" w:color="000000"/>
              <w:left w:val="none" w:sz="4" w:space="0" w:color="000000"/>
              <w:bottom w:val="single" w:sz="4" w:space="0" w:color="auto"/>
              <w:right w:val="single" w:sz="4" w:space="0" w:color="auto"/>
            </w:tcBorders>
            <w:vAlign w:val="center"/>
          </w:tcPr>
          <w:p w14:paraId="18306556"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Rekonstruované nebo modernizované železnice – hlavní síť TEN-T</w:t>
            </w:r>
          </w:p>
        </w:tc>
        <w:tc>
          <w:tcPr>
            <w:tcW w:w="304" w:type="pct"/>
            <w:tcBorders>
              <w:top w:val="none" w:sz="4" w:space="0" w:color="000000"/>
              <w:left w:val="none" w:sz="4" w:space="0" w:color="000000"/>
              <w:bottom w:val="single" w:sz="4" w:space="0" w:color="auto"/>
              <w:right w:val="single" w:sz="4" w:space="0" w:color="auto"/>
            </w:tcBorders>
            <w:vAlign w:val="center"/>
          </w:tcPr>
          <w:p w14:paraId="13AC50F0"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100 %</w:t>
            </w:r>
          </w:p>
        </w:tc>
        <w:tc>
          <w:tcPr>
            <w:tcW w:w="259" w:type="pct"/>
            <w:tcBorders>
              <w:top w:val="none" w:sz="4" w:space="0" w:color="000000"/>
              <w:left w:val="none" w:sz="4" w:space="0" w:color="000000"/>
              <w:bottom w:val="single" w:sz="4" w:space="0" w:color="auto"/>
              <w:right w:val="single" w:sz="4" w:space="0" w:color="auto"/>
            </w:tcBorders>
            <w:vAlign w:val="center"/>
          </w:tcPr>
          <w:p w14:paraId="54A9BF9C"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w:t>
            </w:r>
          </w:p>
        </w:tc>
        <w:tc>
          <w:tcPr>
            <w:tcW w:w="605" w:type="pct"/>
            <w:tcBorders>
              <w:top w:val="none" w:sz="4" w:space="0" w:color="000000"/>
              <w:left w:val="none" w:sz="4" w:space="0" w:color="000000"/>
              <w:bottom w:val="single" w:sz="4" w:space="0" w:color="auto"/>
              <w:right w:val="single" w:sz="4" w:space="0" w:color="auto"/>
            </w:tcBorders>
            <w:vAlign w:val="center"/>
          </w:tcPr>
          <w:p w14:paraId="0F2894E6"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splněno</w:t>
            </w:r>
          </w:p>
          <w:p w14:paraId="22E4EB23" w14:textId="77777777" w:rsidR="00602DCA" w:rsidRDefault="00602DCA">
            <w:pPr>
              <w:spacing w:after="0" w:line="240" w:lineRule="auto"/>
              <w:jc w:val="left"/>
              <w:rPr>
                <w:rFonts w:asciiTheme="minorHAnsi" w:eastAsia="Times New Roman" w:hAnsiTheme="minorHAnsi" w:cstheme="minorHAnsi"/>
                <w:color w:val="000000"/>
                <w:sz w:val="16"/>
                <w:szCs w:val="20"/>
                <w:lang w:eastAsia="cs-CZ"/>
              </w:rPr>
            </w:pPr>
          </w:p>
          <w:p w14:paraId="431D5E4E"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proofErr w:type="gramStart"/>
            <w:r>
              <w:rPr>
                <w:rFonts w:asciiTheme="minorHAnsi" w:eastAsia="Times New Roman" w:hAnsiTheme="minorHAnsi" w:cstheme="minorHAnsi"/>
                <w:color w:val="000000"/>
                <w:sz w:val="16"/>
                <w:szCs w:val="20"/>
                <w:lang w:eastAsia="cs-CZ"/>
              </w:rPr>
              <w:t>CP</w:t>
            </w:r>
            <w:proofErr w:type="gramEnd"/>
            <w:r>
              <w:rPr>
                <w:rFonts w:asciiTheme="minorHAnsi" w:eastAsia="Times New Roman" w:hAnsiTheme="minorHAnsi" w:cstheme="minorHAnsi"/>
                <w:color w:val="000000"/>
                <w:sz w:val="16"/>
                <w:szCs w:val="20"/>
                <w:lang w:eastAsia="cs-CZ"/>
              </w:rPr>
              <w:t xml:space="preserve"> pokud naplnění definice infrastruktury</w:t>
            </w:r>
          </w:p>
        </w:tc>
        <w:tc>
          <w:tcPr>
            <w:tcW w:w="460" w:type="pct"/>
            <w:tcBorders>
              <w:top w:val="none" w:sz="4" w:space="0" w:color="000000"/>
              <w:left w:val="none" w:sz="4" w:space="0" w:color="000000"/>
              <w:bottom w:val="single" w:sz="4" w:space="0" w:color="auto"/>
              <w:right w:val="single" w:sz="4" w:space="0" w:color="auto"/>
            </w:tcBorders>
            <w:vAlign w:val="center"/>
          </w:tcPr>
          <w:p w14:paraId="58B79FD7"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p w14:paraId="177BDC37" w14:textId="77777777" w:rsidR="00602DCA" w:rsidRDefault="00602DCA">
            <w:pPr>
              <w:spacing w:after="0" w:line="240" w:lineRule="auto"/>
              <w:jc w:val="left"/>
              <w:rPr>
                <w:rFonts w:asciiTheme="minorHAnsi" w:eastAsia="Times New Roman" w:hAnsiTheme="minorHAnsi" w:cstheme="minorHAnsi"/>
                <w:color w:val="000000"/>
                <w:sz w:val="16"/>
                <w:szCs w:val="20"/>
                <w:lang w:eastAsia="cs-CZ"/>
              </w:rPr>
            </w:pPr>
          </w:p>
          <w:p w14:paraId="05BBED0C"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proofErr w:type="gramStart"/>
            <w:r>
              <w:rPr>
                <w:rFonts w:asciiTheme="minorHAnsi" w:eastAsia="Times New Roman" w:hAnsiTheme="minorHAnsi" w:cstheme="minorHAnsi"/>
                <w:color w:val="000000"/>
                <w:sz w:val="16"/>
                <w:szCs w:val="20"/>
                <w:lang w:eastAsia="cs-CZ"/>
              </w:rPr>
              <w:t>CP</w:t>
            </w:r>
            <w:proofErr w:type="gramEnd"/>
            <w:r>
              <w:rPr>
                <w:rFonts w:asciiTheme="minorHAnsi" w:eastAsia="Times New Roman" w:hAnsiTheme="minorHAnsi" w:cstheme="minorHAnsi"/>
                <w:color w:val="000000"/>
                <w:sz w:val="16"/>
                <w:szCs w:val="20"/>
                <w:lang w:eastAsia="cs-CZ"/>
              </w:rPr>
              <w:t xml:space="preserve"> pokud naplnění definice infrastruktury</w:t>
            </w:r>
          </w:p>
        </w:tc>
        <w:tc>
          <w:tcPr>
            <w:tcW w:w="455" w:type="pct"/>
            <w:tcBorders>
              <w:top w:val="none" w:sz="4" w:space="0" w:color="000000"/>
              <w:left w:val="none" w:sz="4" w:space="0" w:color="000000"/>
              <w:bottom w:val="single" w:sz="4" w:space="0" w:color="auto"/>
              <w:right w:val="single" w:sz="4" w:space="0" w:color="auto"/>
            </w:tcBorders>
            <w:vAlign w:val="center"/>
          </w:tcPr>
          <w:p w14:paraId="15818847"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 není pro DNSH dostatečnou zárukou</w:t>
            </w:r>
          </w:p>
        </w:tc>
        <w:tc>
          <w:tcPr>
            <w:tcW w:w="456" w:type="pct"/>
            <w:tcBorders>
              <w:top w:val="none" w:sz="4" w:space="0" w:color="000000"/>
              <w:left w:val="none" w:sz="4" w:space="0" w:color="000000"/>
              <w:bottom w:val="single" w:sz="4" w:space="0" w:color="auto"/>
              <w:right w:val="single" w:sz="4" w:space="0" w:color="auto"/>
            </w:tcBorders>
            <w:vAlign w:val="center"/>
          </w:tcPr>
          <w:p w14:paraId="2555D7FF"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 není pro DNSH dostatečnou zárukou</w:t>
            </w:r>
          </w:p>
        </w:tc>
        <w:tc>
          <w:tcPr>
            <w:tcW w:w="461" w:type="pct"/>
            <w:tcBorders>
              <w:top w:val="none" w:sz="4" w:space="0" w:color="000000"/>
              <w:left w:val="none" w:sz="4" w:space="0" w:color="000000"/>
              <w:bottom w:val="single" w:sz="4" w:space="0" w:color="auto"/>
              <w:right w:val="single" w:sz="4" w:space="0" w:color="auto"/>
            </w:tcBorders>
            <w:vAlign w:val="center"/>
          </w:tcPr>
          <w:p w14:paraId="694C210F"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 není pro DNSH dostatečnou zárukou</w:t>
            </w:r>
          </w:p>
        </w:tc>
        <w:tc>
          <w:tcPr>
            <w:tcW w:w="429" w:type="pct"/>
            <w:tcBorders>
              <w:top w:val="none" w:sz="4" w:space="0" w:color="000000"/>
              <w:left w:val="none" w:sz="4" w:space="0" w:color="000000"/>
              <w:bottom w:val="single" w:sz="4" w:space="0" w:color="auto"/>
              <w:right w:val="single" w:sz="4" w:space="0" w:color="auto"/>
            </w:tcBorders>
            <w:vAlign w:val="center"/>
          </w:tcPr>
          <w:p w14:paraId="289D2AF8"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 není pro DNSH dostatečnou zárukou</w:t>
            </w:r>
          </w:p>
        </w:tc>
      </w:tr>
      <w:tr w:rsidR="00602DCA" w14:paraId="47678130" w14:textId="77777777">
        <w:trPr>
          <w:trHeight w:val="20"/>
        </w:trPr>
        <w:tc>
          <w:tcPr>
            <w:tcW w:w="202" w:type="pct"/>
            <w:tcBorders>
              <w:top w:val="none" w:sz="4" w:space="0" w:color="000000"/>
              <w:left w:val="single" w:sz="4" w:space="0" w:color="auto"/>
              <w:bottom w:val="single" w:sz="4" w:space="0" w:color="auto"/>
              <w:right w:val="single" w:sz="4" w:space="0" w:color="auto"/>
            </w:tcBorders>
            <w:vAlign w:val="center"/>
          </w:tcPr>
          <w:p w14:paraId="29BFD8CD" w14:textId="77777777" w:rsidR="00602DCA" w:rsidRDefault="00C5530C">
            <w:pPr>
              <w:spacing w:after="0" w:line="240" w:lineRule="auto"/>
              <w:jc w:val="righ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101</w:t>
            </w:r>
          </w:p>
        </w:tc>
        <w:tc>
          <w:tcPr>
            <w:tcW w:w="204" w:type="pct"/>
            <w:tcBorders>
              <w:top w:val="none" w:sz="4" w:space="0" w:color="000000"/>
              <w:left w:val="none" w:sz="4" w:space="0" w:color="000000"/>
              <w:bottom w:val="single" w:sz="4" w:space="0" w:color="auto"/>
              <w:right w:val="single" w:sz="4" w:space="0" w:color="auto"/>
            </w:tcBorders>
            <w:vAlign w:val="center"/>
          </w:tcPr>
          <w:p w14:paraId="3FECF302" w14:textId="77777777" w:rsidR="00602DCA" w:rsidRDefault="00C5530C">
            <w:pPr>
              <w:spacing w:after="0" w:line="240" w:lineRule="auto"/>
              <w:jc w:val="righ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68</w:t>
            </w:r>
          </w:p>
        </w:tc>
        <w:tc>
          <w:tcPr>
            <w:tcW w:w="1165" w:type="pct"/>
            <w:tcBorders>
              <w:top w:val="none" w:sz="4" w:space="0" w:color="000000"/>
              <w:left w:val="none" w:sz="4" w:space="0" w:color="000000"/>
              <w:bottom w:val="single" w:sz="4" w:space="0" w:color="auto"/>
              <w:right w:val="single" w:sz="4" w:space="0" w:color="auto"/>
            </w:tcBorders>
            <w:vAlign w:val="center"/>
          </w:tcPr>
          <w:p w14:paraId="003378F5"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Rekonstruované nebo modernizované železnice – globální síť TEN-T</w:t>
            </w:r>
          </w:p>
        </w:tc>
        <w:tc>
          <w:tcPr>
            <w:tcW w:w="304" w:type="pct"/>
            <w:tcBorders>
              <w:top w:val="none" w:sz="4" w:space="0" w:color="000000"/>
              <w:left w:val="none" w:sz="4" w:space="0" w:color="000000"/>
              <w:bottom w:val="single" w:sz="4" w:space="0" w:color="auto"/>
              <w:right w:val="single" w:sz="4" w:space="0" w:color="auto"/>
            </w:tcBorders>
            <w:vAlign w:val="center"/>
          </w:tcPr>
          <w:p w14:paraId="51B411B0"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100 %</w:t>
            </w:r>
          </w:p>
        </w:tc>
        <w:tc>
          <w:tcPr>
            <w:tcW w:w="259" w:type="pct"/>
            <w:tcBorders>
              <w:top w:val="none" w:sz="4" w:space="0" w:color="000000"/>
              <w:left w:val="none" w:sz="4" w:space="0" w:color="000000"/>
              <w:bottom w:val="single" w:sz="4" w:space="0" w:color="auto"/>
              <w:right w:val="single" w:sz="4" w:space="0" w:color="auto"/>
            </w:tcBorders>
            <w:vAlign w:val="center"/>
          </w:tcPr>
          <w:p w14:paraId="0417801C"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w:t>
            </w:r>
          </w:p>
        </w:tc>
        <w:tc>
          <w:tcPr>
            <w:tcW w:w="605" w:type="pct"/>
            <w:tcBorders>
              <w:top w:val="none" w:sz="4" w:space="0" w:color="000000"/>
              <w:left w:val="none" w:sz="4" w:space="0" w:color="000000"/>
              <w:bottom w:val="single" w:sz="4" w:space="0" w:color="auto"/>
              <w:right w:val="single" w:sz="4" w:space="0" w:color="auto"/>
            </w:tcBorders>
            <w:vAlign w:val="center"/>
          </w:tcPr>
          <w:p w14:paraId="149A54A4"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splněno</w:t>
            </w:r>
          </w:p>
          <w:p w14:paraId="7FADE054" w14:textId="77777777" w:rsidR="00602DCA" w:rsidRDefault="00602DCA">
            <w:pPr>
              <w:spacing w:after="0" w:line="240" w:lineRule="auto"/>
              <w:jc w:val="left"/>
              <w:rPr>
                <w:rFonts w:asciiTheme="minorHAnsi" w:eastAsia="Times New Roman" w:hAnsiTheme="minorHAnsi" w:cstheme="minorHAnsi"/>
                <w:color w:val="000000"/>
                <w:sz w:val="16"/>
                <w:szCs w:val="20"/>
                <w:lang w:eastAsia="cs-CZ"/>
              </w:rPr>
            </w:pPr>
          </w:p>
          <w:p w14:paraId="4C840507"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proofErr w:type="gramStart"/>
            <w:r>
              <w:rPr>
                <w:rFonts w:asciiTheme="minorHAnsi" w:eastAsia="Times New Roman" w:hAnsiTheme="minorHAnsi" w:cstheme="minorHAnsi"/>
                <w:color w:val="000000"/>
                <w:sz w:val="16"/>
                <w:szCs w:val="20"/>
                <w:lang w:eastAsia="cs-CZ"/>
              </w:rPr>
              <w:t>CP</w:t>
            </w:r>
            <w:proofErr w:type="gramEnd"/>
            <w:r>
              <w:rPr>
                <w:rFonts w:asciiTheme="minorHAnsi" w:eastAsia="Times New Roman" w:hAnsiTheme="minorHAnsi" w:cstheme="minorHAnsi"/>
                <w:color w:val="000000"/>
                <w:sz w:val="16"/>
                <w:szCs w:val="20"/>
                <w:lang w:eastAsia="cs-CZ"/>
              </w:rPr>
              <w:t xml:space="preserve"> pokud naplnění definice infrastruktury</w:t>
            </w:r>
          </w:p>
        </w:tc>
        <w:tc>
          <w:tcPr>
            <w:tcW w:w="460" w:type="pct"/>
            <w:tcBorders>
              <w:top w:val="none" w:sz="4" w:space="0" w:color="000000"/>
              <w:left w:val="none" w:sz="4" w:space="0" w:color="000000"/>
              <w:bottom w:val="single" w:sz="4" w:space="0" w:color="auto"/>
              <w:right w:val="single" w:sz="4" w:space="0" w:color="auto"/>
            </w:tcBorders>
            <w:vAlign w:val="center"/>
          </w:tcPr>
          <w:p w14:paraId="7FC1C9F6"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p w14:paraId="486DDC33" w14:textId="77777777" w:rsidR="00602DCA" w:rsidRDefault="00602DCA">
            <w:pPr>
              <w:spacing w:after="0" w:line="240" w:lineRule="auto"/>
              <w:jc w:val="left"/>
              <w:rPr>
                <w:rFonts w:asciiTheme="minorHAnsi" w:eastAsia="Times New Roman" w:hAnsiTheme="minorHAnsi" w:cstheme="minorHAnsi"/>
                <w:color w:val="000000"/>
                <w:sz w:val="16"/>
                <w:szCs w:val="20"/>
                <w:lang w:eastAsia="cs-CZ"/>
              </w:rPr>
            </w:pPr>
          </w:p>
          <w:p w14:paraId="39A577DB"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proofErr w:type="gramStart"/>
            <w:r>
              <w:rPr>
                <w:rFonts w:asciiTheme="minorHAnsi" w:eastAsia="Times New Roman" w:hAnsiTheme="minorHAnsi" w:cstheme="minorHAnsi"/>
                <w:color w:val="000000"/>
                <w:sz w:val="16"/>
                <w:szCs w:val="20"/>
                <w:lang w:eastAsia="cs-CZ"/>
              </w:rPr>
              <w:t>CP</w:t>
            </w:r>
            <w:proofErr w:type="gramEnd"/>
            <w:r>
              <w:rPr>
                <w:rFonts w:asciiTheme="minorHAnsi" w:eastAsia="Times New Roman" w:hAnsiTheme="minorHAnsi" w:cstheme="minorHAnsi"/>
                <w:color w:val="000000"/>
                <w:sz w:val="16"/>
                <w:szCs w:val="20"/>
                <w:lang w:eastAsia="cs-CZ"/>
              </w:rPr>
              <w:t xml:space="preserve"> pokud naplnění definice infrastruktury</w:t>
            </w:r>
          </w:p>
        </w:tc>
        <w:tc>
          <w:tcPr>
            <w:tcW w:w="455" w:type="pct"/>
            <w:tcBorders>
              <w:top w:val="none" w:sz="4" w:space="0" w:color="000000"/>
              <w:left w:val="none" w:sz="4" w:space="0" w:color="000000"/>
              <w:bottom w:val="single" w:sz="4" w:space="0" w:color="auto"/>
              <w:right w:val="single" w:sz="4" w:space="0" w:color="auto"/>
            </w:tcBorders>
            <w:vAlign w:val="center"/>
          </w:tcPr>
          <w:p w14:paraId="1BF3D28B"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 není pro DNSH dostatečnou zárukou</w:t>
            </w:r>
          </w:p>
        </w:tc>
        <w:tc>
          <w:tcPr>
            <w:tcW w:w="456" w:type="pct"/>
            <w:tcBorders>
              <w:top w:val="none" w:sz="4" w:space="0" w:color="000000"/>
              <w:left w:val="none" w:sz="4" w:space="0" w:color="000000"/>
              <w:bottom w:val="single" w:sz="4" w:space="0" w:color="auto"/>
              <w:right w:val="single" w:sz="4" w:space="0" w:color="auto"/>
            </w:tcBorders>
            <w:vAlign w:val="center"/>
          </w:tcPr>
          <w:p w14:paraId="73E0EAFF"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 není pro DNSH dostatečnou zárukou</w:t>
            </w:r>
          </w:p>
        </w:tc>
        <w:tc>
          <w:tcPr>
            <w:tcW w:w="461" w:type="pct"/>
            <w:tcBorders>
              <w:top w:val="none" w:sz="4" w:space="0" w:color="000000"/>
              <w:left w:val="none" w:sz="4" w:space="0" w:color="000000"/>
              <w:bottom w:val="single" w:sz="4" w:space="0" w:color="auto"/>
              <w:right w:val="single" w:sz="4" w:space="0" w:color="auto"/>
            </w:tcBorders>
            <w:vAlign w:val="center"/>
          </w:tcPr>
          <w:p w14:paraId="16A423F0"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 není pro DNSH dostatečnou zárukou</w:t>
            </w:r>
          </w:p>
        </w:tc>
        <w:tc>
          <w:tcPr>
            <w:tcW w:w="429" w:type="pct"/>
            <w:tcBorders>
              <w:top w:val="none" w:sz="4" w:space="0" w:color="000000"/>
              <w:left w:val="none" w:sz="4" w:space="0" w:color="000000"/>
              <w:bottom w:val="single" w:sz="4" w:space="0" w:color="auto"/>
              <w:right w:val="single" w:sz="4" w:space="0" w:color="auto"/>
            </w:tcBorders>
            <w:vAlign w:val="center"/>
          </w:tcPr>
          <w:p w14:paraId="320365DC"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 není pro DNSH dostatečnou zárukou</w:t>
            </w:r>
          </w:p>
        </w:tc>
      </w:tr>
      <w:tr w:rsidR="00602DCA" w14:paraId="27FD39AC" w14:textId="77777777">
        <w:trPr>
          <w:trHeight w:val="20"/>
        </w:trPr>
        <w:tc>
          <w:tcPr>
            <w:tcW w:w="202" w:type="pct"/>
            <w:tcBorders>
              <w:top w:val="none" w:sz="4" w:space="0" w:color="000000"/>
              <w:left w:val="single" w:sz="4" w:space="0" w:color="auto"/>
              <w:bottom w:val="single" w:sz="4" w:space="0" w:color="auto"/>
              <w:right w:val="single" w:sz="4" w:space="0" w:color="auto"/>
            </w:tcBorders>
            <w:vAlign w:val="center"/>
          </w:tcPr>
          <w:p w14:paraId="68D3E73A" w14:textId="77777777" w:rsidR="00602DCA" w:rsidRDefault="00C5530C">
            <w:pPr>
              <w:spacing w:after="0" w:line="240" w:lineRule="auto"/>
              <w:jc w:val="righ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102</w:t>
            </w:r>
          </w:p>
        </w:tc>
        <w:tc>
          <w:tcPr>
            <w:tcW w:w="204" w:type="pct"/>
            <w:tcBorders>
              <w:top w:val="none" w:sz="4" w:space="0" w:color="000000"/>
              <w:left w:val="none" w:sz="4" w:space="0" w:color="000000"/>
              <w:bottom w:val="single" w:sz="4" w:space="0" w:color="auto"/>
              <w:right w:val="single" w:sz="4" w:space="0" w:color="auto"/>
            </w:tcBorders>
            <w:vAlign w:val="center"/>
          </w:tcPr>
          <w:p w14:paraId="245A7F47" w14:textId="77777777" w:rsidR="00602DCA" w:rsidRDefault="00C5530C">
            <w:pPr>
              <w:spacing w:after="0" w:line="240" w:lineRule="auto"/>
              <w:jc w:val="righ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69</w:t>
            </w:r>
          </w:p>
        </w:tc>
        <w:tc>
          <w:tcPr>
            <w:tcW w:w="1165" w:type="pct"/>
            <w:tcBorders>
              <w:top w:val="none" w:sz="4" w:space="0" w:color="000000"/>
              <w:left w:val="none" w:sz="4" w:space="0" w:color="000000"/>
              <w:bottom w:val="single" w:sz="4" w:space="0" w:color="auto"/>
              <w:right w:val="single" w:sz="4" w:space="0" w:color="auto"/>
            </w:tcBorders>
            <w:vAlign w:val="center"/>
          </w:tcPr>
          <w:p w14:paraId="3ED18D27"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Jiné rekonstruované nebo modernizované železnice</w:t>
            </w:r>
          </w:p>
        </w:tc>
        <w:tc>
          <w:tcPr>
            <w:tcW w:w="304" w:type="pct"/>
            <w:tcBorders>
              <w:top w:val="none" w:sz="4" w:space="0" w:color="000000"/>
              <w:left w:val="none" w:sz="4" w:space="0" w:color="000000"/>
              <w:bottom w:val="single" w:sz="4" w:space="0" w:color="auto"/>
              <w:right w:val="single" w:sz="4" w:space="0" w:color="auto"/>
            </w:tcBorders>
            <w:vAlign w:val="center"/>
          </w:tcPr>
          <w:p w14:paraId="0820DA27"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w:t>
            </w:r>
          </w:p>
        </w:tc>
        <w:tc>
          <w:tcPr>
            <w:tcW w:w="259" w:type="pct"/>
            <w:tcBorders>
              <w:top w:val="none" w:sz="4" w:space="0" w:color="000000"/>
              <w:left w:val="none" w:sz="4" w:space="0" w:color="000000"/>
              <w:bottom w:val="single" w:sz="4" w:space="0" w:color="auto"/>
              <w:right w:val="single" w:sz="4" w:space="0" w:color="auto"/>
            </w:tcBorders>
            <w:vAlign w:val="center"/>
          </w:tcPr>
          <w:p w14:paraId="6F5DBA7F"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w:t>
            </w:r>
          </w:p>
        </w:tc>
        <w:tc>
          <w:tcPr>
            <w:tcW w:w="605" w:type="pct"/>
            <w:tcBorders>
              <w:top w:val="none" w:sz="4" w:space="0" w:color="000000"/>
              <w:left w:val="none" w:sz="4" w:space="0" w:color="000000"/>
              <w:bottom w:val="single" w:sz="4" w:space="0" w:color="auto"/>
              <w:right w:val="single" w:sz="4" w:space="0" w:color="auto"/>
            </w:tcBorders>
            <w:vAlign w:val="center"/>
          </w:tcPr>
          <w:p w14:paraId="79C87A0B"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p w14:paraId="1AFEE505" w14:textId="77777777" w:rsidR="00602DCA" w:rsidRDefault="00602DCA">
            <w:pPr>
              <w:spacing w:after="0" w:line="240" w:lineRule="auto"/>
              <w:jc w:val="left"/>
              <w:rPr>
                <w:rFonts w:asciiTheme="minorHAnsi" w:eastAsia="Times New Roman" w:hAnsiTheme="minorHAnsi" w:cstheme="minorHAnsi"/>
                <w:color w:val="000000"/>
                <w:sz w:val="16"/>
                <w:szCs w:val="20"/>
                <w:lang w:eastAsia="cs-CZ"/>
              </w:rPr>
            </w:pPr>
          </w:p>
          <w:p w14:paraId="3FA4AF62"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proofErr w:type="gramStart"/>
            <w:r>
              <w:rPr>
                <w:rFonts w:asciiTheme="minorHAnsi" w:eastAsia="Times New Roman" w:hAnsiTheme="minorHAnsi" w:cstheme="minorHAnsi"/>
                <w:color w:val="000000"/>
                <w:sz w:val="16"/>
                <w:szCs w:val="20"/>
                <w:lang w:eastAsia="cs-CZ"/>
              </w:rPr>
              <w:t>CP</w:t>
            </w:r>
            <w:proofErr w:type="gramEnd"/>
            <w:r>
              <w:rPr>
                <w:rFonts w:asciiTheme="minorHAnsi" w:eastAsia="Times New Roman" w:hAnsiTheme="minorHAnsi" w:cstheme="minorHAnsi"/>
                <w:color w:val="000000"/>
                <w:sz w:val="16"/>
                <w:szCs w:val="20"/>
                <w:lang w:eastAsia="cs-CZ"/>
              </w:rPr>
              <w:t xml:space="preserve"> pokud naplnění definice infrastruktury</w:t>
            </w:r>
          </w:p>
        </w:tc>
        <w:tc>
          <w:tcPr>
            <w:tcW w:w="460" w:type="pct"/>
            <w:tcBorders>
              <w:top w:val="none" w:sz="4" w:space="0" w:color="000000"/>
              <w:left w:val="none" w:sz="4" w:space="0" w:color="000000"/>
              <w:bottom w:val="single" w:sz="4" w:space="0" w:color="auto"/>
              <w:right w:val="single" w:sz="4" w:space="0" w:color="auto"/>
            </w:tcBorders>
            <w:vAlign w:val="center"/>
          </w:tcPr>
          <w:p w14:paraId="2BE90FC7"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p w14:paraId="270F2295" w14:textId="77777777" w:rsidR="00602DCA" w:rsidRDefault="00602DCA">
            <w:pPr>
              <w:spacing w:after="0" w:line="240" w:lineRule="auto"/>
              <w:jc w:val="left"/>
              <w:rPr>
                <w:rFonts w:asciiTheme="minorHAnsi" w:eastAsia="Times New Roman" w:hAnsiTheme="minorHAnsi" w:cstheme="minorHAnsi"/>
                <w:color w:val="000000"/>
                <w:sz w:val="16"/>
                <w:szCs w:val="20"/>
                <w:lang w:eastAsia="cs-CZ"/>
              </w:rPr>
            </w:pPr>
          </w:p>
          <w:p w14:paraId="0AAE6714"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proofErr w:type="gramStart"/>
            <w:r>
              <w:rPr>
                <w:rFonts w:asciiTheme="minorHAnsi" w:eastAsia="Times New Roman" w:hAnsiTheme="minorHAnsi" w:cstheme="minorHAnsi"/>
                <w:color w:val="000000"/>
                <w:sz w:val="16"/>
                <w:szCs w:val="20"/>
                <w:lang w:eastAsia="cs-CZ"/>
              </w:rPr>
              <w:t>CP</w:t>
            </w:r>
            <w:proofErr w:type="gramEnd"/>
            <w:r>
              <w:rPr>
                <w:rFonts w:asciiTheme="minorHAnsi" w:eastAsia="Times New Roman" w:hAnsiTheme="minorHAnsi" w:cstheme="minorHAnsi"/>
                <w:color w:val="000000"/>
                <w:sz w:val="16"/>
                <w:szCs w:val="20"/>
                <w:lang w:eastAsia="cs-CZ"/>
              </w:rPr>
              <w:t xml:space="preserve"> pokud naplnění definice infrastruktury</w:t>
            </w:r>
          </w:p>
        </w:tc>
        <w:tc>
          <w:tcPr>
            <w:tcW w:w="455" w:type="pct"/>
            <w:tcBorders>
              <w:top w:val="none" w:sz="4" w:space="0" w:color="000000"/>
              <w:left w:val="none" w:sz="4" w:space="0" w:color="000000"/>
              <w:bottom w:val="single" w:sz="4" w:space="0" w:color="auto"/>
              <w:right w:val="single" w:sz="4" w:space="0" w:color="auto"/>
            </w:tcBorders>
            <w:vAlign w:val="center"/>
          </w:tcPr>
          <w:p w14:paraId="5FB51F8A"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 není pro DNSH dostatečnou zárukou</w:t>
            </w:r>
          </w:p>
        </w:tc>
        <w:tc>
          <w:tcPr>
            <w:tcW w:w="456" w:type="pct"/>
            <w:tcBorders>
              <w:top w:val="none" w:sz="4" w:space="0" w:color="000000"/>
              <w:left w:val="none" w:sz="4" w:space="0" w:color="000000"/>
              <w:bottom w:val="single" w:sz="4" w:space="0" w:color="auto"/>
              <w:right w:val="single" w:sz="4" w:space="0" w:color="auto"/>
            </w:tcBorders>
            <w:vAlign w:val="center"/>
          </w:tcPr>
          <w:p w14:paraId="4287D097"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 není pro DNSH dostatečnou zárukou</w:t>
            </w:r>
          </w:p>
        </w:tc>
        <w:tc>
          <w:tcPr>
            <w:tcW w:w="461" w:type="pct"/>
            <w:tcBorders>
              <w:top w:val="none" w:sz="4" w:space="0" w:color="000000"/>
              <w:left w:val="none" w:sz="4" w:space="0" w:color="000000"/>
              <w:bottom w:val="single" w:sz="4" w:space="0" w:color="auto"/>
              <w:right w:val="single" w:sz="4" w:space="0" w:color="auto"/>
            </w:tcBorders>
            <w:vAlign w:val="center"/>
          </w:tcPr>
          <w:p w14:paraId="6F5A1A6D"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 není pro DNSH dostatečnou zárukou</w:t>
            </w:r>
          </w:p>
        </w:tc>
        <w:tc>
          <w:tcPr>
            <w:tcW w:w="429" w:type="pct"/>
            <w:tcBorders>
              <w:top w:val="none" w:sz="4" w:space="0" w:color="000000"/>
              <w:left w:val="none" w:sz="4" w:space="0" w:color="000000"/>
              <w:bottom w:val="single" w:sz="4" w:space="0" w:color="auto"/>
              <w:right w:val="single" w:sz="4" w:space="0" w:color="auto"/>
            </w:tcBorders>
            <w:vAlign w:val="center"/>
          </w:tcPr>
          <w:p w14:paraId="6EB4C52D"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 není pro DNSH dostatečnou zárukou</w:t>
            </w:r>
          </w:p>
        </w:tc>
      </w:tr>
      <w:tr w:rsidR="00602DCA" w14:paraId="7DB25784" w14:textId="77777777">
        <w:trPr>
          <w:trHeight w:val="20"/>
        </w:trPr>
        <w:tc>
          <w:tcPr>
            <w:tcW w:w="202" w:type="pct"/>
            <w:tcBorders>
              <w:top w:val="none" w:sz="4" w:space="0" w:color="000000"/>
              <w:left w:val="single" w:sz="4" w:space="0" w:color="auto"/>
              <w:bottom w:val="single" w:sz="4" w:space="0" w:color="auto"/>
              <w:right w:val="single" w:sz="4" w:space="0" w:color="auto"/>
            </w:tcBorders>
            <w:vAlign w:val="center"/>
          </w:tcPr>
          <w:p w14:paraId="389A4BBC" w14:textId="77777777" w:rsidR="00602DCA" w:rsidRDefault="00C5530C">
            <w:pPr>
              <w:spacing w:after="0" w:line="240" w:lineRule="auto"/>
              <w:jc w:val="righ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103</w:t>
            </w:r>
          </w:p>
        </w:tc>
        <w:tc>
          <w:tcPr>
            <w:tcW w:w="204" w:type="pct"/>
            <w:tcBorders>
              <w:top w:val="none" w:sz="4" w:space="0" w:color="000000"/>
              <w:left w:val="none" w:sz="4" w:space="0" w:color="000000"/>
              <w:bottom w:val="single" w:sz="4" w:space="0" w:color="auto"/>
              <w:right w:val="single" w:sz="4" w:space="0" w:color="auto"/>
            </w:tcBorders>
            <w:vAlign w:val="center"/>
          </w:tcPr>
          <w:p w14:paraId="12583362" w14:textId="77777777" w:rsidR="00602DCA" w:rsidRDefault="00C5530C">
            <w:pPr>
              <w:spacing w:after="0" w:line="240" w:lineRule="auto"/>
              <w:rPr>
                <w:rFonts w:asciiTheme="minorHAnsi" w:eastAsia="Times New Roman" w:hAnsiTheme="minorHAnsi" w:cstheme="minorHAnsi"/>
                <w:color w:val="000000"/>
                <w:sz w:val="16"/>
                <w:szCs w:val="20"/>
                <w:lang w:eastAsia="cs-CZ"/>
              </w:rPr>
            </w:pPr>
            <w:proofErr w:type="gramStart"/>
            <w:r>
              <w:rPr>
                <w:rFonts w:asciiTheme="minorHAnsi" w:eastAsia="Times New Roman" w:hAnsiTheme="minorHAnsi" w:cstheme="minorHAnsi"/>
                <w:color w:val="000000"/>
                <w:sz w:val="16"/>
                <w:szCs w:val="20"/>
                <w:lang w:eastAsia="cs-CZ"/>
              </w:rPr>
              <w:t>069a</w:t>
            </w:r>
            <w:proofErr w:type="gramEnd"/>
          </w:p>
        </w:tc>
        <w:tc>
          <w:tcPr>
            <w:tcW w:w="1165" w:type="pct"/>
            <w:tcBorders>
              <w:top w:val="none" w:sz="4" w:space="0" w:color="000000"/>
              <w:left w:val="none" w:sz="4" w:space="0" w:color="000000"/>
              <w:bottom w:val="single" w:sz="4" w:space="0" w:color="auto"/>
              <w:right w:val="single" w:sz="4" w:space="0" w:color="auto"/>
            </w:tcBorders>
            <w:vAlign w:val="center"/>
          </w:tcPr>
          <w:p w14:paraId="5CB7E009" w14:textId="77777777" w:rsidR="00602DCA" w:rsidRDefault="00602DCA">
            <w:pPr>
              <w:spacing w:after="0" w:line="240" w:lineRule="auto"/>
              <w:rPr>
                <w:rFonts w:asciiTheme="minorHAnsi" w:eastAsia="Times New Roman" w:hAnsiTheme="minorHAnsi" w:cstheme="minorHAnsi"/>
                <w:color w:val="0563C1"/>
                <w:sz w:val="16"/>
                <w:szCs w:val="20"/>
                <w:u w:val="single"/>
                <w:lang w:eastAsia="cs-CZ"/>
              </w:rPr>
            </w:pPr>
            <w:hyperlink r:id="rId179" w:anchor="E0047" w:tooltip="https://eur-lex.europa.eu/legal-content/CS/TXT/?uri=CELEX%3A02021R1060-20210630&amp;qid=1659091609743#E0047" w:history="1">
              <w:r>
                <w:rPr>
                  <w:rFonts w:asciiTheme="minorHAnsi" w:eastAsia="Times New Roman" w:hAnsiTheme="minorHAnsi" w:cstheme="minorHAnsi"/>
                  <w:color w:val="0563C1"/>
                  <w:sz w:val="16"/>
                  <w:szCs w:val="20"/>
                  <w:u w:val="single"/>
                  <w:lang w:eastAsia="cs-CZ"/>
                </w:rPr>
                <w:t>Jiné rekonstruované nebo modernizované železnice – elektrifikované / nulové emise (26)</w:t>
              </w:r>
            </w:hyperlink>
          </w:p>
        </w:tc>
        <w:tc>
          <w:tcPr>
            <w:tcW w:w="304" w:type="pct"/>
            <w:tcBorders>
              <w:top w:val="none" w:sz="4" w:space="0" w:color="000000"/>
              <w:left w:val="none" w:sz="4" w:space="0" w:color="000000"/>
              <w:bottom w:val="single" w:sz="4" w:space="0" w:color="auto"/>
              <w:right w:val="single" w:sz="4" w:space="0" w:color="auto"/>
            </w:tcBorders>
            <w:vAlign w:val="center"/>
          </w:tcPr>
          <w:p w14:paraId="151AA445"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100 %</w:t>
            </w:r>
          </w:p>
        </w:tc>
        <w:tc>
          <w:tcPr>
            <w:tcW w:w="259" w:type="pct"/>
            <w:tcBorders>
              <w:top w:val="none" w:sz="4" w:space="0" w:color="000000"/>
              <w:left w:val="none" w:sz="4" w:space="0" w:color="000000"/>
              <w:bottom w:val="single" w:sz="4" w:space="0" w:color="auto"/>
              <w:right w:val="single" w:sz="4" w:space="0" w:color="auto"/>
            </w:tcBorders>
            <w:vAlign w:val="center"/>
          </w:tcPr>
          <w:p w14:paraId="3A1CAD3B"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w:t>
            </w:r>
          </w:p>
        </w:tc>
        <w:tc>
          <w:tcPr>
            <w:tcW w:w="605" w:type="pct"/>
            <w:tcBorders>
              <w:top w:val="none" w:sz="4" w:space="0" w:color="000000"/>
              <w:left w:val="none" w:sz="4" w:space="0" w:color="000000"/>
              <w:bottom w:val="single" w:sz="4" w:space="0" w:color="auto"/>
              <w:right w:val="single" w:sz="4" w:space="0" w:color="auto"/>
            </w:tcBorders>
            <w:vAlign w:val="center"/>
          </w:tcPr>
          <w:p w14:paraId="792E72D1"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splněno</w:t>
            </w:r>
          </w:p>
          <w:p w14:paraId="05F7B996" w14:textId="77777777" w:rsidR="00602DCA" w:rsidRDefault="00602DCA">
            <w:pPr>
              <w:spacing w:after="0" w:line="240" w:lineRule="auto"/>
              <w:jc w:val="left"/>
              <w:rPr>
                <w:rFonts w:asciiTheme="minorHAnsi" w:eastAsia="Times New Roman" w:hAnsiTheme="minorHAnsi" w:cstheme="minorHAnsi"/>
                <w:color w:val="000000"/>
                <w:sz w:val="16"/>
                <w:szCs w:val="20"/>
                <w:lang w:eastAsia="cs-CZ"/>
              </w:rPr>
            </w:pPr>
          </w:p>
          <w:p w14:paraId="0B975423"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proofErr w:type="gramStart"/>
            <w:r>
              <w:rPr>
                <w:rFonts w:asciiTheme="minorHAnsi" w:eastAsia="Times New Roman" w:hAnsiTheme="minorHAnsi" w:cstheme="minorHAnsi"/>
                <w:color w:val="000000"/>
                <w:sz w:val="16"/>
                <w:szCs w:val="20"/>
                <w:lang w:eastAsia="cs-CZ"/>
              </w:rPr>
              <w:t>CP</w:t>
            </w:r>
            <w:proofErr w:type="gramEnd"/>
            <w:r>
              <w:rPr>
                <w:rFonts w:asciiTheme="minorHAnsi" w:eastAsia="Times New Roman" w:hAnsiTheme="minorHAnsi" w:cstheme="minorHAnsi"/>
                <w:color w:val="000000"/>
                <w:sz w:val="16"/>
                <w:szCs w:val="20"/>
                <w:lang w:eastAsia="cs-CZ"/>
              </w:rPr>
              <w:t xml:space="preserve"> pokud naplnění definice infrastruktury</w:t>
            </w:r>
          </w:p>
        </w:tc>
        <w:tc>
          <w:tcPr>
            <w:tcW w:w="460" w:type="pct"/>
            <w:tcBorders>
              <w:top w:val="none" w:sz="4" w:space="0" w:color="000000"/>
              <w:left w:val="none" w:sz="4" w:space="0" w:color="000000"/>
              <w:bottom w:val="single" w:sz="4" w:space="0" w:color="auto"/>
              <w:right w:val="single" w:sz="4" w:space="0" w:color="auto"/>
            </w:tcBorders>
            <w:vAlign w:val="center"/>
          </w:tcPr>
          <w:p w14:paraId="47836F5F"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p w14:paraId="1854733E" w14:textId="77777777" w:rsidR="00602DCA" w:rsidRDefault="00602DCA">
            <w:pPr>
              <w:spacing w:after="0" w:line="240" w:lineRule="auto"/>
              <w:jc w:val="left"/>
              <w:rPr>
                <w:rFonts w:asciiTheme="minorHAnsi" w:eastAsia="Times New Roman" w:hAnsiTheme="minorHAnsi" w:cstheme="minorHAnsi"/>
                <w:color w:val="000000"/>
                <w:sz w:val="16"/>
                <w:szCs w:val="20"/>
                <w:lang w:eastAsia="cs-CZ"/>
              </w:rPr>
            </w:pPr>
          </w:p>
          <w:p w14:paraId="7AD5E24B"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proofErr w:type="gramStart"/>
            <w:r>
              <w:rPr>
                <w:rFonts w:asciiTheme="minorHAnsi" w:eastAsia="Times New Roman" w:hAnsiTheme="minorHAnsi" w:cstheme="minorHAnsi"/>
                <w:color w:val="000000"/>
                <w:sz w:val="16"/>
                <w:szCs w:val="20"/>
                <w:lang w:eastAsia="cs-CZ"/>
              </w:rPr>
              <w:t>CP</w:t>
            </w:r>
            <w:proofErr w:type="gramEnd"/>
            <w:r>
              <w:rPr>
                <w:rFonts w:asciiTheme="minorHAnsi" w:eastAsia="Times New Roman" w:hAnsiTheme="minorHAnsi" w:cstheme="minorHAnsi"/>
                <w:color w:val="000000"/>
                <w:sz w:val="16"/>
                <w:szCs w:val="20"/>
                <w:lang w:eastAsia="cs-CZ"/>
              </w:rPr>
              <w:t xml:space="preserve"> pokud naplnění definice infrastruktury</w:t>
            </w:r>
          </w:p>
        </w:tc>
        <w:tc>
          <w:tcPr>
            <w:tcW w:w="455" w:type="pct"/>
            <w:tcBorders>
              <w:top w:val="none" w:sz="4" w:space="0" w:color="000000"/>
              <w:left w:val="none" w:sz="4" w:space="0" w:color="000000"/>
              <w:bottom w:val="single" w:sz="4" w:space="0" w:color="auto"/>
              <w:right w:val="single" w:sz="4" w:space="0" w:color="auto"/>
            </w:tcBorders>
            <w:vAlign w:val="center"/>
          </w:tcPr>
          <w:p w14:paraId="7A57501A"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 není pro DNSH dostatečnou zárukou</w:t>
            </w:r>
          </w:p>
        </w:tc>
        <w:tc>
          <w:tcPr>
            <w:tcW w:w="456" w:type="pct"/>
            <w:tcBorders>
              <w:top w:val="none" w:sz="4" w:space="0" w:color="000000"/>
              <w:left w:val="none" w:sz="4" w:space="0" w:color="000000"/>
              <w:bottom w:val="single" w:sz="4" w:space="0" w:color="auto"/>
              <w:right w:val="single" w:sz="4" w:space="0" w:color="auto"/>
            </w:tcBorders>
            <w:vAlign w:val="center"/>
          </w:tcPr>
          <w:p w14:paraId="02A8F534"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 není pro DNSH dostatečnou zárukou</w:t>
            </w:r>
          </w:p>
        </w:tc>
        <w:tc>
          <w:tcPr>
            <w:tcW w:w="461" w:type="pct"/>
            <w:tcBorders>
              <w:top w:val="none" w:sz="4" w:space="0" w:color="000000"/>
              <w:left w:val="none" w:sz="4" w:space="0" w:color="000000"/>
              <w:bottom w:val="single" w:sz="4" w:space="0" w:color="auto"/>
              <w:right w:val="single" w:sz="4" w:space="0" w:color="auto"/>
            </w:tcBorders>
            <w:vAlign w:val="center"/>
          </w:tcPr>
          <w:p w14:paraId="26D373D4"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 není pro DNSH dostatečnou zárukou</w:t>
            </w:r>
          </w:p>
        </w:tc>
        <w:tc>
          <w:tcPr>
            <w:tcW w:w="429" w:type="pct"/>
            <w:tcBorders>
              <w:top w:val="none" w:sz="4" w:space="0" w:color="000000"/>
              <w:left w:val="none" w:sz="4" w:space="0" w:color="000000"/>
              <w:bottom w:val="single" w:sz="4" w:space="0" w:color="auto"/>
              <w:right w:val="single" w:sz="4" w:space="0" w:color="auto"/>
            </w:tcBorders>
            <w:vAlign w:val="center"/>
          </w:tcPr>
          <w:p w14:paraId="190F5EBE"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 není pro DNSH dostatečnou zárukou</w:t>
            </w:r>
          </w:p>
        </w:tc>
      </w:tr>
      <w:tr w:rsidR="00602DCA" w14:paraId="67B80377" w14:textId="77777777">
        <w:trPr>
          <w:trHeight w:val="20"/>
        </w:trPr>
        <w:tc>
          <w:tcPr>
            <w:tcW w:w="202" w:type="pct"/>
            <w:tcBorders>
              <w:top w:val="none" w:sz="4" w:space="0" w:color="000000"/>
              <w:left w:val="single" w:sz="4" w:space="0" w:color="auto"/>
              <w:bottom w:val="single" w:sz="4" w:space="0" w:color="auto"/>
              <w:right w:val="single" w:sz="4" w:space="0" w:color="auto"/>
            </w:tcBorders>
            <w:vAlign w:val="center"/>
          </w:tcPr>
          <w:p w14:paraId="3DD46182" w14:textId="77777777" w:rsidR="00602DCA" w:rsidRDefault="00C5530C">
            <w:pPr>
              <w:spacing w:after="0" w:line="240" w:lineRule="auto"/>
              <w:jc w:val="righ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104</w:t>
            </w:r>
          </w:p>
        </w:tc>
        <w:tc>
          <w:tcPr>
            <w:tcW w:w="204" w:type="pct"/>
            <w:tcBorders>
              <w:top w:val="none" w:sz="4" w:space="0" w:color="000000"/>
              <w:left w:val="none" w:sz="4" w:space="0" w:color="000000"/>
              <w:bottom w:val="single" w:sz="4" w:space="0" w:color="auto"/>
              <w:right w:val="single" w:sz="4" w:space="0" w:color="auto"/>
            </w:tcBorders>
            <w:vAlign w:val="center"/>
          </w:tcPr>
          <w:p w14:paraId="17AD8A20" w14:textId="77777777" w:rsidR="00602DCA" w:rsidRDefault="00C5530C">
            <w:pPr>
              <w:spacing w:after="0" w:line="240" w:lineRule="auto"/>
              <w:jc w:val="righ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70</w:t>
            </w:r>
          </w:p>
        </w:tc>
        <w:tc>
          <w:tcPr>
            <w:tcW w:w="1165" w:type="pct"/>
            <w:tcBorders>
              <w:top w:val="none" w:sz="4" w:space="0" w:color="000000"/>
              <w:left w:val="none" w:sz="4" w:space="0" w:color="000000"/>
              <w:bottom w:val="single" w:sz="4" w:space="0" w:color="auto"/>
              <w:right w:val="single" w:sz="4" w:space="0" w:color="auto"/>
            </w:tcBorders>
            <w:vAlign w:val="center"/>
          </w:tcPr>
          <w:p w14:paraId="7798B58E"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Digitalizace dopravy: železnice</w:t>
            </w:r>
          </w:p>
        </w:tc>
        <w:tc>
          <w:tcPr>
            <w:tcW w:w="304" w:type="pct"/>
            <w:tcBorders>
              <w:top w:val="none" w:sz="4" w:space="0" w:color="000000"/>
              <w:left w:val="none" w:sz="4" w:space="0" w:color="000000"/>
              <w:bottom w:val="single" w:sz="4" w:space="0" w:color="auto"/>
              <w:right w:val="single" w:sz="4" w:space="0" w:color="auto"/>
            </w:tcBorders>
            <w:vAlign w:val="center"/>
          </w:tcPr>
          <w:p w14:paraId="3879F0D0"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w:t>
            </w:r>
          </w:p>
        </w:tc>
        <w:tc>
          <w:tcPr>
            <w:tcW w:w="259" w:type="pct"/>
            <w:tcBorders>
              <w:top w:val="none" w:sz="4" w:space="0" w:color="000000"/>
              <w:left w:val="none" w:sz="4" w:space="0" w:color="000000"/>
              <w:bottom w:val="single" w:sz="4" w:space="0" w:color="auto"/>
              <w:right w:val="single" w:sz="4" w:space="0" w:color="auto"/>
            </w:tcBorders>
            <w:vAlign w:val="center"/>
          </w:tcPr>
          <w:p w14:paraId="39182884"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0 %</w:t>
            </w:r>
          </w:p>
        </w:tc>
        <w:tc>
          <w:tcPr>
            <w:tcW w:w="605" w:type="pct"/>
            <w:tcBorders>
              <w:top w:val="none" w:sz="4" w:space="0" w:color="000000"/>
              <w:left w:val="none" w:sz="4" w:space="0" w:color="000000"/>
              <w:bottom w:val="single" w:sz="4" w:space="0" w:color="auto"/>
              <w:right w:val="single" w:sz="4" w:space="0" w:color="auto"/>
            </w:tcBorders>
            <w:vAlign w:val="center"/>
          </w:tcPr>
          <w:p w14:paraId="6ED71855"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p w14:paraId="4CCD608D" w14:textId="77777777" w:rsidR="00602DCA" w:rsidRDefault="00602DCA">
            <w:pPr>
              <w:spacing w:after="0" w:line="240" w:lineRule="auto"/>
              <w:jc w:val="left"/>
              <w:rPr>
                <w:rFonts w:asciiTheme="minorHAnsi" w:eastAsia="Times New Roman" w:hAnsiTheme="minorHAnsi" w:cstheme="minorHAnsi"/>
                <w:color w:val="000000"/>
                <w:sz w:val="16"/>
                <w:szCs w:val="20"/>
                <w:lang w:eastAsia="cs-CZ"/>
              </w:rPr>
            </w:pPr>
          </w:p>
          <w:p w14:paraId="7DFDDBCF"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proofErr w:type="gramStart"/>
            <w:r>
              <w:rPr>
                <w:rFonts w:asciiTheme="minorHAnsi" w:eastAsia="Times New Roman" w:hAnsiTheme="minorHAnsi" w:cstheme="minorHAnsi"/>
                <w:color w:val="000000"/>
                <w:sz w:val="16"/>
                <w:szCs w:val="20"/>
                <w:lang w:eastAsia="cs-CZ"/>
              </w:rPr>
              <w:t>CP</w:t>
            </w:r>
            <w:proofErr w:type="gramEnd"/>
            <w:r>
              <w:rPr>
                <w:rFonts w:asciiTheme="minorHAnsi" w:eastAsia="Times New Roman" w:hAnsiTheme="minorHAnsi" w:cstheme="minorHAnsi"/>
                <w:color w:val="000000"/>
                <w:sz w:val="16"/>
                <w:szCs w:val="20"/>
                <w:lang w:eastAsia="cs-CZ"/>
              </w:rPr>
              <w:t xml:space="preserve"> pokud naplnění definice infrastruktury</w:t>
            </w:r>
          </w:p>
        </w:tc>
        <w:tc>
          <w:tcPr>
            <w:tcW w:w="460" w:type="pct"/>
            <w:tcBorders>
              <w:top w:val="none" w:sz="4" w:space="0" w:color="000000"/>
              <w:left w:val="none" w:sz="4" w:space="0" w:color="000000"/>
              <w:bottom w:val="single" w:sz="4" w:space="0" w:color="auto"/>
              <w:right w:val="single" w:sz="4" w:space="0" w:color="auto"/>
            </w:tcBorders>
            <w:vAlign w:val="center"/>
          </w:tcPr>
          <w:p w14:paraId="0EE68532"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p w14:paraId="3C907F58" w14:textId="77777777" w:rsidR="00602DCA" w:rsidRDefault="00602DCA">
            <w:pPr>
              <w:spacing w:after="0" w:line="240" w:lineRule="auto"/>
              <w:jc w:val="left"/>
              <w:rPr>
                <w:rFonts w:asciiTheme="minorHAnsi" w:eastAsia="Times New Roman" w:hAnsiTheme="minorHAnsi" w:cstheme="minorHAnsi"/>
                <w:color w:val="000000"/>
                <w:sz w:val="16"/>
                <w:szCs w:val="20"/>
                <w:lang w:eastAsia="cs-CZ"/>
              </w:rPr>
            </w:pPr>
          </w:p>
          <w:p w14:paraId="0E7224F2"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proofErr w:type="gramStart"/>
            <w:r>
              <w:rPr>
                <w:rFonts w:asciiTheme="minorHAnsi" w:eastAsia="Times New Roman" w:hAnsiTheme="minorHAnsi" w:cstheme="minorHAnsi"/>
                <w:color w:val="000000"/>
                <w:sz w:val="16"/>
                <w:szCs w:val="20"/>
                <w:lang w:eastAsia="cs-CZ"/>
              </w:rPr>
              <w:t>CP</w:t>
            </w:r>
            <w:proofErr w:type="gramEnd"/>
            <w:r>
              <w:rPr>
                <w:rFonts w:asciiTheme="minorHAnsi" w:eastAsia="Times New Roman" w:hAnsiTheme="minorHAnsi" w:cstheme="minorHAnsi"/>
                <w:color w:val="000000"/>
                <w:sz w:val="16"/>
                <w:szCs w:val="20"/>
                <w:lang w:eastAsia="cs-CZ"/>
              </w:rPr>
              <w:t xml:space="preserve"> pokud naplnění definice infrastruktury</w:t>
            </w:r>
          </w:p>
        </w:tc>
        <w:tc>
          <w:tcPr>
            <w:tcW w:w="455" w:type="pct"/>
            <w:tcBorders>
              <w:top w:val="none" w:sz="4" w:space="0" w:color="000000"/>
              <w:left w:val="none" w:sz="4" w:space="0" w:color="000000"/>
              <w:bottom w:val="single" w:sz="4" w:space="0" w:color="auto"/>
              <w:right w:val="single" w:sz="4" w:space="0" w:color="auto"/>
            </w:tcBorders>
            <w:vAlign w:val="center"/>
          </w:tcPr>
          <w:p w14:paraId="4C000073"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tc>
        <w:tc>
          <w:tcPr>
            <w:tcW w:w="456" w:type="pct"/>
            <w:tcBorders>
              <w:top w:val="none" w:sz="4" w:space="0" w:color="000000"/>
              <w:left w:val="none" w:sz="4" w:space="0" w:color="000000"/>
              <w:bottom w:val="single" w:sz="4" w:space="0" w:color="auto"/>
              <w:right w:val="single" w:sz="4" w:space="0" w:color="auto"/>
            </w:tcBorders>
            <w:vAlign w:val="center"/>
          </w:tcPr>
          <w:p w14:paraId="371E1FE2"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tc>
        <w:tc>
          <w:tcPr>
            <w:tcW w:w="461" w:type="pct"/>
            <w:tcBorders>
              <w:top w:val="none" w:sz="4" w:space="0" w:color="000000"/>
              <w:left w:val="none" w:sz="4" w:space="0" w:color="000000"/>
              <w:bottom w:val="single" w:sz="4" w:space="0" w:color="auto"/>
              <w:right w:val="single" w:sz="4" w:space="0" w:color="auto"/>
            </w:tcBorders>
            <w:vAlign w:val="center"/>
          </w:tcPr>
          <w:p w14:paraId="19B9EE5B"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tc>
        <w:tc>
          <w:tcPr>
            <w:tcW w:w="429" w:type="pct"/>
            <w:tcBorders>
              <w:top w:val="none" w:sz="4" w:space="0" w:color="000000"/>
              <w:left w:val="none" w:sz="4" w:space="0" w:color="000000"/>
              <w:bottom w:val="single" w:sz="4" w:space="0" w:color="auto"/>
              <w:right w:val="single" w:sz="4" w:space="0" w:color="auto"/>
            </w:tcBorders>
            <w:vAlign w:val="center"/>
          </w:tcPr>
          <w:p w14:paraId="0CF9D6F4"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tc>
      </w:tr>
      <w:tr w:rsidR="00602DCA" w14:paraId="3D8923A8" w14:textId="77777777">
        <w:trPr>
          <w:trHeight w:val="20"/>
        </w:trPr>
        <w:tc>
          <w:tcPr>
            <w:tcW w:w="202" w:type="pct"/>
            <w:tcBorders>
              <w:top w:val="none" w:sz="4" w:space="0" w:color="000000"/>
              <w:left w:val="single" w:sz="4" w:space="0" w:color="auto"/>
              <w:bottom w:val="single" w:sz="4" w:space="0" w:color="auto"/>
              <w:right w:val="single" w:sz="4" w:space="0" w:color="auto"/>
            </w:tcBorders>
            <w:vAlign w:val="center"/>
          </w:tcPr>
          <w:p w14:paraId="1969C83F" w14:textId="77777777" w:rsidR="00602DCA" w:rsidRDefault="00C5530C">
            <w:pPr>
              <w:spacing w:after="0" w:line="240" w:lineRule="auto"/>
              <w:jc w:val="righ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lastRenderedPageBreak/>
              <w:t>105</w:t>
            </w:r>
          </w:p>
        </w:tc>
        <w:tc>
          <w:tcPr>
            <w:tcW w:w="204" w:type="pct"/>
            <w:tcBorders>
              <w:top w:val="none" w:sz="4" w:space="0" w:color="000000"/>
              <w:left w:val="none" w:sz="4" w:space="0" w:color="000000"/>
              <w:bottom w:val="single" w:sz="4" w:space="0" w:color="auto"/>
              <w:right w:val="single" w:sz="4" w:space="0" w:color="auto"/>
            </w:tcBorders>
            <w:vAlign w:val="center"/>
          </w:tcPr>
          <w:p w14:paraId="0A33CE77" w14:textId="77777777" w:rsidR="00602DCA" w:rsidRDefault="00C5530C">
            <w:pPr>
              <w:spacing w:after="0" w:line="240" w:lineRule="auto"/>
              <w:jc w:val="righ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71</w:t>
            </w:r>
          </w:p>
        </w:tc>
        <w:tc>
          <w:tcPr>
            <w:tcW w:w="1165" w:type="pct"/>
            <w:tcBorders>
              <w:top w:val="none" w:sz="4" w:space="0" w:color="000000"/>
              <w:left w:val="none" w:sz="4" w:space="0" w:color="000000"/>
              <w:bottom w:val="single" w:sz="4" w:space="0" w:color="auto"/>
              <w:right w:val="single" w:sz="4" w:space="0" w:color="auto"/>
            </w:tcBorders>
            <w:vAlign w:val="center"/>
          </w:tcPr>
          <w:p w14:paraId="008459D7"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Evropský systém řízení železničního provozu (ERTMS)</w:t>
            </w:r>
          </w:p>
        </w:tc>
        <w:tc>
          <w:tcPr>
            <w:tcW w:w="304" w:type="pct"/>
            <w:tcBorders>
              <w:top w:val="none" w:sz="4" w:space="0" w:color="000000"/>
              <w:left w:val="none" w:sz="4" w:space="0" w:color="000000"/>
              <w:bottom w:val="single" w:sz="4" w:space="0" w:color="auto"/>
              <w:right w:val="single" w:sz="4" w:space="0" w:color="auto"/>
            </w:tcBorders>
            <w:vAlign w:val="center"/>
          </w:tcPr>
          <w:p w14:paraId="70773FD4"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w:t>
            </w:r>
          </w:p>
        </w:tc>
        <w:tc>
          <w:tcPr>
            <w:tcW w:w="259" w:type="pct"/>
            <w:tcBorders>
              <w:top w:val="none" w:sz="4" w:space="0" w:color="000000"/>
              <w:left w:val="none" w:sz="4" w:space="0" w:color="000000"/>
              <w:bottom w:val="single" w:sz="4" w:space="0" w:color="auto"/>
              <w:right w:val="single" w:sz="4" w:space="0" w:color="auto"/>
            </w:tcBorders>
            <w:vAlign w:val="center"/>
          </w:tcPr>
          <w:p w14:paraId="29D8A719"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w:t>
            </w:r>
          </w:p>
        </w:tc>
        <w:tc>
          <w:tcPr>
            <w:tcW w:w="605" w:type="pct"/>
            <w:tcBorders>
              <w:top w:val="none" w:sz="4" w:space="0" w:color="000000"/>
              <w:left w:val="none" w:sz="4" w:space="0" w:color="000000"/>
              <w:bottom w:val="single" w:sz="4" w:space="0" w:color="auto"/>
              <w:right w:val="single" w:sz="4" w:space="0" w:color="auto"/>
            </w:tcBorders>
            <w:vAlign w:val="center"/>
          </w:tcPr>
          <w:p w14:paraId="778F2B7E"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p w14:paraId="4A847091" w14:textId="77777777" w:rsidR="00602DCA" w:rsidRDefault="00602DCA">
            <w:pPr>
              <w:spacing w:after="0" w:line="240" w:lineRule="auto"/>
              <w:jc w:val="left"/>
              <w:rPr>
                <w:rFonts w:asciiTheme="minorHAnsi" w:eastAsia="Times New Roman" w:hAnsiTheme="minorHAnsi" w:cstheme="minorHAnsi"/>
                <w:color w:val="000000"/>
                <w:sz w:val="16"/>
                <w:szCs w:val="20"/>
                <w:lang w:eastAsia="cs-CZ"/>
              </w:rPr>
            </w:pPr>
          </w:p>
          <w:p w14:paraId="55DF44D0"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proofErr w:type="gramStart"/>
            <w:r>
              <w:rPr>
                <w:rFonts w:asciiTheme="minorHAnsi" w:eastAsia="Times New Roman" w:hAnsiTheme="minorHAnsi" w:cstheme="minorHAnsi"/>
                <w:color w:val="000000"/>
                <w:sz w:val="16"/>
                <w:szCs w:val="20"/>
                <w:lang w:eastAsia="cs-CZ"/>
              </w:rPr>
              <w:t>CP</w:t>
            </w:r>
            <w:proofErr w:type="gramEnd"/>
            <w:r>
              <w:rPr>
                <w:rFonts w:asciiTheme="minorHAnsi" w:eastAsia="Times New Roman" w:hAnsiTheme="minorHAnsi" w:cstheme="minorHAnsi"/>
                <w:color w:val="000000"/>
                <w:sz w:val="16"/>
                <w:szCs w:val="20"/>
                <w:lang w:eastAsia="cs-CZ"/>
              </w:rPr>
              <w:t xml:space="preserve"> pokud naplnění definice infrastruktury</w:t>
            </w:r>
          </w:p>
        </w:tc>
        <w:tc>
          <w:tcPr>
            <w:tcW w:w="460" w:type="pct"/>
            <w:tcBorders>
              <w:top w:val="none" w:sz="4" w:space="0" w:color="000000"/>
              <w:left w:val="none" w:sz="4" w:space="0" w:color="000000"/>
              <w:bottom w:val="single" w:sz="4" w:space="0" w:color="auto"/>
              <w:right w:val="single" w:sz="4" w:space="0" w:color="auto"/>
            </w:tcBorders>
            <w:vAlign w:val="center"/>
          </w:tcPr>
          <w:p w14:paraId="715FCD1B"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p w14:paraId="034C7415" w14:textId="77777777" w:rsidR="00602DCA" w:rsidRDefault="00602DCA">
            <w:pPr>
              <w:spacing w:after="0" w:line="240" w:lineRule="auto"/>
              <w:jc w:val="left"/>
              <w:rPr>
                <w:rFonts w:asciiTheme="minorHAnsi" w:eastAsia="Times New Roman" w:hAnsiTheme="minorHAnsi" w:cstheme="minorHAnsi"/>
                <w:color w:val="000000"/>
                <w:sz w:val="16"/>
                <w:szCs w:val="20"/>
                <w:lang w:eastAsia="cs-CZ"/>
              </w:rPr>
            </w:pPr>
          </w:p>
          <w:p w14:paraId="270DF311"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proofErr w:type="gramStart"/>
            <w:r>
              <w:rPr>
                <w:rFonts w:asciiTheme="minorHAnsi" w:eastAsia="Times New Roman" w:hAnsiTheme="minorHAnsi" w:cstheme="minorHAnsi"/>
                <w:color w:val="000000"/>
                <w:sz w:val="16"/>
                <w:szCs w:val="20"/>
                <w:lang w:eastAsia="cs-CZ"/>
              </w:rPr>
              <w:t>CP</w:t>
            </w:r>
            <w:proofErr w:type="gramEnd"/>
            <w:r>
              <w:rPr>
                <w:rFonts w:asciiTheme="minorHAnsi" w:eastAsia="Times New Roman" w:hAnsiTheme="minorHAnsi" w:cstheme="minorHAnsi"/>
                <w:color w:val="000000"/>
                <w:sz w:val="16"/>
                <w:szCs w:val="20"/>
                <w:lang w:eastAsia="cs-CZ"/>
              </w:rPr>
              <w:t xml:space="preserve"> pokud naplnění definice infrastruktury</w:t>
            </w:r>
          </w:p>
        </w:tc>
        <w:tc>
          <w:tcPr>
            <w:tcW w:w="455" w:type="pct"/>
            <w:tcBorders>
              <w:top w:val="none" w:sz="4" w:space="0" w:color="000000"/>
              <w:left w:val="none" w:sz="4" w:space="0" w:color="000000"/>
              <w:bottom w:val="single" w:sz="4" w:space="0" w:color="auto"/>
              <w:right w:val="single" w:sz="4" w:space="0" w:color="auto"/>
            </w:tcBorders>
            <w:vAlign w:val="center"/>
          </w:tcPr>
          <w:p w14:paraId="5D3297D0"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 není pro DNSH dostatečnou zárukou</w:t>
            </w:r>
          </w:p>
        </w:tc>
        <w:tc>
          <w:tcPr>
            <w:tcW w:w="456" w:type="pct"/>
            <w:tcBorders>
              <w:top w:val="none" w:sz="4" w:space="0" w:color="000000"/>
              <w:left w:val="none" w:sz="4" w:space="0" w:color="000000"/>
              <w:bottom w:val="single" w:sz="4" w:space="0" w:color="auto"/>
              <w:right w:val="single" w:sz="4" w:space="0" w:color="auto"/>
            </w:tcBorders>
            <w:vAlign w:val="center"/>
          </w:tcPr>
          <w:p w14:paraId="78F6DFB9"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 není pro DNSH dostatečnou zárukou</w:t>
            </w:r>
          </w:p>
        </w:tc>
        <w:tc>
          <w:tcPr>
            <w:tcW w:w="461" w:type="pct"/>
            <w:tcBorders>
              <w:top w:val="none" w:sz="4" w:space="0" w:color="000000"/>
              <w:left w:val="none" w:sz="4" w:space="0" w:color="000000"/>
              <w:bottom w:val="single" w:sz="4" w:space="0" w:color="auto"/>
              <w:right w:val="single" w:sz="4" w:space="0" w:color="auto"/>
            </w:tcBorders>
            <w:vAlign w:val="center"/>
          </w:tcPr>
          <w:p w14:paraId="31F1C241"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 není pro DNSH dostatečnou zárukou</w:t>
            </w:r>
          </w:p>
        </w:tc>
        <w:tc>
          <w:tcPr>
            <w:tcW w:w="429" w:type="pct"/>
            <w:tcBorders>
              <w:top w:val="none" w:sz="4" w:space="0" w:color="000000"/>
              <w:left w:val="none" w:sz="4" w:space="0" w:color="000000"/>
              <w:bottom w:val="single" w:sz="4" w:space="0" w:color="auto"/>
              <w:right w:val="single" w:sz="4" w:space="0" w:color="auto"/>
            </w:tcBorders>
            <w:vAlign w:val="center"/>
          </w:tcPr>
          <w:p w14:paraId="22B60FCE"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 není pro DNSH dostatečnou zárukou</w:t>
            </w:r>
          </w:p>
        </w:tc>
      </w:tr>
      <w:tr w:rsidR="00602DCA" w14:paraId="73619480" w14:textId="77777777">
        <w:trPr>
          <w:trHeight w:val="20"/>
        </w:trPr>
        <w:tc>
          <w:tcPr>
            <w:tcW w:w="202" w:type="pct"/>
            <w:tcBorders>
              <w:top w:val="none" w:sz="4" w:space="0" w:color="000000"/>
              <w:left w:val="single" w:sz="4" w:space="0" w:color="auto"/>
              <w:bottom w:val="single" w:sz="4" w:space="0" w:color="auto"/>
              <w:right w:val="single" w:sz="4" w:space="0" w:color="auto"/>
            </w:tcBorders>
            <w:vAlign w:val="center"/>
          </w:tcPr>
          <w:p w14:paraId="5129CB5B" w14:textId="77777777" w:rsidR="00602DCA" w:rsidRDefault="00C5530C">
            <w:pPr>
              <w:spacing w:after="0" w:line="240" w:lineRule="auto"/>
              <w:jc w:val="righ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106</w:t>
            </w:r>
          </w:p>
        </w:tc>
        <w:tc>
          <w:tcPr>
            <w:tcW w:w="204" w:type="pct"/>
            <w:tcBorders>
              <w:top w:val="none" w:sz="4" w:space="0" w:color="000000"/>
              <w:left w:val="none" w:sz="4" w:space="0" w:color="000000"/>
              <w:bottom w:val="single" w:sz="4" w:space="0" w:color="auto"/>
              <w:right w:val="single" w:sz="4" w:space="0" w:color="auto"/>
            </w:tcBorders>
            <w:vAlign w:val="center"/>
          </w:tcPr>
          <w:p w14:paraId="4B6B4E68" w14:textId="77777777" w:rsidR="00602DCA" w:rsidRDefault="00C5530C">
            <w:pPr>
              <w:spacing w:after="0" w:line="240" w:lineRule="auto"/>
              <w:jc w:val="righ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72</w:t>
            </w:r>
          </w:p>
        </w:tc>
        <w:tc>
          <w:tcPr>
            <w:tcW w:w="1165" w:type="pct"/>
            <w:tcBorders>
              <w:top w:val="none" w:sz="4" w:space="0" w:color="000000"/>
              <w:left w:val="none" w:sz="4" w:space="0" w:color="000000"/>
              <w:bottom w:val="single" w:sz="4" w:space="0" w:color="auto"/>
              <w:right w:val="single" w:sz="4" w:space="0" w:color="auto"/>
            </w:tcBorders>
            <w:vAlign w:val="center"/>
          </w:tcPr>
          <w:p w14:paraId="6EABB848"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Mobilní majetek železnic</w:t>
            </w:r>
          </w:p>
        </w:tc>
        <w:tc>
          <w:tcPr>
            <w:tcW w:w="304" w:type="pct"/>
            <w:tcBorders>
              <w:top w:val="none" w:sz="4" w:space="0" w:color="000000"/>
              <w:left w:val="none" w:sz="4" w:space="0" w:color="000000"/>
              <w:bottom w:val="single" w:sz="4" w:space="0" w:color="auto"/>
              <w:right w:val="single" w:sz="4" w:space="0" w:color="auto"/>
            </w:tcBorders>
            <w:vAlign w:val="center"/>
          </w:tcPr>
          <w:p w14:paraId="4CC98D74"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0 %</w:t>
            </w:r>
          </w:p>
        </w:tc>
        <w:tc>
          <w:tcPr>
            <w:tcW w:w="259" w:type="pct"/>
            <w:tcBorders>
              <w:top w:val="none" w:sz="4" w:space="0" w:color="000000"/>
              <w:left w:val="none" w:sz="4" w:space="0" w:color="000000"/>
              <w:bottom w:val="single" w:sz="4" w:space="0" w:color="auto"/>
              <w:right w:val="single" w:sz="4" w:space="0" w:color="auto"/>
            </w:tcBorders>
            <w:vAlign w:val="center"/>
          </w:tcPr>
          <w:p w14:paraId="6B44792C"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w:t>
            </w:r>
          </w:p>
        </w:tc>
        <w:tc>
          <w:tcPr>
            <w:tcW w:w="605" w:type="pct"/>
            <w:tcBorders>
              <w:top w:val="none" w:sz="4" w:space="0" w:color="000000"/>
              <w:left w:val="none" w:sz="4" w:space="0" w:color="000000"/>
              <w:bottom w:val="single" w:sz="4" w:space="0" w:color="auto"/>
              <w:right w:val="single" w:sz="4" w:space="0" w:color="auto"/>
            </w:tcBorders>
            <w:noWrap/>
            <w:vAlign w:val="center"/>
          </w:tcPr>
          <w:p w14:paraId="3CE98B9D"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tc>
        <w:tc>
          <w:tcPr>
            <w:tcW w:w="460" w:type="pct"/>
            <w:tcBorders>
              <w:top w:val="none" w:sz="4" w:space="0" w:color="000000"/>
              <w:left w:val="none" w:sz="4" w:space="0" w:color="000000"/>
              <w:bottom w:val="single" w:sz="4" w:space="0" w:color="auto"/>
              <w:right w:val="single" w:sz="4" w:space="0" w:color="auto"/>
            </w:tcBorders>
            <w:noWrap/>
            <w:vAlign w:val="center"/>
          </w:tcPr>
          <w:p w14:paraId="669DDEF9"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tc>
        <w:tc>
          <w:tcPr>
            <w:tcW w:w="455" w:type="pct"/>
            <w:tcBorders>
              <w:top w:val="none" w:sz="4" w:space="0" w:color="000000"/>
              <w:left w:val="none" w:sz="4" w:space="0" w:color="000000"/>
              <w:bottom w:val="single" w:sz="4" w:space="0" w:color="auto"/>
              <w:right w:val="single" w:sz="4" w:space="0" w:color="auto"/>
            </w:tcBorders>
            <w:vAlign w:val="center"/>
          </w:tcPr>
          <w:p w14:paraId="517FE799"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0 % / 40 % není pro DNSH dostatečnou zárukou</w:t>
            </w:r>
          </w:p>
        </w:tc>
        <w:tc>
          <w:tcPr>
            <w:tcW w:w="456" w:type="pct"/>
            <w:tcBorders>
              <w:top w:val="none" w:sz="4" w:space="0" w:color="000000"/>
              <w:left w:val="none" w:sz="4" w:space="0" w:color="000000"/>
              <w:bottom w:val="single" w:sz="4" w:space="0" w:color="auto"/>
              <w:right w:val="single" w:sz="4" w:space="0" w:color="auto"/>
            </w:tcBorders>
            <w:vAlign w:val="center"/>
          </w:tcPr>
          <w:p w14:paraId="32E4BD10"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0 % / 40 % není pro DNSH dostatečnou zárukou</w:t>
            </w:r>
          </w:p>
        </w:tc>
        <w:tc>
          <w:tcPr>
            <w:tcW w:w="461" w:type="pct"/>
            <w:tcBorders>
              <w:top w:val="none" w:sz="4" w:space="0" w:color="000000"/>
              <w:left w:val="none" w:sz="4" w:space="0" w:color="000000"/>
              <w:bottom w:val="single" w:sz="4" w:space="0" w:color="auto"/>
              <w:right w:val="single" w:sz="4" w:space="0" w:color="auto"/>
            </w:tcBorders>
            <w:vAlign w:val="center"/>
          </w:tcPr>
          <w:p w14:paraId="0C35D88C"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0 % / 40 % není pro DNSH dostatečnou zárukou</w:t>
            </w:r>
          </w:p>
        </w:tc>
        <w:tc>
          <w:tcPr>
            <w:tcW w:w="429" w:type="pct"/>
            <w:tcBorders>
              <w:top w:val="none" w:sz="4" w:space="0" w:color="000000"/>
              <w:left w:val="none" w:sz="4" w:space="0" w:color="000000"/>
              <w:bottom w:val="single" w:sz="4" w:space="0" w:color="auto"/>
              <w:right w:val="single" w:sz="4" w:space="0" w:color="auto"/>
            </w:tcBorders>
            <w:vAlign w:val="center"/>
          </w:tcPr>
          <w:p w14:paraId="08C11C26"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0 % / 40 % není pro DNSH dostatečnou zárukou</w:t>
            </w:r>
          </w:p>
        </w:tc>
      </w:tr>
      <w:tr w:rsidR="00602DCA" w14:paraId="2FCF5518" w14:textId="77777777">
        <w:trPr>
          <w:trHeight w:val="20"/>
        </w:trPr>
        <w:tc>
          <w:tcPr>
            <w:tcW w:w="202" w:type="pct"/>
            <w:tcBorders>
              <w:top w:val="none" w:sz="4" w:space="0" w:color="000000"/>
              <w:left w:val="single" w:sz="4" w:space="0" w:color="auto"/>
              <w:bottom w:val="single" w:sz="4" w:space="0" w:color="auto"/>
              <w:right w:val="single" w:sz="4" w:space="0" w:color="auto"/>
            </w:tcBorders>
            <w:vAlign w:val="center"/>
          </w:tcPr>
          <w:p w14:paraId="018AE345" w14:textId="77777777" w:rsidR="00602DCA" w:rsidRDefault="00C5530C">
            <w:pPr>
              <w:spacing w:after="0" w:line="240" w:lineRule="auto"/>
              <w:jc w:val="righ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107</w:t>
            </w:r>
          </w:p>
        </w:tc>
        <w:tc>
          <w:tcPr>
            <w:tcW w:w="204" w:type="pct"/>
            <w:tcBorders>
              <w:top w:val="none" w:sz="4" w:space="0" w:color="000000"/>
              <w:left w:val="none" w:sz="4" w:space="0" w:color="000000"/>
              <w:bottom w:val="single" w:sz="4" w:space="0" w:color="auto"/>
              <w:right w:val="single" w:sz="4" w:space="0" w:color="auto"/>
            </w:tcBorders>
            <w:vAlign w:val="center"/>
          </w:tcPr>
          <w:p w14:paraId="483D8FC7" w14:textId="77777777" w:rsidR="00602DCA" w:rsidRDefault="00C5530C">
            <w:pPr>
              <w:spacing w:after="0" w:line="240" w:lineRule="auto"/>
              <w:rPr>
                <w:rFonts w:asciiTheme="minorHAnsi" w:eastAsia="Times New Roman" w:hAnsiTheme="minorHAnsi" w:cstheme="minorHAnsi"/>
                <w:color w:val="000000"/>
                <w:sz w:val="16"/>
                <w:szCs w:val="20"/>
                <w:lang w:eastAsia="cs-CZ"/>
              </w:rPr>
            </w:pPr>
            <w:proofErr w:type="gramStart"/>
            <w:r>
              <w:rPr>
                <w:rFonts w:asciiTheme="minorHAnsi" w:eastAsia="Times New Roman" w:hAnsiTheme="minorHAnsi" w:cstheme="minorHAnsi"/>
                <w:color w:val="000000"/>
                <w:sz w:val="16"/>
                <w:szCs w:val="20"/>
                <w:lang w:eastAsia="cs-CZ"/>
              </w:rPr>
              <w:t>072a</w:t>
            </w:r>
            <w:proofErr w:type="gramEnd"/>
          </w:p>
        </w:tc>
        <w:tc>
          <w:tcPr>
            <w:tcW w:w="1165" w:type="pct"/>
            <w:tcBorders>
              <w:top w:val="none" w:sz="4" w:space="0" w:color="000000"/>
              <w:left w:val="none" w:sz="4" w:space="0" w:color="000000"/>
              <w:bottom w:val="single" w:sz="4" w:space="0" w:color="auto"/>
              <w:right w:val="single" w:sz="4" w:space="0" w:color="auto"/>
            </w:tcBorders>
            <w:vAlign w:val="center"/>
          </w:tcPr>
          <w:p w14:paraId="7CC1AA98" w14:textId="77777777" w:rsidR="00602DCA" w:rsidRDefault="00602DCA">
            <w:pPr>
              <w:spacing w:after="0" w:line="240" w:lineRule="auto"/>
              <w:rPr>
                <w:rFonts w:asciiTheme="minorHAnsi" w:eastAsia="Times New Roman" w:hAnsiTheme="minorHAnsi" w:cstheme="minorHAnsi"/>
                <w:color w:val="0563C1"/>
                <w:sz w:val="16"/>
                <w:szCs w:val="20"/>
                <w:u w:val="single"/>
                <w:lang w:eastAsia="cs-CZ"/>
              </w:rPr>
            </w:pPr>
            <w:hyperlink r:id="rId180" w:anchor="E0047" w:tooltip="https://eur-lex.europa.eu/legal-content/CS/TXT/?uri=CELEX%3A02021R1060-20210630&amp;qid=1659091609743#E0047" w:history="1">
              <w:r>
                <w:rPr>
                  <w:rFonts w:asciiTheme="minorHAnsi" w:eastAsia="Times New Roman" w:hAnsiTheme="minorHAnsi" w:cstheme="minorHAnsi"/>
                  <w:color w:val="0563C1"/>
                  <w:sz w:val="16"/>
                  <w:szCs w:val="20"/>
                  <w:u w:val="single"/>
                  <w:lang w:eastAsia="cs-CZ"/>
                </w:rPr>
                <w:t>Mobilní majetek železnic s nulovými emisemi / na elektrický pohon (26)</w:t>
              </w:r>
            </w:hyperlink>
          </w:p>
        </w:tc>
        <w:tc>
          <w:tcPr>
            <w:tcW w:w="304" w:type="pct"/>
            <w:tcBorders>
              <w:top w:val="none" w:sz="4" w:space="0" w:color="000000"/>
              <w:left w:val="none" w:sz="4" w:space="0" w:color="000000"/>
              <w:bottom w:val="single" w:sz="4" w:space="0" w:color="auto"/>
              <w:right w:val="single" w:sz="4" w:space="0" w:color="auto"/>
            </w:tcBorders>
            <w:vAlign w:val="center"/>
          </w:tcPr>
          <w:p w14:paraId="2CBA84B4"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100 %</w:t>
            </w:r>
          </w:p>
        </w:tc>
        <w:tc>
          <w:tcPr>
            <w:tcW w:w="259" w:type="pct"/>
            <w:tcBorders>
              <w:top w:val="none" w:sz="4" w:space="0" w:color="000000"/>
              <w:left w:val="none" w:sz="4" w:space="0" w:color="000000"/>
              <w:bottom w:val="single" w:sz="4" w:space="0" w:color="auto"/>
              <w:right w:val="single" w:sz="4" w:space="0" w:color="auto"/>
            </w:tcBorders>
            <w:vAlign w:val="center"/>
          </w:tcPr>
          <w:p w14:paraId="0A81AE0F"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w:t>
            </w:r>
          </w:p>
        </w:tc>
        <w:tc>
          <w:tcPr>
            <w:tcW w:w="605" w:type="pct"/>
            <w:tcBorders>
              <w:top w:val="none" w:sz="4" w:space="0" w:color="000000"/>
              <w:left w:val="none" w:sz="4" w:space="0" w:color="000000"/>
              <w:bottom w:val="single" w:sz="4" w:space="0" w:color="auto"/>
              <w:right w:val="single" w:sz="4" w:space="0" w:color="auto"/>
            </w:tcBorders>
            <w:vAlign w:val="center"/>
          </w:tcPr>
          <w:p w14:paraId="2BFF1F8F"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splněno</w:t>
            </w:r>
          </w:p>
          <w:p w14:paraId="756A8DEF" w14:textId="77777777" w:rsidR="00602DCA" w:rsidRDefault="00602DCA">
            <w:pPr>
              <w:spacing w:after="0" w:line="240" w:lineRule="auto"/>
              <w:jc w:val="left"/>
              <w:rPr>
                <w:rFonts w:asciiTheme="minorHAnsi" w:eastAsia="Times New Roman" w:hAnsiTheme="minorHAnsi" w:cstheme="minorHAnsi"/>
                <w:color w:val="000000"/>
                <w:sz w:val="16"/>
                <w:szCs w:val="20"/>
                <w:lang w:eastAsia="cs-CZ"/>
              </w:rPr>
            </w:pPr>
          </w:p>
          <w:p w14:paraId="13D3F3A0"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proofErr w:type="gramStart"/>
            <w:r>
              <w:rPr>
                <w:rFonts w:asciiTheme="minorHAnsi" w:eastAsia="Times New Roman" w:hAnsiTheme="minorHAnsi" w:cstheme="minorHAnsi"/>
                <w:color w:val="000000"/>
                <w:sz w:val="16"/>
                <w:szCs w:val="20"/>
                <w:lang w:eastAsia="cs-CZ"/>
              </w:rPr>
              <w:t>CP</w:t>
            </w:r>
            <w:proofErr w:type="gramEnd"/>
            <w:r>
              <w:rPr>
                <w:rFonts w:asciiTheme="minorHAnsi" w:eastAsia="Times New Roman" w:hAnsiTheme="minorHAnsi" w:cstheme="minorHAnsi"/>
                <w:color w:val="000000"/>
                <w:sz w:val="16"/>
                <w:szCs w:val="20"/>
                <w:lang w:eastAsia="cs-CZ"/>
              </w:rPr>
              <w:t xml:space="preserve"> pokud naplnění definice infrastruktury</w:t>
            </w:r>
          </w:p>
        </w:tc>
        <w:tc>
          <w:tcPr>
            <w:tcW w:w="460" w:type="pct"/>
            <w:tcBorders>
              <w:top w:val="none" w:sz="4" w:space="0" w:color="000000"/>
              <w:left w:val="none" w:sz="4" w:space="0" w:color="000000"/>
              <w:bottom w:val="single" w:sz="4" w:space="0" w:color="auto"/>
              <w:right w:val="single" w:sz="4" w:space="0" w:color="auto"/>
            </w:tcBorders>
            <w:vAlign w:val="center"/>
          </w:tcPr>
          <w:p w14:paraId="453606E2"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p w14:paraId="44B2EA10" w14:textId="77777777" w:rsidR="00602DCA" w:rsidRDefault="00602DCA">
            <w:pPr>
              <w:spacing w:after="0" w:line="240" w:lineRule="auto"/>
              <w:jc w:val="left"/>
              <w:rPr>
                <w:rFonts w:asciiTheme="minorHAnsi" w:eastAsia="Times New Roman" w:hAnsiTheme="minorHAnsi" w:cstheme="minorHAnsi"/>
                <w:color w:val="000000"/>
                <w:sz w:val="16"/>
                <w:szCs w:val="20"/>
                <w:lang w:eastAsia="cs-CZ"/>
              </w:rPr>
            </w:pPr>
          </w:p>
          <w:p w14:paraId="1ECA391D"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proofErr w:type="gramStart"/>
            <w:r>
              <w:rPr>
                <w:rFonts w:asciiTheme="minorHAnsi" w:eastAsia="Times New Roman" w:hAnsiTheme="minorHAnsi" w:cstheme="minorHAnsi"/>
                <w:color w:val="000000"/>
                <w:sz w:val="16"/>
                <w:szCs w:val="20"/>
                <w:lang w:eastAsia="cs-CZ"/>
              </w:rPr>
              <w:t>CP</w:t>
            </w:r>
            <w:proofErr w:type="gramEnd"/>
            <w:r>
              <w:rPr>
                <w:rFonts w:asciiTheme="minorHAnsi" w:eastAsia="Times New Roman" w:hAnsiTheme="minorHAnsi" w:cstheme="minorHAnsi"/>
                <w:color w:val="000000"/>
                <w:sz w:val="16"/>
                <w:szCs w:val="20"/>
                <w:lang w:eastAsia="cs-CZ"/>
              </w:rPr>
              <w:t xml:space="preserve"> pokud naplnění definice infrastruktury</w:t>
            </w:r>
          </w:p>
        </w:tc>
        <w:tc>
          <w:tcPr>
            <w:tcW w:w="455" w:type="pct"/>
            <w:tcBorders>
              <w:top w:val="none" w:sz="4" w:space="0" w:color="000000"/>
              <w:left w:val="none" w:sz="4" w:space="0" w:color="000000"/>
              <w:bottom w:val="single" w:sz="4" w:space="0" w:color="auto"/>
              <w:right w:val="single" w:sz="4" w:space="0" w:color="auto"/>
            </w:tcBorders>
            <w:vAlign w:val="center"/>
          </w:tcPr>
          <w:p w14:paraId="4EFDC415"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 není pro DNSH dostatečnou zárukou</w:t>
            </w:r>
          </w:p>
        </w:tc>
        <w:tc>
          <w:tcPr>
            <w:tcW w:w="456" w:type="pct"/>
            <w:tcBorders>
              <w:top w:val="none" w:sz="4" w:space="0" w:color="000000"/>
              <w:left w:val="none" w:sz="4" w:space="0" w:color="000000"/>
              <w:bottom w:val="single" w:sz="4" w:space="0" w:color="auto"/>
              <w:right w:val="single" w:sz="4" w:space="0" w:color="auto"/>
            </w:tcBorders>
            <w:vAlign w:val="center"/>
          </w:tcPr>
          <w:p w14:paraId="78583C75"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 není pro DNSH dostatečnou zárukou</w:t>
            </w:r>
          </w:p>
        </w:tc>
        <w:tc>
          <w:tcPr>
            <w:tcW w:w="461" w:type="pct"/>
            <w:tcBorders>
              <w:top w:val="none" w:sz="4" w:space="0" w:color="000000"/>
              <w:left w:val="none" w:sz="4" w:space="0" w:color="000000"/>
              <w:bottom w:val="single" w:sz="4" w:space="0" w:color="auto"/>
              <w:right w:val="single" w:sz="4" w:space="0" w:color="auto"/>
            </w:tcBorders>
            <w:vAlign w:val="center"/>
          </w:tcPr>
          <w:p w14:paraId="6C1444BE"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 není pro DNSH dostatečnou zárukou</w:t>
            </w:r>
          </w:p>
        </w:tc>
        <w:tc>
          <w:tcPr>
            <w:tcW w:w="429" w:type="pct"/>
            <w:tcBorders>
              <w:top w:val="none" w:sz="4" w:space="0" w:color="000000"/>
              <w:left w:val="none" w:sz="4" w:space="0" w:color="000000"/>
              <w:bottom w:val="single" w:sz="4" w:space="0" w:color="auto"/>
              <w:right w:val="single" w:sz="4" w:space="0" w:color="auto"/>
            </w:tcBorders>
            <w:vAlign w:val="center"/>
          </w:tcPr>
          <w:p w14:paraId="609E311F"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 není pro DNSH dostatečnou zárukou</w:t>
            </w:r>
          </w:p>
        </w:tc>
      </w:tr>
      <w:tr w:rsidR="00602DCA" w14:paraId="1EB591D5" w14:textId="77777777">
        <w:trPr>
          <w:trHeight w:val="20"/>
        </w:trPr>
        <w:tc>
          <w:tcPr>
            <w:tcW w:w="202" w:type="pct"/>
            <w:tcBorders>
              <w:top w:val="none" w:sz="4" w:space="0" w:color="000000"/>
              <w:left w:val="single" w:sz="4" w:space="0" w:color="auto"/>
              <w:bottom w:val="single" w:sz="4" w:space="0" w:color="auto"/>
              <w:right w:val="single" w:sz="4" w:space="0" w:color="auto"/>
            </w:tcBorders>
            <w:vAlign w:val="center"/>
          </w:tcPr>
          <w:p w14:paraId="40004399" w14:textId="77777777" w:rsidR="00602DCA" w:rsidRDefault="00C5530C">
            <w:pPr>
              <w:spacing w:after="0" w:line="240" w:lineRule="auto"/>
              <w:jc w:val="righ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108</w:t>
            </w:r>
          </w:p>
        </w:tc>
        <w:tc>
          <w:tcPr>
            <w:tcW w:w="204" w:type="pct"/>
            <w:tcBorders>
              <w:top w:val="none" w:sz="4" w:space="0" w:color="000000"/>
              <w:left w:val="none" w:sz="4" w:space="0" w:color="000000"/>
              <w:bottom w:val="single" w:sz="4" w:space="0" w:color="auto"/>
              <w:right w:val="single" w:sz="4" w:space="0" w:color="auto"/>
            </w:tcBorders>
            <w:vAlign w:val="center"/>
          </w:tcPr>
          <w:p w14:paraId="652E222A" w14:textId="77777777" w:rsidR="00602DCA" w:rsidRDefault="00C5530C">
            <w:pPr>
              <w:spacing w:after="0" w:line="240" w:lineRule="auto"/>
              <w:jc w:val="righ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78</w:t>
            </w:r>
          </w:p>
        </w:tc>
        <w:tc>
          <w:tcPr>
            <w:tcW w:w="1165" w:type="pct"/>
            <w:tcBorders>
              <w:top w:val="none" w:sz="4" w:space="0" w:color="000000"/>
              <w:left w:val="none" w:sz="4" w:space="0" w:color="000000"/>
              <w:bottom w:val="single" w:sz="4" w:space="0" w:color="auto"/>
              <w:right w:val="single" w:sz="4" w:space="0" w:color="auto"/>
            </w:tcBorders>
            <w:vAlign w:val="center"/>
          </w:tcPr>
          <w:p w14:paraId="35E1A071"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Multimodální doprava (TEN-T)</w:t>
            </w:r>
          </w:p>
        </w:tc>
        <w:tc>
          <w:tcPr>
            <w:tcW w:w="304" w:type="pct"/>
            <w:tcBorders>
              <w:top w:val="none" w:sz="4" w:space="0" w:color="000000"/>
              <w:left w:val="none" w:sz="4" w:space="0" w:color="000000"/>
              <w:bottom w:val="single" w:sz="4" w:space="0" w:color="auto"/>
              <w:right w:val="single" w:sz="4" w:space="0" w:color="auto"/>
            </w:tcBorders>
            <w:vAlign w:val="center"/>
          </w:tcPr>
          <w:p w14:paraId="2BD4DA35"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w:t>
            </w:r>
          </w:p>
        </w:tc>
        <w:tc>
          <w:tcPr>
            <w:tcW w:w="259" w:type="pct"/>
            <w:tcBorders>
              <w:top w:val="none" w:sz="4" w:space="0" w:color="000000"/>
              <w:left w:val="none" w:sz="4" w:space="0" w:color="000000"/>
              <w:bottom w:val="single" w:sz="4" w:space="0" w:color="auto"/>
              <w:right w:val="single" w:sz="4" w:space="0" w:color="auto"/>
            </w:tcBorders>
            <w:vAlign w:val="center"/>
          </w:tcPr>
          <w:p w14:paraId="1FC3DDDA"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w:t>
            </w:r>
          </w:p>
        </w:tc>
        <w:tc>
          <w:tcPr>
            <w:tcW w:w="605" w:type="pct"/>
            <w:tcBorders>
              <w:top w:val="none" w:sz="4" w:space="0" w:color="000000"/>
              <w:left w:val="none" w:sz="4" w:space="0" w:color="000000"/>
              <w:bottom w:val="single" w:sz="4" w:space="0" w:color="auto"/>
              <w:right w:val="single" w:sz="4" w:space="0" w:color="auto"/>
            </w:tcBorders>
            <w:vAlign w:val="center"/>
          </w:tcPr>
          <w:p w14:paraId="3822A952"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p w14:paraId="24C68050" w14:textId="77777777" w:rsidR="00602DCA" w:rsidRDefault="00602DCA">
            <w:pPr>
              <w:spacing w:after="0" w:line="240" w:lineRule="auto"/>
              <w:jc w:val="left"/>
              <w:rPr>
                <w:rFonts w:asciiTheme="minorHAnsi" w:eastAsia="Times New Roman" w:hAnsiTheme="minorHAnsi" w:cstheme="minorHAnsi"/>
                <w:color w:val="000000"/>
                <w:sz w:val="16"/>
                <w:szCs w:val="20"/>
                <w:lang w:eastAsia="cs-CZ"/>
              </w:rPr>
            </w:pPr>
          </w:p>
          <w:p w14:paraId="6E354883"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proofErr w:type="gramStart"/>
            <w:r>
              <w:rPr>
                <w:rFonts w:asciiTheme="minorHAnsi" w:eastAsia="Times New Roman" w:hAnsiTheme="minorHAnsi" w:cstheme="minorHAnsi"/>
                <w:color w:val="000000"/>
                <w:sz w:val="16"/>
                <w:szCs w:val="20"/>
                <w:lang w:eastAsia="cs-CZ"/>
              </w:rPr>
              <w:t>CP</w:t>
            </w:r>
            <w:proofErr w:type="gramEnd"/>
            <w:r>
              <w:rPr>
                <w:rFonts w:asciiTheme="minorHAnsi" w:eastAsia="Times New Roman" w:hAnsiTheme="minorHAnsi" w:cstheme="minorHAnsi"/>
                <w:color w:val="000000"/>
                <w:sz w:val="16"/>
                <w:szCs w:val="20"/>
                <w:lang w:eastAsia="cs-CZ"/>
              </w:rPr>
              <w:t xml:space="preserve"> pokud naplnění definice infrastruktury</w:t>
            </w:r>
          </w:p>
        </w:tc>
        <w:tc>
          <w:tcPr>
            <w:tcW w:w="460" w:type="pct"/>
            <w:tcBorders>
              <w:top w:val="none" w:sz="4" w:space="0" w:color="000000"/>
              <w:left w:val="none" w:sz="4" w:space="0" w:color="000000"/>
              <w:bottom w:val="single" w:sz="4" w:space="0" w:color="auto"/>
              <w:right w:val="single" w:sz="4" w:space="0" w:color="auto"/>
            </w:tcBorders>
            <w:vAlign w:val="center"/>
          </w:tcPr>
          <w:p w14:paraId="0D2BC66C"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p w14:paraId="6367E863" w14:textId="77777777" w:rsidR="00602DCA" w:rsidRDefault="00602DCA">
            <w:pPr>
              <w:spacing w:after="0" w:line="240" w:lineRule="auto"/>
              <w:jc w:val="left"/>
              <w:rPr>
                <w:rFonts w:asciiTheme="minorHAnsi" w:eastAsia="Times New Roman" w:hAnsiTheme="minorHAnsi" w:cstheme="minorHAnsi"/>
                <w:color w:val="000000"/>
                <w:sz w:val="16"/>
                <w:szCs w:val="20"/>
                <w:lang w:eastAsia="cs-CZ"/>
              </w:rPr>
            </w:pPr>
          </w:p>
          <w:p w14:paraId="244AFEED"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proofErr w:type="gramStart"/>
            <w:r>
              <w:rPr>
                <w:rFonts w:asciiTheme="minorHAnsi" w:eastAsia="Times New Roman" w:hAnsiTheme="minorHAnsi" w:cstheme="minorHAnsi"/>
                <w:color w:val="000000"/>
                <w:sz w:val="16"/>
                <w:szCs w:val="20"/>
                <w:lang w:eastAsia="cs-CZ"/>
              </w:rPr>
              <w:t>CP</w:t>
            </w:r>
            <w:proofErr w:type="gramEnd"/>
            <w:r>
              <w:rPr>
                <w:rFonts w:asciiTheme="minorHAnsi" w:eastAsia="Times New Roman" w:hAnsiTheme="minorHAnsi" w:cstheme="minorHAnsi"/>
                <w:color w:val="000000"/>
                <w:sz w:val="16"/>
                <w:szCs w:val="20"/>
                <w:lang w:eastAsia="cs-CZ"/>
              </w:rPr>
              <w:t xml:space="preserve"> pokud naplnění definice infrastruktury</w:t>
            </w:r>
          </w:p>
        </w:tc>
        <w:tc>
          <w:tcPr>
            <w:tcW w:w="455" w:type="pct"/>
            <w:tcBorders>
              <w:top w:val="none" w:sz="4" w:space="0" w:color="000000"/>
              <w:left w:val="none" w:sz="4" w:space="0" w:color="000000"/>
              <w:bottom w:val="single" w:sz="4" w:space="0" w:color="auto"/>
              <w:right w:val="single" w:sz="4" w:space="0" w:color="auto"/>
            </w:tcBorders>
            <w:vAlign w:val="center"/>
          </w:tcPr>
          <w:p w14:paraId="6C227F38"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 není pro DNSH dostatečnou zárukou</w:t>
            </w:r>
          </w:p>
        </w:tc>
        <w:tc>
          <w:tcPr>
            <w:tcW w:w="456" w:type="pct"/>
            <w:tcBorders>
              <w:top w:val="none" w:sz="4" w:space="0" w:color="000000"/>
              <w:left w:val="none" w:sz="4" w:space="0" w:color="000000"/>
              <w:bottom w:val="single" w:sz="4" w:space="0" w:color="auto"/>
              <w:right w:val="single" w:sz="4" w:space="0" w:color="auto"/>
            </w:tcBorders>
            <w:vAlign w:val="center"/>
          </w:tcPr>
          <w:p w14:paraId="02777F3C"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 není pro DNSH dostatečnou zárukou</w:t>
            </w:r>
          </w:p>
        </w:tc>
        <w:tc>
          <w:tcPr>
            <w:tcW w:w="461" w:type="pct"/>
            <w:tcBorders>
              <w:top w:val="none" w:sz="4" w:space="0" w:color="000000"/>
              <w:left w:val="none" w:sz="4" w:space="0" w:color="000000"/>
              <w:bottom w:val="single" w:sz="4" w:space="0" w:color="auto"/>
              <w:right w:val="single" w:sz="4" w:space="0" w:color="auto"/>
            </w:tcBorders>
            <w:vAlign w:val="center"/>
          </w:tcPr>
          <w:p w14:paraId="3D58C5E3"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 není pro DNSH dostatečnou zárukou</w:t>
            </w:r>
          </w:p>
        </w:tc>
        <w:tc>
          <w:tcPr>
            <w:tcW w:w="429" w:type="pct"/>
            <w:tcBorders>
              <w:top w:val="none" w:sz="4" w:space="0" w:color="000000"/>
              <w:left w:val="none" w:sz="4" w:space="0" w:color="000000"/>
              <w:bottom w:val="single" w:sz="4" w:space="0" w:color="auto"/>
              <w:right w:val="single" w:sz="4" w:space="0" w:color="auto"/>
            </w:tcBorders>
            <w:vAlign w:val="center"/>
          </w:tcPr>
          <w:p w14:paraId="11AC6BF0"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 není pro DNSH dostatečnou zárukou</w:t>
            </w:r>
          </w:p>
        </w:tc>
      </w:tr>
      <w:tr w:rsidR="00602DCA" w14:paraId="0F3AD9F7" w14:textId="77777777">
        <w:trPr>
          <w:trHeight w:val="20"/>
        </w:trPr>
        <w:tc>
          <w:tcPr>
            <w:tcW w:w="202" w:type="pct"/>
            <w:tcBorders>
              <w:top w:val="none" w:sz="4" w:space="0" w:color="000000"/>
              <w:left w:val="single" w:sz="4" w:space="0" w:color="auto"/>
              <w:bottom w:val="single" w:sz="4" w:space="0" w:color="auto"/>
              <w:right w:val="single" w:sz="4" w:space="0" w:color="auto"/>
            </w:tcBorders>
            <w:vAlign w:val="center"/>
          </w:tcPr>
          <w:p w14:paraId="36A86256" w14:textId="77777777" w:rsidR="00602DCA" w:rsidRDefault="00C5530C">
            <w:pPr>
              <w:spacing w:after="0" w:line="240" w:lineRule="auto"/>
              <w:jc w:val="righ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109</w:t>
            </w:r>
          </w:p>
        </w:tc>
        <w:tc>
          <w:tcPr>
            <w:tcW w:w="204" w:type="pct"/>
            <w:tcBorders>
              <w:top w:val="none" w:sz="4" w:space="0" w:color="000000"/>
              <w:left w:val="none" w:sz="4" w:space="0" w:color="000000"/>
              <w:bottom w:val="single" w:sz="4" w:space="0" w:color="auto"/>
              <w:right w:val="single" w:sz="4" w:space="0" w:color="auto"/>
            </w:tcBorders>
            <w:vAlign w:val="center"/>
          </w:tcPr>
          <w:p w14:paraId="74D13B6E" w14:textId="77777777" w:rsidR="00602DCA" w:rsidRDefault="00C5530C">
            <w:pPr>
              <w:spacing w:after="0" w:line="240" w:lineRule="auto"/>
              <w:jc w:val="righ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79</w:t>
            </w:r>
          </w:p>
        </w:tc>
        <w:tc>
          <w:tcPr>
            <w:tcW w:w="1165" w:type="pct"/>
            <w:tcBorders>
              <w:top w:val="none" w:sz="4" w:space="0" w:color="000000"/>
              <w:left w:val="none" w:sz="4" w:space="0" w:color="000000"/>
              <w:bottom w:val="single" w:sz="4" w:space="0" w:color="auto"/>
              <w:right w:val="single" w:sz="4" w:space="0" w:color="auto"/>
            </w:tcBorders>
            <w:vAlign w:val="center"/>
          </w:tcPr>
          <w:p w14:paraId="19E1E206"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Multimodální doprava (mimo městské dopravy)</w:t>
            </w:r>
          </w:p>
        </w:tc>
        <w:tc>
          <w:tcPr>
            <w:tcW w:w="304" w:type="pct"/>
            <w:tcBorders>
              <w:top w:val="none" w:sz="4" w:space="0" w:color="000000"/>
              <w:left w:val="none" w:sz="4" w:space="0" w:color="000000"/>
              <w:bottom w:val="single" w:sz="4" w:space="0" w:color="auto"/>
              <w:right w:val="single" w:sz="4" w:space="0" w:color="auto"/>
            </w:tcBorders>
            <w:vAlign w:val="center"/>
          </w:tcPr>
          <w:p w14:paraId="09A8CBC9"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w:t>
            </w:r>
          </w:p>
        </w:tc>
        <w:tc>
          <w:tcPr>
            <w:tcW w:w="259" w:type="pct"/>
            <w:tcBorders>
              <w:top w:val="none" w:sz="4" w:space="0" w:color="000000"/>
              <w:left w:val="none" w:sz="4" w:space="0" w:color="000000"/>
              <w:bottom w:val="single" w:sz="4" w:space="0" w:color="auto"/>
              <w:right w:val="single" w:sz="4" w:space="0" w:color="auto"/>
            </w:tcBorders>
            <w:vAlign w:val="center"/>
          </w:tcPr>
          <w:p w14:paraId="2B9E9C10"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w:t>
            </w:r>
          </w:p>
        </w:tc>
        <w:tc>
          <w:tcPr>
            <w:tcW w:w="605" w:type="pct"/>
            <w:tcBorders>
              <w:top w:val="none" w:sz="4" w:space="0" w:color="000000"/>
              <w:left w:val="none" w:sz="4" w:space="0" w:color="000000"/>
              <w:bottom w:val="single" w:sz="4" w:space="0" w:color="auto"/>
              <w:right w:val="single" w:sz="4" w:space="0" w:color="auto"/>
            </w:tcBorders>
            <w:vAlign w:val="center"/>
          </w:tcPr>
          <w:p w14:paraId="7ED5D492"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p w14:paraId="6C48DF2B" w14:textId="77777777" w:rsidR="00602DCA" w:rsidRDefault="00602DCA">
            <w:pPr>
              <w:spacing w:after="0" w:line="240" w:lineRule="auto"/>
              <w:jc w:val="left"/>
              <w:rPr>
                <w:rFonts w:asciiTheme="minorHAnsi" w:eastAsia="Times New Roman" w:hAnsiTheme="minorHAnsi" w:cstheme="minorHAnsi"/>
                <w:color w:val="000000"/>
                <w:sz w:val="16"/>
                <w:szCs w:val="20"/>
                <w:lang w:eastAsia="cs-CZ"/>
              </w:rPr>
            </w:pPr>
          </w:p>
          <w:p w14:paraId="42A677D2"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proofErr w:type="gramStart"/>
            <w:r>
              <w:rPr>
                <w:rFonts w:asciiTheme="minorHAnsi" w:eastAsia="Times New Roman" w:hAnsiTheme="minorHAnsi" w:cstheme="minorHAnsi"/>
                <w:color w:val="000000"/>
                <w:sz w:val="16"/>
                <w:szCs w:val="20"/>
                <w:lang w:eastAsia="cs-CZ"/>
              </w:rPr>
              <w:t>CP</w:t>
            </w:r>
            <w:proofErr w:type="gramEnd"/>
            <w:r>
              <w:rPr>
                <w:rFonts w:asciiTheme="minorHAnsi" w:eastAsia="Times New Roman" w:hAnsiTheme="minorHAnsi" w:cstheme="minorHAnsi"/>
                <w:color w:val="000000"/>
                <w:sz w:val="16"/>
                <w:szCs w:val="20"/>
                <w:lang w:eastAsia="cs-CZ"/>
              </w:rPr>
              <w:t xml:space="preserve"> pokud naplnění definice infrastruktury</w:t>
            </w:r>
          </w:p>
        </w:tc>
        <w:tc>
          <w:tcPr>
            <w:tcW w:w="460" w:type="pct"/>
            <w:tcBorders>
              <w:top w:val="none" w:sz="4" w:space="0" w:color="000000"/>
              <w:left w:val="none" w:sz="4" w:space="0" w:color="000000"/>
              <w:bottom w:val="single" w:sz="4" w:space="0" w:color="auto"/>
              <w:right w:val="single" w:sz="4" w:space="0" w:color="auto"/>
            </w:tcBorders>
            <w:vAlign w:val="center"/>
          </w:tcPr>
          <w:p w14:paraId="074F8F3B"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p w14:paraId="1236790B" w14:textId="77777777" w:rsidR="00602DCA" w:rsidRDefault="00602DCA">
            <w:pPr>
              <w:spacing w:after="0" w:line="240" w:lineRule="auto"/>
              <w:jc w:val="left"/>
              <w:rPr>
                <w:rFonts w:asciiTheme="minorHAnsi" w:eastAsia="Times New Roman" w:hAnsiTheme="minorHAnsi" w:cstheme="minorHAnsi"/>
                <w:color w:val="000000"/>
                <w:sz w:val="16"/>
                <w:szCs w:val="20"/>
                <w:lang w:eastAsia="cs-CZ"/>
              </w:rPr>
            </w:pPr>
          </w:p>
          <w:p w14:paraId="4ECE4DB9"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proofErr w:type="gramStart"/>
            <w:r>
              <w:rPr>
                <w:rFonts w:asciiTheme="minorHAnsi" w:eastAsia="Times New Roman" w:hAnsiTheme="minorHAnsi" w:cstheme="minorHAnsi"/>
                <w:color w:val="000000"/>
                <w:sz w:val="16"/>
                <w:szCs w:val="20"/>
                <w:lang w:eastAsia="cs-CZ"/>
              </w:rPr>
              <w:t>CP</w:t>
            </w:r>
            <w:proofErr w:type="gramEnd"/>
            <w:r>
              <w:rPr>
                <w:rFonts w:asciiTheme="minorHAnsi" w:eastAsia="Times New Roman" w:hAnsiTheme="minorHAnsi" w:cstheme="minorHAnsi"/>
                <w:color w:val="000000"/>
                <w:sz w:val="16"/>
                <w:szCs w:val="20"/>
                <w:lang w:eastAsia="cs-CZ"/>
              </w:rPr>
              <w:t xml:space="preserve"> pokud naplnění definice infrastruktury</w:t>
            </w:r>
          </w:p>
        </w:tc>
        <w:tc>
          <w:tcPr>
            <w:tcW w:w="455" w:type="pct"/>
            <w:tcBorders>
              <w:top w:val="none" w:sz="4" w:space="0" w:color="000000"/>
              <w:left w:val="none" w:sz="4" w:space="0" w:color="000000"/>
              <w:bottom w:val="single" w:sz="4" w:space="0" w:color="auto"/>
              <w:right w:val="single" w:sz="4" w:space="0" w:color="auto"/>
            </w:tcBorders>
            <w:vAlign w:val="center"/>
          </w:tcPr>
          <w:p w14:paraId="5B888AEC"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 není pro DNSH dostatečnou zárukou</w:t>
            </w:r>
          </w:p>
        </w:tc>
        <w:tc>
          <w:tcPr>
            <w:tcW w:w="456" w:type="pct"/>
            <w:tcBorders>
              <w:top w:val="none" w:sz="4" w:space="0" w:color="000000"/>
              <w:left w:val="none" w:sz="4" w:space="0" w:color="000000"/>
              <w:bottom w:val="single" w:sz="4" w:space="0" w:color="auto"/>
              <w:right w:val="single" w:sz="4" w:space="0" w:color="auto"/>
            </w:tcBorders>
            <w:vAlign w:val="center"/>
          </w:tcPr>
          <w:p w14:paraId="20465BF9"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 není pro DNSH dostatečnou zárukou</w:t>
            </w:r>
          </w:p>
        </w:tc>
        <w:tc>
          <w:tcPr>
            <w:tcW w:w="461" w:type="pct"/>
            <w:tcBorders>
              <w:top w:val="none" w:sz="4" w:space="0" w:color="000000"/>
              <w:left w:val="none" w:sz="4" w:space="0" w:color="000000"/>
              <w:bottom w:val="single" w:sz="4" w:space="0" w:color="auto"/>
              <w:right w:val="single" w:sz="4" w:space="0" w:color="auto"/>
            </w:tcBorders>
            <w:vAlign w:val="center"/>
          </w:tcPr>
          <w:p w14:paraId="464329F0"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 není pro DNSH dostatečnou zárukou</w:t>
            </w:r>
          </w:p>
        </w:tc>
        <w:tc>
          <w:tcPr>
            <w:tcW w:w="429" w:type="pct"/>
            <w:tcBorders>
              <w:top w:val="none" w:sz="4" w:space="0" w:color="000000"/>
              <w:left w:val="none" w:sz="4" w:space="0" w:color="000000"/>
              <w:bottom w:val="single" w:sz="4" w:space="0" w:color="auto"/>
              <w:right w:val="single" w:sz="4" w:space="0" w:color="auto"/>
            </w:tcBorders>
            <w:vAlign w:val="center"/>
          </w:tcPr>
          <w:p w14:paraId="19ACA4CC"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 není pro DNSH dostatečnou zárukou</w:t>
            </w:r>
          </w:p>
        </w:tc>
      </w:tr>
      <w:tr w:rsidR="00602DCA" w14:paraId="16E8CCBA" w14:textId="77777777">
        <w:trPr>
          <w:trHeight w:val="20"/>
        </w:trPr>
        <w:tc>
          <w:tcPr>
            <w:tcW w:w="202" w:type="pct"/>
            <w:tcBorders>
              <w:top w:val="none" w:sz="4" w:space="0" w:color="000000"/>
              <w:left w:val="single" w:sz="4" w:space="0" w:color="auto"/>
              <w:bottom w:val="single" w:sz="4" w:space="0" w:color="auto"/>
              <w:right w:val="single" w:sz="4" w:space="0" w:color="auto"/>
            </w:tcBorders>
            <w:vAlign w:val="center"/>
          </w:tcPr>
          <w:p w14:paraId="5FC88084" w14:textId="77777777" w:rsidR="00602DCA" w:rsidRDefault="00C5530C">
            <w:pPr>
              <w:spacing w:after="0" w:line="240" w:lineRule="auto"/>
              <w:jc w:val="righ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111</w:t>
            </w:r>
          </w:p>
        </w:tc>
        <w:tc>
          <w:tcPr>
            <w:tcW w:w="204" w:type="pct"/>
            <w:tcBorders>
              <w:top w:val="none" w:sz="4" w:space="0" w:color="000000"/>
              <w:left w:val="none" w:sz="4" w:space="0" w:color="000000"/>
              <w:bottom w:val="single" w:sz="4" w:space="0" w:color="auto"/>
              <w:right w:val="single" w:sz="4" w:space="0" w:color="auto"/>
            </w:tcBorders>
            <w:vAlign w:val="center"/>
          </w:tcPr>
          <w:p w14:paraId="29F7331A" w14:textId="77777777" w:rsidR="00602DCA" w:rsidRDefault="00C5530C">
            <w:pPr>
              <w:spacing w:after="0" w:line="240" w:lineRule="auto"/>
              <w:rPr>
                <w:rFonts w:asciiTheme="minorHAnsi" w:eastAsia="Times New Roman" w:hAnsiTheme="minorHAnsi" w:cstheme="minorHAnsi"/>
                <w:color w:val="000000"/>
                <w:sz w:val="16"/>
                <w:szCs w:val="20"/>
                <w:lang w:eastAsia="cs-CZ"/>
              </w:rPr>
            </w:pPr>
            <w:proofErr w:type="gramStart"/>
            <w:r>
              <w:rPr>
                <w:rFonts w:asciiTheme="minorHAnsi" w:eastAsia="Times New Roman" w:hAnsiTheme="minorHAnsi" w:cstheme="minorHAnsi"/>
                <w:color w:val="000000"/>
                <w:sz w:val="16"/>
                <w:szCs w:val="20"/>
                <w:lang w:eastAsia="cs-CZ"/>
              </w:rPr>
              <w:t>080a</w:t>
            </w:r>
            <w:proofErr w:type="gramEnd"/>
          </w:p>
        </w:tc>
        <w:tc>
          <w:tcPr>
            <w:tcW w:w="1165" w:type="pct"/>
            <w:tcBorders>
              <w:top w:val="none" w:sz="4" w:space="0" w:color="000000"/>
              <w:left w:val="none" w:sz="4" w:space="0" w:color="000000"/>
              <w:bottom w:val="single" w:sz="4" w:space="0" w:color="auto"/>
              <w:right w:val="single" w:sz="4" w:space="0" w:color="auto"/>
            </w:tcBorders>
            <w:vAlign w:val="center"/>
          </w:tcPr>
          <w:p w14:paraId="0B703C8C"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Námořní přístavy (TEN-T) vyjma zařízení pro přepravu fosilních paliv</w:t>
            </w:r>
          </w:p>
        </w:tc>
        <w:tc>
          <w:tcPr>
            <w:tcW w:w="304" w:type="pct"/>
            <w:tcBorders>
              <w:top w:val="none" w:sz="4" w:space="0" w:color="000000"/>
              <w:left w:val="none" w:sz="4" w:space="0" w:color="000000"/>
              <w:bottom w:val="single" w:sz="4" w:space="0" w:color="auto"/>
              <w:right w:val="single" w:sz="4" w:space="0" w:color="auto"/>
            </w:tcBorders>
            <w:vAlign w:val="center"/>
          </w:tcPr>
          <w:p w14:paraId="6BCF8100"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w:t>
            </w:r>
          </w:p>
        </w:tc>
        <w:tc>
          <w:tcPr>
            <w:tcW w:w="259" w:type="pct"/>
            <w:tcBorders>
              <w:top w:val="none" w:sz="4" w:space="0" w:color="000000"/>
              <w:left w:val="none" w:sz="4" w:space="0" w:color="000000"/>
              <w:bottom w:val="single" w:sz="4" w:space="0" w:color="auto"/>
              <w:right w:val="single" w:sz="4" w:space="0" w:color="auto"/>
            </w:tcBorders>
            <w:vAlign w:val="center"/>
          </w:tcPr>
          <w:p w14:paraId="1294DB68"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0 %</w:t>
            </w:r>
          </w:p>
        </w:tc>
        <w:tc>
          <w:tcPr>
            <w:tcW w:w="605" w:type="pct"/>
            <w:tcBorders>
              <w:top w:val="none" w:sz="4" w:space="0" w:color="000000"/>
              <w:left w:val="none" w:sz="4" w:space="0" w:color="000000"/>
              <w:bottom w:val="single" w:sz="4" w:space="0" w:color="auto"/>
              <w:right w:val="single" w:sz="4" w:space="0" w:color="auto"/>
            </w:tcBorders>
            <w:vAlign w:val="center"/>
          </w:tcPr>
          <w:p w14:paraId="73B1E8BD"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p w14:paraId="0B3A9133" w14:textId="77777777" w:rsidR="00602DCA" w:rsidRDefault="00602DCA">
            <w:pPr>
              <w:spacing w:after="0" w:line="240" w:lineRule="auto"/>
              <w:jc w:val="left"/>
              <w:rPr>
                <w:rFonts w:asciiTheme="minorHAnsi" w:eastAsia="Times New Roman" w:hAnsiTheme="minorHAnsi" w:cstheme="minorHAnsi"/>
                <w:color w:val="000000"/>
                <w:sz w:val="16"/>
                <w:szCs w:val="20"/>
                <w:lang w:eastAsia="cs-CZ"/>
              </w:rPr>
            </w:pPr>
          </w:p>
          <w:p w14:paraId="60E112CA"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proofErr w:type="gramStart"/>
            <w:r>
              <w:rPr>
                <w:rFonts w:asciiTheme="minorHAnsi" w:eastAsia="Times New Roman" w:hAnsiTheme="minorHAnsi" w:cstheme="minorHAnsi"/>
                <w:color w:val="000000"/>
                <w:sz w:val="16"/>
                <w:szCs w:val="20"/>
                <w:lang w:eastAsia="cs-CZ"/>
              </w:rPr>
              <w:t>CP</w:t>
            </w:r>
            <w:proofErr w:type="gramEnd"/>
            <w:r>
              <w:rPr>
                <w:rFonts w:asciiTheme="minorHAnsi" w:eastAsia="Times New Roman" w:hAnsiTheme="minorHAnsi" w:cstheme="minorHAnsi"/>
                <w:color w:val="000000"/>
                <w:sz w:val="16"/>
                <w:szCs w:val="20"/>
                <w:lang w:eastAsia="cs-CZ"/>
              </w:rPr>
              <w:t xml:space="preserve"> pokud naplnění definice infrastruktury</w:t>
            </w:r>
          </w:p>
        </w:tc>
        <w:tc>
          <w:tcPr>
            <w:tcW w:w="460" w:type="pct"/>
            <w:tcBorders>
              <w:top w:val="none" w:sz="4" w:space="0" w:color="000000"/>
              <w:left w:val="none" w:sz="4" w:space="0" w:color="000000"/>
              <w:bottom w:val="single" w:sz="4" w:space="0" w:color="auto"/>
              <w:right w:val="single" w:sz="4" w:space="0" w:color="auto"/>
            </w:tcBorders>
            <w:vAlign w:val="center"/>
          </w:tcPr>
          <w:p w14:paraId="359AB13D"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p w14:paraId="0A8E538B" w14:textId="77777777" w:rsidR="00602DCA" w:rsidRDefault="00602DCA">
            <w:pPr>
              <w:spacing w:after="0" w:line="240" w:lineRule="auto"/>
              <w:jc w:val="left"/>
              <w:rPr>
                <w:rFonts w:asciiTheme="minorHAnsi" w:eastAsia="Times New Roman" w:hAnsiTheme="minorHAnsi" w:cstheme="minorHAnsi"/>
                <w:color w:val="000000"/>
                <w:sz w:val="16"/>
                <w:szCs w:val="20"/>
                <w:lang w:eastAsia="cs-CZ"/>
              </w:rPr>
            </w:pPr>
          </w:p>
          <w:p w14:paraId="1127C1EF"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proofErr w:type="gramStart"/>
            <w:r>
              <w:rPr>
                <w:rFonts w:asciiTheme="minorHAnsi" w:eastAsia="Times New Roman" w:hAnsiTheme="minorHAnsi" w:cstheme="minorHAnsi"/>
                <w:color w:val="000000"/>
                <w:sz w:val="16"/>
                <w:szCs w:val="20"/>
                <w:lang w:eastAsia="cs-CZ"/>
              </w:rPr>
              <w:t>CP</w:t>
            </w:r>
            <w:proofErr w:type="gramEnd"/>
            <w:r>
              <w:rPr>
                <w:rFonts w:asciiTheme="minorHAnsi" w:eastAsia="Times New Roman" w:hAnsiTheme="minorHAnsi" w:cstheme="minorHAnsi"/>
                <w:color w:val="000000"/>
                <w:sz w:val="16"/>
                <w:szCs w:val="20"/>
                <w:lang w:eastAsia="cs-CZ"/>
              </w:rPr>
              <w:t xml:space="preserve"> pokud naplnění definice infrastruktury</w:t>
            </w:r>
          </w:p>
        </w:tc>
        <w:tc>
          <w:tcPr>
            <w:tcW w:w="455" w:type="pct"/>
            <w:tcBorders>
              <w:top w:val="none" w:sz="4" w:space="0" w:color="000000"/>
              <w:left w:val="none" w:sz="4" w:space="0" w:color="000000"/>
              <w:bottom w:val="single" w:sz="4" w:space="0" w:color="auto"/>
              <w:right w:val="single" w:sz="4" w:space="0" w:color="auto"/>
            </w:tcBorders>
            <w:noWrap/>
            <w:vAlign w:val="center"/>
          </w:tcPr>
          <w:p w14:paraId="3D479769"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tc>
        <w:tc>
          <w:tcPr>
            <w:tcW w:w="456" w:type="pct"/>
            <w:tcBorders>
              <w:top w:val="none" w:sz="4" w:space="0" w:color="000000"/>
              <w:left w:val="none" w:sz="4" w:space="0" w:color="000000"/>
              <w:bottom w:val="single" w:sz="4" w:space="0" w:color="auto"/>
              <w:right w:val="single" w:sz="4" w:space="0" w:color="auto"/>
            </w:tcBorders>
            <w:noWrap/>
            <w:vAlign w:val="center"/>
          </w:tcPr>
          <w:p w14:paraId="7E8869B6"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tc>
        <w:tc>
          <w:tcPr>
            <w:tcW w:w="461" w:type="pct"/>
            <w:tcBorders>
              <w:top w:val="none" w:sz="4" w:space="0" w:color="000000"/>
              <w:left w:val="none" w:sz="4" w:space="0" w:color="000000"/>
              <w:bottom w:val="single" w:sz="4" w:space="0" w:color="auto"/>
              <w:right w:val="single" w:sz="4" w:space="0" w:color="auto"/>
            </w:tcBorders>
            <w:noWrap/>
            <w:vAlign w:val="center"/>
          </w:tcPr>
          <w:p w14:paraId="524C71C3"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tc>
        <w:tc>
          <w:tcPr>
            <w:tcW w:w="429" w:type="pct"/>
            <w:tcBorders>
              <w:top w:val="none" w:sz="4" w:space="0" w:color="000000"/>
              <w:left w:val="none" w:sz="4" w:space="0" w:color="000000"/>
              <w:bottom w:val="single" w:sz="4" w:space="0" w:color="auto"/>
              <w:right w:val="single" w:sz="4" w:space="0" w:color="auto"/>
            </w:tcBorders>
            <w:noWrap/>
            <w:vAlign w:val="center"/>
          </w:tcPr>
          <w:p w14:paraId="59B52F6A"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tc>
      </w:tr>
      <w:tr w:rsidR="00602DCA" w14:paraId="1ED76058" w14:textId="77777777">
        <w:trPr>
          <w:trHeight w:val="20"/>
        </w:trPr>
        <w:tc>
          <w:tcPr>
            <w:tcW w:w="202" w:type="pct"/>
            <w:tcBorders>
              <w:top w:val="none" w:sz="4" w:space="0" w:color="000000"/>
              <w:left w:val="single" w:sz="4" w:space="0" w:color="auto"/>
              <w:bottom w:val="single" w:sz="4" w:space="0" w:color="auto"/>
              <w:right w:val="single" w:sz="4" w:space="0" w:color="auto"/>
            </w:tcBorders>
            <w:vAlign w:val="center"/>
          </w:tcPr>
          <w:p w14:paraId="7C02BF87" w14:textId="77777777" w:rsidR="00602DCA" w:rsidRDefault="00C5530C">
            <w:pPr>
              <w:spacing w:after="0" w:line="240" w:lineRule="auto"/>
              <w:jc w:val="righ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113</w:t>
            </w:r>
          </w:p>
        </w:tc>
        <w:tc>
          <w:tcPr>
            <w:tcW w:w="204" w:type="pct"/>
            <w:tcBorders>
              <w:top w:val="none" w:sz="4" w:space="0" w:color="000000"/>
              <w:left w:val="none" w:sz="4" w:space="0" w:color="000000"/>
              <w:bottom w:val="single" w:sz="4" w:space="0" w:color="auto"/>
              <w:right w:val="single" w:sz="4" w:space="0" w:color="auto"/>
            </w:tcBorders>
            <w:vAlign w:val="center"/>
          </w:tcPr>
          <w:p w14:paraId="107A9495" w14:textId="77777777" w:rsidR="00602DCA" w:rsidRDefault="00C5530C">
            <w:pPr>
              <w:spacing w:after="0" w:line="240" w:lineRule="auto"/>
              <w:rPr>
                <w:rFonts w:asciiTheme="minorHAnsi" w:eastAsia="Times New Roman" w:hAnsiTheme="minorHAnsi" w:cstheme="minorHAnsi"/>
                <w:color w:val="000000"/>
                <w:sz w:val="16"/>
                <w:szCs w:val="20"/>
                <w:lang w:eastAsia="cs-CZ"/>
              </w:rPr>
            </w:pPr>
            <w:proofErr w:type="gramStart"/>
            <w:r>
              <w:rPr>
                <w:rFonts w:asciiTheme="minorHAnsi" w:eastAsia="Times New Roman" w:hAnsiTheme="minorHAnsi" w:cstheme="minorHAnsi"/>
                <w:color w:val="000000"/>
                <w:sz w:val="16"/>
                <w:szCs w:val="20"/>
                <w:lang w:eastAsia="cs-CZ"/>
              </w:rPr>
              <w:t>081a</w:t>
            </w:r>
            <w:proofErr w:type="gramEnd"/>
          </w:p>
        </w:tc>
        <w:tc>
          <w:tcPr>
            <w:tcW w:w="1165" w:type="pct"/>
            <w:tcBorders>
              <w:top w:val="none" w:sz="4" w:space="0" w:color="000000"/>
              <w:left w:val="none" w:sz="4" w:space="0" w:color="000000"/>
              <w:bottom w:val="single" w:sz="4" w:space="0" w:color="auto"/>
              <w:right w:val="single" w:sz="4" w:space="0" w:color="auto"/>
            </w:tcBorders>
            <w:vAlign w:val="center"/>
          </w:tcPr>
          <w:p w14:paraId="49A2D964"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Ostatní námořní přístavy vyjma zařízení pro přepravu fosilních paliv</w:t>
            </w:r>
          </w:p>
        </w:tc>
        <w:tc>
          <w:tcPr>
            <w:tcW w:w="304" w:type="pct"/>
            <w:tcBorders>
              <w:top w:val="none" w:sz="4" w:space="0" w:color="000000"/>
              <w:left w:val="none" w:sz="4" w:space="0" w:color="000000"/>
              <w:bottom w:val="single" w:sz="4" w:space="0" w:color="auto"/>
              <w:right w:val="single" w:sz="4" w:space="0" w:color="auto"/>
            </w:tcBorders>
            <w:vAlign w:val="center"/>
          </w:tcPr>
          <w:p w14:paraId="077AB330"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w:t>
            </w:r>
          </w:p>
        </w:tc>
        <w:tc>
          <w:tcPr>
            <w:tcW w:w="259" w:type="pct"/>
            <w:tcBorders>
              <w:top w:val="none" w:sz="4" w:space="0" w:color="000000"/>
              <w:left w:val="none" w:sz="4" w:space="0" w:color="000000"/>
              <w:bottom w:val="single" w:sz="4" w:space="0" w:color="auto"/>
              <w:right w:val="single" w:sz="4" w:space="0" w:color="auto"/>
            </w:tcBorders>
            <w:vAlign w:val="center"/>
          </w:tcPr>
          <w:p w14:paraId="0938F475"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0 %</w:t>
            </w:r>
          </w:p>
        </w:tc>
        <w:tc>
          <w:tcPr>
            <w:tcW w:w="605" w:type="pct"/>
            <w:tcBorders>
              <w:top w:val="none" w:sz="4" w:space="0" w:color="000000"/>
              <w:left w:val="none" w:sz="4" w:space="0" w:color="000000"/>
              <w:bottom w:val="single" w:sz="4" w:space="0" w:color="auto"/>
              <w:right w:val="single" w:sz="4" w:space="0" w:color="auto"/>
            </w:tcBorders>
            <w:vAlign w:val="center"/>
          </w:tcPr>
          <w:p w14:paraId="6906F2EF"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p w14:paraId="4AA2B123" w14:textId="77777777" w:rsidR="00602DCA" w:rsidRDefault="00602DCA">
            <w:pPr>
              <w:spacing w:after="0" w:line="240" w:lineRule="auto"/>
              <w:jc w:val="left"/>
              <w:rPr>
                <w:rFonts w:asciiTheme="minorHAnsi" w:eastAsia="Times New Roman" w:hAnsiTheme="minorHAnsi" w:cstheme="minorHAnsi"/>
                <w:color w:val="000000"/>
                <w:sz w:val="16"/>
                <w:szCs w:val="20"/>
                <w:lang w:eastAsia="cs-CZ"/>
              </w:rPr>
            </w:pPr>
          </w:p>
          <w:p w14:paraId="5E725E49"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proofErr w:type="gramStart"/>
            <w:r>
              <w:rPr>
                <w:rFonts w:asciiTheme="minorHAnsi" w:eastAsia="Times New Roman" w:hAnsiTheme="minorHAnsi" w:cstheme="minorHAnsi"/>
                <w:color w:val="000000"/>
                <w:sz w:val="16"/>
                <w:szCs w:val="20"/>
                <w:lang w:eastAsia="cs-CZ"/>
              </w:rPr>
              <w:t>CP</w:t>
            </w:r>
            <w:proofErr w:type="gramEnd"/>
            <w:r>
              <w:rPr>
                <w:rFonts w:asciiTheme="minorHAnsi" w:eastAsia="Times New Roman" w:hAnsiTheme="minorHAnsi" w:cstheme="minorHAnsi"/>
                <w:color w:val="000000"/>
                <w:sz w:val="16"/>
                <w:szCs w:val="20"/>
                <w:lang w:eastAsia="cs-CZ"/>
              </w:rPr>
              <w:t xml:space="preserve"> pokud naplnění definice infrastruktury</w:t>
            </w:r>
          </w:p>
        </w:tc>
        <w:tc>
          <w:tcPr>
            <w:tcW w:w="460" w:type="pct"/>
            <w:tcBorders>
              <w:top w:val="none" w:sz="4" w:space="0" w:color="000000"/>
              <w:left w:val="none" w:sz="4" w:space="0" w:color="000000"/>
              <w:bottom w:val="single" w:sz="4" w:space="0" w:color="auto"/>
              <w:right w:val="single" w:sz="4" w:space="0" w:color="auto"/>
            </w:tcBorders>
            <w:vAlign w:val="center"/>
          </w:tcPr>
          <w:p w14:paraId="6497F6CD"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p w14:paraId="34E3FFF9" w14:textId="77777777" w:rsidR="00602DCA" w:rsidRDefault="00602DCA">
            <w:pPr>
              <w:spacing w:after="0" w:line="240" w:lineRule="auto"/>
              <w:jc w:val="left"/>
              <w:rPr>
                <w:rFonts w:asciiTheme="minorHAnsi" w:eastAsia="Times New Roman" w:hAnsiTheme="minorHAnsi" w:cstheme="minorHAnsi"/>
                <w:color w:val="000000"/>
                <w:sz w:val="16"/>
                <w:szCs w:val="20"/>
                <w:lang w:eastAsia="cs-CZ"/>
              </w:rPr>
            </w:pPr>
          </w:p>
          <w:p w14:paraId="29DFC3B5"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proofErr w:type="gramStart"/>
            <w:r>
              <w:rPr>
                <w:rFonts w:asciiTheme="minorHAnsi" w:eastAsia="Times New Roman" w:hAnsiTheme="minorHAnsi" w:cstheme="minorHAnsi"/>
                <w:color w:val="000000"/>
                <w:sz w:val="16"/>
                <w:szCs w:val="20"/>
                <w:lang w:eastAsia="cs-CZ"/>
              </w:rPr>
              <w:t>CP</w:t>
            </w:r>
            <w:proofErr w:type="gramEnd"/>
            <w:r>
              <w:rPr>
                <w:rFonts w:asciiTheme="minorHAnsi" w:eastAsia="Times New Roman" w:hAnsiTheme="minorHAnsi" w:cstheme="minorHAnsi"/>
                <w:color w:val="000000"/>
                <w:sz w:val="16"/>
                <w:szCs w:val="20"/>
                <w:lang w:eastAsia="cs-CZ"/>
              </w:rPr>
              <w:t xml:space="preserve"> pokud naplnění definice infrastruktury</w:t>
            </w:r>
          </w:p>
        </w:tc>
        <w:tc>
          <w:tcPr>
            <w:tcW w:w="455" w:type="pct"/>
            <w:tcBorders>
              <w:top w:val="none" w:sz="4" w:space="0" w:color="000000"/>
              <w:left w:val="none" w:sz="4" w:space="0" w:color="000000"/>
              <w:bottom w:val="single" w:sz="4" w:space="0" w:color="auto"/>
              <w:right w:val="single" w:sz="4" w:space="0" w:color="auto"/>
            </w:tcBorders>
            <w:noWrap/>
            <w:vAlign w:val="center"/>
          </w:tcPr>
          <w:p w14:paraId="0863BED7"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tc>
        <w:tc>
          <w:tcPr>
            <w:tcW w:w="456" w:type="pct"/>
            <w:tcBorders>
              <w:top w:val="none" w:sz="4" w:space="0" w:color="000000"/>
              <w:left w:val="none" w:sz="4" w:space="0" w:color="000000"/>
              <w:bottom w:val="single" w:sz="4" w:space="0" w:color="auto"/>
              <w:right w:val="single" w:sz="4" w:space="0" w:color="auto"/>
            </w:tcBorders>
            <w:noWrap/>
            <w:vAlign w:val="center"/>
          </w:tcPr>
          <w:p w14:paraId="759CE78A"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tc>
        <w:tc>
          <w:tcPr>
            <w:tcW w:w="461" w:type="pct"/>
            <w:tcBorders>
              <w:top w:val="none" w:sz="4" w:space="0" w:color="000000"/>
              <w:left w:val="none" w:sz="4" w:space="0" w:color="000000"/>
              <w:bottom w:val="single" w:sz="4" w:space="0" w:color="auto"/>
              <w:right w:val="single" w:sz="4" w:space="0" w:color="auto"/>
            </w:tcBorders>
            <w:noWrap/>
            <w:vAlign w:val="center"/>
          </w:tcPr>
          <w:p w14:paraId="1F6B8422"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tc>
        <w:tc>
          <w:tcPr>
            <w:tcW w:w="429" w:type="pct"/>
            <w:tcBorders>
              <w:top w:val="none" w:sz="4" w:space="0" w:color="000000"/>
              <w:left w:val="none" w:sz="4" w:space="0" w:color="000000"/>
              <w:bottom w:val="single" w:sz="4" w:space="0" w:color="auto"/>
              <w:right w:val="single" w:sz="4" w:space="0" w:color="auto"/>
            </w:tcBorders>
            <w:noWrap/>
            <w:vAlign w:val="center"/>
          </w:tcPr>
          <w:p w14:paraId="7AB8CE83"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tc>
      </w:tr>
      <w:tr w:rsidR="00602DCA" w14:paraId="6564F407" w14:textId="77777777">
        <w:trPr>
          <w:trHeight w:val="20"/>
        </w:trPr>
        <w:tc>
          <w:tcPr>
            <w:tcW w:w="202" w:type="pct"/>
            <w:tcBorders>
              <w:top w:val="none" w:sz="4" w:space="0" w:color="000000"/>
              <w:left w:val="single" w:sz="4" w:space="0" w:color="auto"/>
              <w:bottom w:val="single" w:sz="4" w:space="0" w:color="auto"/>
              <w:right w:val="single" w:sz="4" w:space="0" w:color="auto"/>
            </w:tcBorders>
            <w:vAlign w:val="center"/>
          </w:tcPr>
          <w:p w14:paraId="4797C10C" w14:textId="77777777" w:rsidR="00602DCA" w:rsidRDefault="00C5530C">
            <w:pPr>
              <w:spacing w:after="0" w:line="240" w:lineRule="auto"/>
              <w:jc w:val="righ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115</w:t>
            </w:r>
          </w:p>
        </w:tc>
        <w:tc>
          <w:tcPr>
            <w:tcW w:w="204" w:type="pct"/>
            <w:tcBorders>
              <w:top w:val="none" w:sz="4" w:space="0" w:color="000000"/>
              <w:left w:val="none" w:sz="4" w:space="0" w:color="000000"/>
              <w:bottom w:val="single" w:sz="4" w:space="0" w:color="auto"/>
              <w:right w:val="single" w:sz="4" w:space="0" w:color="auto"/>
            </w:tcBorders>
            <w:vAlign w:val="center"/>
          </w:tcPr>
          <w:p w14:paraId="23D5C23A" w14:textId="77777777" w:rsidR="00602DCA" w:rsidRDefault="00C5530C">
            <w:pPr>
              <w:spacing w:after="0" w:line="240" w:lineRule="auto"/>
              <w:rPr>
                <w:rFonts w:asciiTheme="minorHAnsi" w:eastAsia="Times New Roman" w:hAnsiTheme="minorHAnsi" w:cstheme="minorHAnsi"/>
                <w:color w:val="000000"/>
                <w:sz w:val="16"/>
                <w:szCs w:val="20"/>
                <w:lang w:eastAsia="cs-CZ"/>
              </w:rPr>
            </w:pPr>
            <w:proofErr w:type="gramStart"/>
            <w:r>
              <w:rPr>
                <w:rFonts w:asciiTheme="minorHAnsi" w:eastAsia="Times New Roman" w:hAnsiTheme="minorHAnsi" w:cstheme="minorHAnsi"/>
                <w:color w:val="000000"/>
                <w:sz w:val="16"/>
                <w:szCs w:val="20"/>
                <w:lang w:eastAsia="cs-CZ"/>
              </w:rPr>
              <w:t>082a</w:t>
            </w:r>
            <w:proofErr w:type="gramEnd"/>
          </w:p>
        </w:tc>
        <w:tc>
          <w:tcPr>
            <w:tcW w:w="1165" w:type="pct"/>
            <w:tcBorders>
              <w:top w:val="none" w:sz="4" w:space="0" w:color="000000"/>
              <w:left w:val="none" w:sz="4" w:space="0" w:color="000000"/>
              <w:bottom w:val="single" w:sz="4" w:space="0" w:color="auto"/>
              <w:right w:val="single" w:sz="4" w:space="0" w:color="auto"/>
            </w:tcBorders>
            <w:vAlign w:val="center"/>
          </w:tcPr>
          <w:p w14:paraId="5A88EEE1"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Vnitrozemské vodní cesty a přístavy (TEN-T) vyjma zařízení pro přepravu fosilních paliv</w:t>
            </w:r>
          </w:p>
        </w:tc>
        <w:tc>
          <w:tcPr>
            <w:tcW w:w="304" w:type="pct"/>
            <w:tcBorders>
              <w:top w:val="none" w:sz="4" w:space="0" w:color="000000"/>
              <w:left w:val="none" w:sz="4" w:space="0" w:color="000000"/>
              <w:bottom w:val="single" w:sz="4" w:space="0" w:color="auto"/>
              <w:right w:val="single" w:sz="4" w:space="0" w:color="auto"/>
            </w:tcBorders>
            <w:vAlign w:val="center"/>
          </w:tcPr>
          <w:p w14:paraId="52411656"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w:t>
            </w:r>
          </w:p>
        </w:tc>
        <w:tc>
          <w:tcPr>
            <w:tcW w:w="259" w:type="pct"/>
            <w:tcBorders>
              <w:top w:val="none" w:sz="4" w:space="0" w:color="000000"/>
              <w:left w:val="none" w:sz="4" w:space="0" w:color="000000"/>
              <w:bottom w:val="single" w:sz="4" w:space="0" w:color="auto"/>
              <w:right w:val="single" w:sz="4" w:space="0" w:color="auto"/>
            </w:tcBorders>
            <w:vAlign w:val="center"/>
          </w:tcPr>
          <w:p w14:paraId="2602D0F6"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0 %</w:t>
            </w:r>
          </w:p>
        </w:tc>
        <w:tc>
          <w:tcPr>
            <w:tcW w:w="605" w:type="pct"/>
            <w:tcBorders>
              <w:top w:val="none" w:sz="4" w:space="0" w:color="000000"/>
              <w:left w:val="none" w:sz="4" w:space="0" w:color="000000"/>
              <w:bottom w:val="single" w:sz="4" w:space="0" w:color="auto"/>
              <w:right w:val="single" w:sz="4" w:space="0" w:color="auto"/>
            </w:tcBorders>
            <w:vAlign w:val="center"/>
          </w:tcPr>
          <w:p w14:paraId="55174089"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p w14:paraId="7813B96F" w14:textId="77777777" w:rsidR="00602DCA" w:rsidRDefault="00602DCA">
            <w:pPr>
              <w:spacing w:after="0" w:line="240" w:lineRule="auto"/>
              <w:jc w:val="left"/>
              <w:rPr>
                <w:rFonts w:asciiTheme="minorHAnsi" w:eastAsia="Times New Roman" w:hAnsiTheme="minorHAnsi" w:cstheme="minorHAnsi"/>
                <w:color w:val="000000"/>
                <w:sz w:val="16"/>
                <w:szCs w:val="20"/>
                <w:lang w:eastAsia="cs-CZ"/>
              </w:rPr>
            </w:pPr>
          </w:p>
          <w:p w14:paraId="27BDC638"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proofErr w:type="gramStart"/>
            <w:r>
              <w:rPr>
                <w:rFonts w:asciiTheme="minorHAnsi" w:eastAsia="Times New Roman" w:hAnsiTheme="minorHAnsi" w:cstheme="minorHAnsi"/>
                <w:color w:val="000000"/>
                <w:sz w:val="16"/>
                <w:szCs w:val="20"/>
                <w:lang w:eastAsia="cs-CZ"/>
              </w:rPr>
              <w:t>CP</w:t>
            </w:r>
            <w:proofErr w:type="gramEnd"/>
            <w:r>
              <w:rPr>
                <w:rFonts w:asciiTheme="minorHAnsi" w:eastAsia="Times New Roman" w:hAnsiTheme="minorHAnsi" w:cstheme="minorHAnsi"/>
                <w:color w:val="000000"/>
                <w:sz w:val="16"/>
                <w:szCs w:val="20"/>
                <w:lang w:eastAsia="cs-CZ"/>
              </w:rPr>
              <w:t xml:space="preserve"> pokud naplnění definice infrastruktury</w:t>
            </w:r>
          </w:p>
        </w:tc>
        <w:tc>
          <w:tcPr>
            <w:tcW w:w="460" w:type="pct"/>
            <w:tcBorders>
              <w:top w:val="none" w:sz="4" w:space="0" w:color="000000"/>
              <w:left w:val="none" w:sz="4" w:space="0" w:color="000000"/>
              <w:bottom w:val="single" w:sz="4" w:space="0" w:color="auto"/>
              <w:right w:val="single" w:sz="4" w:space="0" w:color="auto"/>
            </w:tcBorders>
            <w:vAlign w:val="center"/>
          </w:tcPr>
          <w:p w14:paraId="366A2597"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p w14:paraId="2130E421" w14:textId="77777777" w:rsidR="00602DCA" w:rsidRDefault="00602DCA">
            <w:pPr>
              <w:spacing w:after="0" w:line="240" w:lineRule="auto"/>
              <w:jc w:val="left"/>
              <w:rPr>
                <w:rFonts w:asciiTheme="minorHAnsi" w:eastAsia="Times New Roman" w:hAnsiTheme="minorHAnsi" w:cstheme="minorHAnsi"/>
                <w:color w:val="000000"/>
                <w:sz w:val="16"/>
                <w:szCs w:val="20"/>
                <w:lang w:eastAsia="cs-CZ"/>
              </w:rPr>
            </w:pPr>
          </w:p>
          <w:p w14:paraId="6BAC8A65"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proofErr w:type="gramStart"/>
            <w:r>
              <w:rPr>
                <w:rFonts w:asciiTheme="minorHAnsi" w:eastAsia="Times New Roman" w:hAnsiTheme="minorHAnsi" w:cstheme="minorHAnsi"/>
                <w:color w:val="000000"/>
                <w:sz w:val="16"/>
                <w:szCs w:val="20"/>
                <w:lang w:eastAsia="cs-CZ"/>
              </w:rPr>
              <w:t>CP</w:t>
            </w:r>
            <w:proofErr w:type="gramEnd"/>
            <w:r>
              <w:rPr>
                <w:rFonts w:asciiTheme="minorHAnsi" w:eastAsia="Times New Roman" w:hAnsiTheme="minorHAnsi" w:cstheme="minorHAnsi"/>
                <w:color w:val="000000"/>
                <w:sz w:val="16"/>
                <w:szCs w:val="20"/>
                <w:lang w:eastAsia="cs-CZ"/>
              </w:rPr>
              <w:t xml:space="preserve"> pokud naplnění definice infrastruktury</w:t>
            </w:r>
          </w:p>
        </w:tc>
        <w:tc>
          <w:tcPr>
            <w:tcW w:w="455" w:type="pct"/>
            <w:tcBorders>
              <w:top w:val="none" w:sz="4" w:space="0" w:color="000000"/>
              <w:left w:val="none" w:sz="4" w:space="0" w:color="000000"/>
              <w:bottom w:val="single" w:sz="4" w:space="0" w:color="auto"/>
              <w:right w:val="single" w:sz="4" w:space="0" w:color="auto"/>
            </w:tcBorders>
            <w:noWrap/>
            <w:vAlign w:val="center"/>
          </w:tcPr>
          <w:p w14:paraId="55463EAC"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tc>
        <w:tc>
          <w:tcPr>
            <w:tcW w:w="456" w:type="pct"/>
            <w:tcBorders>
              <w:top w:val="none" w:sz="4" w:space="0" w:color="000000"/>
              <w:left w:val="none" w:sz="4" w:space="0" w:color="000000"/>
              <w:bottom w:val="single" w:sz="4" w:space="0" w:color="auto"/>
              <w:right w:val="single" w:sz="4" w:space="0" w:color="auto"/>
            </w:tcBorders>
            <w:noWrap/>
            <w:vAlign w:val="center"/>
          </w:tcPr>
          <w:p w14:paraId="02DF419A"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tc>
        <w:tc>
          <w:tcPr>
            <w:tcW w:w="461" w:type="pct"/>
            <w:tcBorders>
              <w:top w:val="none" w:sz="4" w:space="0" w:color="000000"/>
              <w:left w:val="none" w:sz="4" w:space="0" w:color="000000"/>
              <w:bottom w:val="single" w:sz="4" w:space="0" w:color="auto"/>
              <w:right w:val="single" w:sz="4" w:space="0" w:color="auto"/>
            </w:tcBorders>
            <w:noWrap/>
            <w:vAlign w:val="center"/>
          </w:tcPr>
          <w:p w14:paraId="49E460C0"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tc>
        <w:tc>
          <w:tcPr>
            <w:tcW w:w="429" w:type="pct"/>
            <w:tcBorders>
              <w:top w:val="none" w:sz="4" w:space="0" w:color="000000"/>
              <w:left w:val="none" w:sz="4" w:space="0" w:color="000000"/>
              <w:bottom w:val="single" w:sz="4" w:space="0" w:color="auto"/>
              <w:right w:val="single" w:sz="4" w:space="0" w:color="auto"/>
            </w:tcBorders>
            <w:noWrap/>
            <w:vAlign w:val="center"/>
          </w:tcPr>
          <w:p w14:paraId="59607B3F"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tc>
      </w:tr>
      <w:tr w:rsidR="00602DCA" w14:paraId="7672009C" w14:textId="77777777">
        <w:trPr>
          <w:trHeight w:val="20"/>
        </w:trPr>
        <w:tc>
          <w:tcPr>
            <w:tcW w:w="202" w:type="pct"/>
            <w:tcBorders>
              <w:top w:val="none" w:sz="4" w:space="0" w:color="000000"/>
              <w:left w:val="single" w:sz="4" w:space="0" w:color="auto"/>
              <w:bottom w:val="single" w:sz="4" w:space="0" w:color="auto"/>
              <w:right w:val="single" w:sz="4" w:space="0" w:color="auto"/>
            </w:tcBorders>
            <w:vAlign w:val="center"/>
          </w:tcPr>
          <w:p w14:paraId="6CF2B012" w14:textId="77777777" w:rsidR="00602DCA" w:rsidRDefault="00C5530C">
            <w:pPr>
              <w:spacing w:after="0" w:line="240" w:lineRule="auto"/>
              <w:jc w:val="righ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lastRenderedPageBreak/>
              <w:t>117</w:t>
            </w:r>
          </w:p>
        </w:tc>
        <w:tc>
          <w:tcPr>
            <w:tcW w:w="204" w:type="pct"/>
            <w:tcBorders>
              <w:top w:val="none" w:sz="4" w:space="0" w:color="000000"/>
              <w:left w:val="none" w:sz="4" w:space="0" w:color="000000"/>
              <w:bottom w:val="single" w:sz="4" w:space="0" w:color="auto"/>
              <w:right w:val="single" w:sz="4" w:space="0" w:color="auto"/>
            </w:tcBorders>
            <w:vAlign w:val="center"/>
          </w:tcPr>
          <w:p w14:paraId="35598239"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083a0</w:t>
            </w:r>
          </w:p>
        </w:tc>
        <w:tc>
          <w:tcPr>
            <w:tcW w:w="1165" w:type="pct"/>
            <w:tcBorders>
              <w:top w:val="none" w:sz="4" w:space="0" w:color="000000"/>
              <w:left w:val="none" w:sz="4" w:space="0" w:color="000000"/>
              <w:bottom w:val="single" w:sz="4" w:space="0" w:color="auto"/>
              <w:right w:val="single" w:sz="4" w:space="0" w:color="auto"/>
            </w:tcBorders>
            <w:vAlign w:val="center"/>
          </w:tcPr>
          <w:p w14:paraId="45E59CE6"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Vnitrozemské vodní cesty a přístavy (regionální a místní) vyjma zařízení pro přepravu fosilních paliv</w:t>
            </w:r>
          </w:p>
        </w:tc>
        <w:tc>
          <w:tcPr>
            <w:tcW w:w="304" w:type="pct"/>
            <w:tcBorders>
              <w:top w:val="none" w:sz="4" w:space="0" w:color="000000"/>
              <w:left w:val="none" w:sz="4" w:space="0" w:color="000000"/>
              <w:bottom w:val="single" w:sz="4" w:space="0" w:color="auto"/>
              <w:right w:val="single" w:sz="4" w:space="0" w:color="auto"/>
            </w:tcBorders>
            <w:vAlign w:val="center"/>
          </w:tcPr>
          <w:p w14:paraId="14C0F561"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w:t>
            </w:r>
          </w:p>
        </w:tc>
        <w:tc>
          <w:tcPr>
            <w:tcW w:w="259" w:type="pct"/>
            <w:tcBorders>
              <w:top w:val="none" w:sz="4" w:space="0" w:color="000000"/>
              <w:left w:val="none" w:sz="4" w:space="0" w:color="000000"/>
              <w:bottom w:val="single" w:sz="4" w:space="0" w:color="auto"/>
              <w:right w:val="single" w:sz="4" w:space="0" w:color="auto"/>
            </w:tcBorders>
            <w:vAlign w:val="center"/>
          </w:tcPr>
          <w:p w14:paraId="49924B33"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0 %</w:t>
            </w:r>
          </w:p>
        </w:tc>
        <w:tc>
          <w:tcPr>
            <w:tcW w:w="605" w:type="pct"/>
            <w:tcBorders>
              <w:top w:val="none" w:sz="4" w:space="0" w:color="000000"/>
              <w:left w:val="none" w:sz="4" w:space="0" w:color="000000"/>
              <w:bottom w:val="single" w:sz="4" w:space="0" w:color="auto"/>
              <w:right w:val="single" w:sz="4" w:space="0" w:color="auto"/>
            </w:tcBorders>
            <w:vAlign w:val="center"/>
          </w:tcPr>
          <w:p w14:paraId="0C5BCFE1"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p w14:paraId="394290E1" w14:textId="77777777" w:rsidR="00602DCA" w:rsidRDefault="00602DCA">
            <w:pPr>
              <w:spacing w:after="0" w:line="240" w:lineRule="auto"/>
              <w:jc w:val="left"/>
              <w:rPr>
                <w:rFonts w:asciiTheme="minorHAnsi" w:eastAsia="Times New Roman" w:hAnsiTheme="minorHAnsi" w:cstheme="minorHAnsi"/>
                <w:color w:val="000000"/>
                <w:sz w:val="16"/>
                <w:szCs w:val="20"/>
                <w:lang w:eastAsia="cs-CZ"/>
              </w:rPr>
            </w:pPr>
          </w:p>
          <w:p w14:paraId="49BCCCAC"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proofErr w:type="gramStart"/>
            <w:r>
              <w:rPr>
                <w:rFonts w:asciiTheme="minorHAnsi" w:eastAsia="Times New Roman" w:hAnsiTheme="minorHAnsi" w:cstheme="minorHAnsi"/>
                <w:color w:val="000000"/>
                <w:sz w:val="16"/>
                <w:szCs w:val="20"/>
                <w:lang w:eastAsia="cs-CZ"/>
              </w:rPr>
              <w:t>CP</w:t>
            </w:r>
            <w:proofErr w:type="gramEnd"/>
            <w:r>
              <w:rPr>
                <w:rFonts w:asciiTheme="minorHAnsi" w:eastAsia="Times New Roman" w:hAnsiTheme="minorHAnsi" w:cstheme="minorHAnsi"/>
                <w:color w:val="000000"/>
                <w:sz w:val="16"/>
                <w:szCs w:val="20"/>
                <w:lang w:eastAsia="cs-CZ"/>
              </w:rPr>
              <w:t xml:space="preserve"> pokud naplnění definice infrastruktury</w:t>
            </w:r>
          </w:p>
        </w:tc>
        <w:tc>
          <w:tcPr>
            <w:tcW w:w="460" w:type="pct"/>
            <w:tcBorders>
              <w:top w:val="none" w:sz="4" w:space="0" w:color="000000"/>
              <w:left w:val="none" w:sz="4" w:space="0" w:color="000000"/>
              <w:bottom w:val="single" w:sz="4" w:space="0" w:color="auto"/>
              <w:right w:val="single" w:sz="4" w:space="0" w:color="auto"/>
            </w:tcBorders>
            <w:vAlign w:val="center"/>
          </w:tcPr>
          <w:p w14:paraId="6B04C084"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p w14:paraId="305A8695" w14:textId="77777777" w:rsidR="00602DCA" w:rsidRDefault="00602DCA">
            <w:pPr>
              <w:spacing w:after="0" w:line="240" w:lineRule="auto"/>
              <w:jc w:val="left"/>
              <w:rPr>
                <w:rFonts w:asciiTheme="minorHAnsi" w:eastAsia="Times New Roman" w:hAnsiTheme="minorHAnsi" w:cstheme="minorHAnsi"/>
                <w:color w:val="000000"/>
                <w:sz w:val="16"/>
                <w:szCs w:val="20"/>
                <w:lang w:eastAsia="cs-CZ"/>
              </w:rPr>
            </w:pPr>
          </w:p>
          <w:p w14:paraId="1BE9DB12"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proofErr w:type="gramStart"/>
            <w:r>
              <w:rPr>
                <w:rFonts w:asciiTheme="minorHAnsi" w:eastAsia="Times New Roman" w:hAnsiTheme="minorHAnsi" w:cstheme="minorHAnsi"/>
                <w:color w:val="000000"/>
                <w:sz w:val="16"/>
                <w:szCs w:val="20"/>
                <w:lang w:eastAsia="cs-CZ"/>
              </w:rPr>
              <w:t>CP</w:t>
            </w:r>
            <w:proofErr w:type="gramEnd"/>
            <w:r>
              <w:rPr>
                <w:rFonts w:asciiTheme="minorHAnsi" w:eastAsia="Times New Roman" w:hAnsiTheme="minorHAnsi" w:cstheme="minorHAnsi"/>
                <w:color w:val="000000"/>
                <w:sz w:val="16"/>
                <w:szCs w:val="20"/>
                <w:lang w:eastAsia="cs-CZ"/>
              </w:rPr>
              <w:t xml:space="preserve"> pokud naplnění definice infrastruktury</w:t>
            </w:r>
          </w:p>
        </w:tc>
        <w:tc>
          <w:tcPr>
            <w:tcW w:w="455" w:type="pct"/>
            <w:tcBorders>
              <w:top w:val="none" w:sz="4" w:space="0" w:color="000000"/>
              <w:left w:val="none" w:sz="4" w:space="0" w:color="000000"/>
              <w:bottom w:val="single" w:sz="4" w:space="0" w:color="auto"/>
              <w:right w:val="single" w:sz="4" w:space="0" w:color="auto"/>
            </w:tcBorders>
            <w:noWrap/>
            <w:vAlign w:val="center"/>
          </w:tcPr>
          <w:p w14:paraId="75860C51"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tc>
        <w:tc>
          <w:tcPr>
            <w:tcW w:w="456" w:type="pct"/>
            <w:tcBorders>
              <w:top w:val="none" w:sz="4" w:space="0" w:color="000000"/>
              <w:left w:val="none" w:sz="4" w:space="0" w:color="000000"/>
              <w:bottom w:val="single" w:sz="4" w:space="0" w:color="auto"/>
              <w:right w:val="single" w:sz="4" w:space="0" w:color="auto"/>
            </w:tcBorders>
            <w:noWrap/>
            <w:vAlign w:val="center"/>
          </w:tcPr>
          <w:p w14:paraId="329363E8"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tc>
        <w:tc>
          <w:tcPr>
            <w:tcW w:w="461" w:type="pct"/>
            <w:tcBorders>
              <w:top w:val="none" w:sz="4" w:space="0" w:color="000000"/>
              <w:left w:val="none" w:sz="4" w:space="0" w:color="000000"/>
              <w:bottom w:val="single" w:sz="4" w:space="0" w:color="auto"/>
              <w:right w:val="single" w:sz="4" w:space="0" w:color="auto"/>
            </w:tcBorders>
            <w:noWrap/>
            <w:vAlign w:val="center"/>
          </w:tcPr>
          <w:p w14:paraId="5B6C8516"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tc>
        <w:tc>
          <w:tcPr>
            <w:tcW w:w="429" w:type="pct"/>
            <w:tcBorders>
              <w:top w:val="none" w:sz="4" w:space="0" w:color="000000"/>
              <w:left w:val="none" w:sz="4" w:space="0" w:color="000000"/>
              <w:bottom w:val="single" w:sz="4" w:space="0" w:color="auto"/>
              <w:right w:val="single" w:sz="4" w:space="0" w:color="auto"/>
            </w:tcBorders>
            <w:noWrap/>
            <w:vAlign w:val="center"/>
          </w:tcPr>
          <w:p w14:paraId="6D3A739B"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tc>
      </w:tr>
      <w:tr w:rsidR="00602DCA" w14:paraId="539559ED" w14:textId="77777777">
        <w:trPr>
          <w:trHeight w:val="20"/>
        </w:trPr>
        <w:tc>
          <w:tcPr>
            <w:tcW w:w="202" w:type="pct"/>
            <w:tcBorders>
              <w:top w:val="none" w:sz="4" w:space="0" w:color="000000"/>
              <w:left w:val="single" w:sz="4" w:space="0" w:color="auto"/>
              <w:bottom w:val="single" w:sz="4" w:space="0" w:color="auto"/>
              <w:right w:val="single" w:sz="4" w:space="0" w:color="auto"/>
            </w:tcBorders>
            <w:vAlign w:val="center"/>
          </w:tcPr>
          <w:p w14:paraId="0E8E51E4" w14:textId="77777777" w:rsidR="00602DCA" w:rsidRDefault="00C5530C">
            <w:pPr>
              <w:spacing w:after="0" w:line="240" w:lineRule="auto"/>
              <w:jc w:val="righ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120</w:t>
            </w:r>
          </w:p>
        </w:tc>
        <w:tc>
          <w:tcPr>
            <w:tcW w:w="204" w:type="pct"/>
            <w:tcBorders>
              <w:top w:val="none" w:sz="4" w:space="0" w:color="000000"/>
              <w:left w:val="none" w:sz="4" w:space="0" w:color="000000"/>
              <w:bottom w:val="single" w:sz="4" w:space="0" w:color="auto"/>
              <w:right w:val="single" w:sz="4" w:space="0" w:color="auto"/>
            </w:tcBorders>
            <w:vAlign w:val="center"/>
          </w:tcPr>
          <w:p w14:paraId="04E85CFE" w14:textId="77777777" w:rsidR="00602DCA" w:rsidRDefault="00C5530C">
            <w:pPr>
              <w:spacing w:after="0" w:line="240" w:lineRule="auto"/>
              <w:rPr>
                <w:rFonts w:asciiTheme="minorHAnsi" w:eastAsia="Times New Roman" w:hAnsiTheme="minorHAnsi" w:cstheme="minorHAnsi"/>
                <w:color w:val="000000"/>
                <w:sz w:val="16"/>
                <w:szCs w:val="20"/>
                <w:lang w:eastAsia="cs-CZ"/>
              </w:rPr>
            </w:pPr>
            <w:proofErr w:type="gramStart"/>
            <w:r>
              <w:rPr>
                <w:rFonts w:asciiTheme="minorHAnsi" w:eastAsia="Times New Roman" w:hAnsiTheme="minorHAnsi" w:cstheme="minorHAnsi"/>
                <w:color w:val="000000"/>
                <w:sz w:val="16"/>
                <w:szCs w:val="20"/>
                <w:lang w:eastAsia="cs-CZ"/>
              </w:rPr>
              <w:t>084a</w:t>
            </w:r>
            <w:proofErr w:type="gramEnd"/>
          </w:p>
        </w:tc>
        <w:tc>
          <w:tcPr>
            <w:tcW w:w="1165" w:type="pct"/>
            <w:tcBorders>
              <w:top w:val="none" w:sz="4" w:space="0" w:color="000000"/>
              <w:left w:val="none" w:sz="4" w:space="0" w:color="000000"/>
              <w:bottom w:val="single" w:sz="4" w:space="0" w:color="auto"/>
              <w:right w:val="single" w:sz="4" w:space="0" w:color="auto"/>
            </w:tcBorders>
            <w:vAlign w:val="center"/>
          </w:tcPr>
          <w:p w14:paraId="6144227C"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Digitalizace dopravy, pokud je částečně zaměřená na snížení emisí skleníkových plynů: ostatní druhy dopravy</w:t>
            </w:r>
          </w:p>
        </w:tc>
        <w:tc>
          <w:tcPr>
            <w:tcW w:w="304" w:type="pct"/>
            <w:tcBorders>
              <w:top w:val="none" w:sz="4" w:space="0" w:color="000000"/>
              <w:left w:val="none" w:sz="4" w:space="0" w:color="000000"/>
              <w:bottom w:val="single" w:sz="4" w:space="0" w:color="auto"/>
              <w:right w:val="single" w:sz="4" w:space="0" w:color="auto"/>
            </w:tcBorders>
            <w:vAlign w:val="center"/>
          </w:tcPr>
          <w:p w14:paraId="0DEBE151"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w:t>
            </w:r>
          </w:p>
        </w:tc>
        <w:tc>
          <w:tcPr>
            <w:tcW w:w="259" w:type="pct"/>
            <w:tcBorders>
              <w:top w:val="none" w:sz="4" w:space="0" w:color="000000"/>
              <w:left w:val="none" w:sz="4" w:space="0" w:color="000000"/>
              <w:bottom w:val="single" w:sz="4" w:space="0" w:color="auto"/>
              <w:right w:val="single" w:sz="4" w:space="0" w:color="auto"/>
            </w:tcBorders>
            <w:vAlign w:val="center"/>
          </w:tcPr>
          <w:p w14:paraId="2D2F93FA"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0 %</w:t>
            </w:r>
          </w:p>
        </w:tc>
        <w:tc>
          <w:tcPr>
            <w:tcW w:w="605" w:type="pct"/>
            <w:tcBorders>
              <w:top w:val="none" w:sz="4" w:space="0" w:color="000000"/>
              <w:left w:val="none" w:sz="4" w:space="0" w:color="000000"/>
              <w:bottom w:val="single" w:sz="4" w:space="0" w:color="auto"/>
              <w:right w:val="single" w:sz="4" w:space="0" w:color="auto"/>
            </w:tcBorders>
            <w:vAlign w:val="center"/>
          </w:tcPr>
          <w:p w14:paraId="154CB677"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p w14:paraId="3B00A223" w14:textId="77777777" w:rsidR="00602DCA" w:rsidRDefault="00602DCA">
            <w:pPr>
              <w:spacing w:after="0" w:line="240" w:lineRule="auto"/>
              <w:jc w:val="left"/>
              <w:rPr>
                <w:rFonts w:asciiTheme="minorHAnsi" w:eastAsia="Times New Roman" w:hAnsiTheme="minorHAnsi" w:cstheme="minorHAnsi"/>
                <w:color w:val="000000"/>
                <w:sz w:val="16"/>
                <w:szCs w:val="20"/>
                <w:lang w:eastAsia="cs-CZ"/>
              </w:rPr>
            </w:pPr>
          </w:p>
          <w:p w14:paraId="2258E751"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proofErr w:type="gramStart"/>
            <w:r>
              <w:rPr>
                <w:rFonts w:asciiTheme="minorHAnsi" w:eastAsia="Times New Roman" w:hAnsiTheme="minorHAnsi" w:cstheme="minorHAnsi"/>
                <w:color w:val="000000"/>
                <w:sz w:val="16"/>
                <w:szCs w:val="20"/>
                <w:lang w:eastAsia="cs-CZ"/>
              </w:rPr>
              <w:t>CP</w:t>
            </w:r>
            <w:proofErr w:type="gramEnd"/>
            <w:r>
              <w:rPr>
                <w:rFonts w:asciiTheme="minorHAnsi" w:eastAsia="Times New Roman" w:hAnsiTheme="minorHAnsi" w:cstheme="minorHAnsi"/>
                <w:color w:val="000000"/>
                <w:sz w:val="16"/>
                <w:szCs w:val="20"/>
                <w:lang w:eastAsia="cs-CZ"/>
              </w:rPr>
              <w:t xml:space="preserve"> pokud naplnění definice infrastruktury</w:t>
            </w:r>
          </w:p>
        </w:tc>
        <w:tc>
          <w:tcPr>
            <w:tcW w:w="460" w:type="pct"/>
            <w:tcBorders>
              <w:top w:val="none" w:sz="4" w:space="0" w:color="000000"/>
              <w:left w:val="none" w:sz="4" w:space="0" w:color="000000"/>
              <w:bottom w:val="single" w:sz="4" w:space="0" w:color="auto"/>
              <w:right w:val="single" w:sz="4" w:space="0" w:color="auto"/>
            </w:tcBorders>
            <w:vAlign w:val="center"/>
          </w:tcPr>
          <w:p w14:paraId="47AED6A8"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p w14:paraId="196DC8C5" w14:textId="77777777" w:rsidR="00602DCA" w:rsidRDefault="00602DCA">
            <w:pPr>
              <w:spacing w:after="0" w:line="240" w:lineRule="auto"/>
              <w:jc w:val="left"/>
              <w:rPr>
                <w:rFonts w:asciiTheme="minorHAnsi" w:eastAsia="Times New Roman" w:hAnsiTheme="minorHAnsi" w:cstheme="minorHAnsi"/>
                <w:color w:val="000000"/>
                <w:sz w:val="16"/>
                <w:szCs w:val="20"/>
                <w:lang w:eastAsia="cs-CZ"/>
              </w:rPr>
            </w:pPr>
          </w:p>
          <w:p w14:paraId="23BBE9F6"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proofErr w:type="gramStart"/>
            <w:r>
              <w:rPr>
                <w:rFonts w:asciiTheme="minorHAnsi" w:eastAsia="Times New Roman" w:hAnsiTheme="minorHAnsi" w:cstheme="minorHAnsi"/>
                <w:color w:val="000000"/>
                <w:sz w:val="16"/>
                <w:szCs w:val="20"/>
                <w:lang w:eastAsia="cs-CZ"/>
              </w:rPr>
              <w:t>CP</w:t>
            </w:r>
            <w:proofErr w:type="gramEnd"/>
            <w:r>
              <w:rPr>
                <w:rFonts w:asciiTheme="minorHAnsi" w:eastAsia="Times New Roman" w:hAnsiTheme="minorHAnsi" w:cstheme="minorHAnsi"/>
                <w:color w:val="000000"/>
                <w:sz w:val="16"/>
                <w:szCs w:val="20"/>
                <w:lang w:eastAsia="cs-CZ"/>
              </w:rPr>
              <w:t xml:space="preserve"> pokud naplnění definice infrastruktury</w:t>
            </w:r>
          </w:p>
        </w:tc>
        <w:tc>
          <w:tcPr>
            <w:tcW w:w="455" w:type="pct"/>
            <w:tcBorders>
              <w:top w:val="none" w:sz="4" w:space="0" w:color="000000"/>
              <w:left w:val="none" w:sz="4" w:space="0" w:color="000000"/>
              <w:bottom w:val="single" w:sz="4" w:space="0" w:color="auto"/>
              <w:right w:val="single" w:sz="4" w:space="0" w:color="auto"/>
            </w:tcBorders>
            <w:noWrap/>
            <w:vAlign w:val="center"/>
          </w:tcPr>
          <w:p w14:paraId="7B0B4546"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tc>
        <w:tc>
          <w:tcPr>
            <w:tcW w:w="456" w:type="pct"/>
            <w:tcBorders>
              <w:top w:val="none" w:sz="4" w:space="0" w:color="000000"/>
              <w:left w:val="none" w:sz="4" w:space="0" w:color="000000"/>
              <w:bottom w:val="single" w:sz="4" w:space="0" w:color="auto"/>
              <w:right w:val="single" w:sz="4" w:space="0" w:color="auto"/>
            </w:tcBorders>
            <w:noWrap/>
            <w:vAlign w:val="center"/>
          </w:tcPr>
          <w:p w14:paraId="7A6D967F"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tc>
        <w:tc>
          <w:tcPr>
            <w:tcW w:w="461" w:type="pct"/>
            <w:tcBorders>
              <w:top w:val="none" w:sz="4" w:space="0" w:color="000000"/>
              <w:left w:val="none" w:sz="4" w:space="0" w:color="000000"/>
              <w:bottom w:val="single" w:sz="4" w:space="0" w:color="auto"/>
              <w:right w:val="single" w:sz="4" w:space="0" w:color="auto"/>
            </w:tcBorders>
            <w:noWrap/>
            <w:vAlign w:val="center"/>
          </w:tcPr>
          <w:p w14:paraId="593380F1"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tc>
        <w:tc>
          <w:tcPr>
            <w:tcW w:w="429" w:type="pct"/>
            <w:tcBorders>
              <w:top w:val="none" w:sz="4" w:space="0" w:color="000000"/>
              <w:left w:val="none" w:sz="4" w:space="0" w:color="000000"/>
              <w:bottom w:val="single" w:sz="4" w:space="0" w:color="auto"/>
              <w:right w:val="single" w:sz="4" w:space="0" w:color="auto"/>
            </w:tcBorders>
            <w:noWrap/>
            <w:vAlign w:val="center"/>
          </w:tcPr>
          <w:p w14:paraId="27E692AA"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tc>
      </w:tr>
      <w:tr w:rsidR="00602DCA" w14:paraId="72E1BA5C" w14:textId="77777777">
        <w:trPr>
          <w:trHeight w:val="20"/>
        </w:trPr>
        <w:tc>
          <w:tcPr>
            <w:tcW w:w="5000" w:type="pct"/>
            <w:gridSpan w:val="11"/>
            <w:tcBorders>
              <w:top w:val="single" w:sz="4" w:space="0" w:color="auto"/>
              <w:left w:val="single" w:sz="4" w:space="0" w:color="auto"/>
              <w:bottom w:val="single" w:sz="4" w:space="0" w:color="auto"/>
              <w:right w:val="single" w:sz="4" w:space="0" w:color="auto"/>
            </w:tcBorders>
            <w:vAlign w:val="center"/>
          </w:tcPr>
          <w:p w14:paraId="23A7AE98"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Cíl politiky 4: Sociálnější a inkluzivnější Evropa díky provádění evropského pilíře sociálních práv</w:t>
            </w:r>
          </w:p>
        </w:tc>
      </w:tr>
      <w:tr w:rsidR="00602DCA" w14:paraId="08C50E9B" w14:textId="77777777">
        <w:trPr>
          <w:trHeight w:val="20"/>
        </w:trPr>
        <w:tc>
          <w:tcPr>
            <w:tcW w:w="5000" w:type="pct"/>
            <w:gridSpan w:val="11"/>
            <w:tcBorders>
              <w:top w:val="single" w:sz="4" w:space="0" w:color="auto"/>
              <w:left w:val="single" w:sz="4" w:space="0" w:color="auto"/>
              <w:bottom w:val="single" w:sz="4" w:space="0" w:color="auto"/>
              <w:right w:val="single" w:sz="4" w:space="0" w:color="auto"/>
            </w:tcBorders>
            <w:vAlign w:val="center"/>
          </w:tcPr>
          <w:p w14:paraId="58B73DA7"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Cíl politiky 5: Evropa bližší občanům díky podpoře udržitelného a integrovaného rozvoje všech typů území a místních iniciativ</w:t>
            </w:r>
          </w:p>
        </w:tc>
      </w:tr>
      <w:tr w:rsidR="00602DCA" w14:paraId="68AE681B" w14:textId="77777777">
        <w:trPr>
          <w:trHeight w:val="20"/>
        </w:trPr>
        <w:tc>
          <w:tcPr>
            <w:tcW w:w="202" w:type="pct"/>
            <w:tcBorders>
              <w:top w:val="none" w:sz="4" w:space="0" w:color="000000"/>
              <w:left w:val="single" w:sz="4" w:space="0" w:color="auto"/>
              <w:bottom w:val="single" w:sz="4" w:space="0" w:color="auto"/>
              <w:right w:val="single" w:sz="4" w:space="0" w:color="auto"/>
            </w:tcBorders>
            <w:vAlign w:val="center"/>
          </w:tcPr>
          <w:p w14:paraId="0ACE091C" w14:textId="77777777" w:rsidR="00602DCA" w:rsidRDefault="00C5530C">
            <w:pPr>
              <w:spacing w:after="0" w:line="240" w:lineRule="auto"/>
              <w:jc w:val="righ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167</w:t>
            </w:r>
          </w:p>
        </w:tc>
        <w:tc>
          <w:tcPr>
            <w:tcW w:w="204" w:type="pct"/>
            <w:tcBorders>
              <w:top w:val="none" w:sz="4" w:space="0" w:color="000000"/>
              <w:left w:val="none" w:sz="4" w:space="0" w:color="000000"/>
              <w:bottom w:val="single" w:sz="4" w:space="0" w:color="auto"/>
              <w:right w:val="single" w:sz="4" w:space="0" w:color="auto"/>
            </w:tcBorders>
            <w:vAlign w:val="center"/>
          </w:tcPr>
          <w:p w14:paraId="1D401E83" w14:textId="77777777" w:rsidR="00602DCA" w:rsidRDefault="00C5530C">
            <w:pPr>
              <w:spacing w:after="0" w:line="240" w:lineRule="auto"/>
              <w:jc w:val="righ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130</w:t>
            </w:r>
          </w:p>
        </w:tc>
        <w:tc>
          <w:tcPr>
            <w:tcW w:w="1165" w:type="pct"/>
            <w:tcBorders>
              <w:top w:val="none" w:sz="4" w:space="0" w:color="000000"/>
              <w:left w:val="none" w:sz="4" w:space="0" w:color="000000"/>
              <w:bottom w:val="single" w:sz="4" w:space="0" w:color="auto"/>
              <w:right w:val="single" w:sz="4" w:space="0" w:color="auto"/>
            </w:tcBorders>
            <w:vAlign w:val="center"/>
          </w:tcPr>
          <w:p w14:paraId="3FDF48ED"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Ochrana, rozvoj a podpora přírodního dědictví a ekoturistiky mimo síť Natura 2000</w:t>
            </w:r>
          </w:p>
        </w:tc>
        <w:tc>
          <w:tcPr>
            <w:tcW w:w="304" w:type="pct"/>
            <w:tcBorders>
              <w:top w:val="none" w:sz="4" w:space="0" w:color="000000"/>
              <w:left w:val="none" w:sz="4" w:space="0" w:color="000000"/>
              <w:bottom w:val="single" w:sz="4" w:space="0" w:color="auto"/>
              <w:right w:val="single" w:sz="4" w:space="0" w:color="auto"/>
            </w:tcBorders>
            <w:vAlign w:val="center"/>
          </w:tcPr>
          <w:p w14:paraId="73FD94EB"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0 %</w:t>
            </w:r>
          </w:p>
        </w:tc>
        <w:tc>
          <w:tcPr>
            <w:tcW w:w="259" w:type="pct"/>
            <w:tcBorders>
              <w:top w:val="none" w:sz="4" w:space="0" w:color="000000"/>
              <w:left w:val="none" w:sz="4" w:space="0" w:color="000000"/>
              <w:bottom w:val="single" w:sz="4" w:space="0" w:color="auto"/>
              <w:right w:val="single" w:sz="4" w:space="0" w:color="auto"/>
            </w:tcBorders>
            <w:vAlign w:val="center"/>
          </w:tcPr>
          <w:p w14:paraId="6246FFFE"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100 %</w:t>
            </w:r>
          </w:p>
        </w:tc>
        <w:tc>
          <w:tcPr>
            <w:tcW w:w="605" w:type="pct"/>
            <w:tcBorders>
              <w:top w:val="none" w:sz="4" w:space="0" w:color="000000"/>
              <w:left w:val="none" w:sz="4" w:space="0" w:color="000000"/>
              <w:bottom w:val="single" w:sz="4" w:space="0" w:color="auto"/>
              <w:right w:val="single" w:sz="4" w:space="0" w:color="auto"/>
            </w:tcBorders>
            <w:noWrap/>
            <w:vAlign w:val="center"/>
          </w:tcPr>
          <w:p w14:paraId="58D7A098"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tc>
        <w:tc>
          <w:tcPr>
            <w:tcW w:w="460" w:type="pct"/>
            <w:tcBorders>
              <w:top w:val="none" w:sz="4" w:space="0" w:color="000000"/>
              <w:left w:val="none" w:sz="4" w:space="0" w:color="000000"/>
              <w:bottom w:val="single" w:sz="4" w:space="0" w:color="auto"/>
              <w:right w:val="single" w:sz="4" w:space="0" w:color="auto"/>
            </w:tcBorders>
            <w:noWrap/>
            <w:vAlign w:val="center"/>
          </w:tcPr>
          <w:p w14:paraId="6338C195"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tc>
        <w:tc>
          <w:tcPr>
            <w:tcW w:w="455" w:type="pct"/>
            <w:tcBorders>
              <w:top w:val="none" w:sz="4" w:space="0" w:color="000000"/>
              <w:left w:val="none" w:sz="4" w:space="0" w:color="000000"/>
              <w:bottom w:val="single" w:sz="4" w:space="0" w:color="auto"/>
              <w:right w:val="single" w:sz="4" w:space="0" w:color="auto"/>
            </w:tcBorders>
            <w:vAlign w:val="center"/>
          </w:tcPr>
          <w:p w14:paraId="13674D38"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tc>
        <w:tc>
          <w:tcPr>
            <w:tcW w:w="456" w:type="pct"/>
            <w:tcBorders>
              <w:top w:val="none" w:sz="4" w:space="0" w:color="000000"/>
              <w:left w:val="none" w:sz="4" w:space="0" w:color="000000"/>
              <w:bottom w:val="single" w:sz="4" w:space="0" w:color="auto"/>
              <w:right w:val="single" w:sz="4" w:space="0" w:color="auto"/>
            </w:tcBorders>
            <w:vAlign w:val="center"/>
          </w:tcPr>
          <w:p w14:paraId="7D0A19E2"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tc>
        <w:tc>
          <w:tcPr>
            <w:tcW w:w="461" w:type="pct"/>
            <w:tcBorders>
              <w:top w:val="none" w:sz="4" w:space="0" w:color="000000"/>
              <w:left w:val="none" w:sz="4" w:space="0" w:color="000000"/>
              <w:bottom w:val="single" w:sz="4" w:space="0" w:color="auto"/>
              <w:right w:val="single" w:sz="4" w:space="0" w:color="auto"/>
            </w:tcBorders>
            <w:vAlign w:val="center"/>
          </w:tcPr>
          <w:p w14:paraId="078FEA51"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splněno</w:t>
            </w:r>
          </w:p>
        </w:tc>
        <w:tc>
          <w:tcPr>
            <w:tcW w:w="429" w:type="pct"/>
            <w:tcBorders>
              <w:top w:val="none" w:sz="4" w:space="0" w:color="000000"/>
              <w:left w:val="none" w:sz="4" w:space="0" w:color="000000"/>
              <w:bottom w:val="single" w:sz="4" w:space="0" w:color="auto"/>
              <w:right w:val="single" w:sz="4" w:space="0" w:color="auto"/>
            </w:tcBorders>
            <w:vAlign w:val="center"/>
          </w:tcPr>
          <w:p w14:paraId="371CD89A"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splněno</w:t>
            </w:r>
          </w:p>
        </w:tc>
      </w:tr>
      <w:tr w:rsidR="00602DCA" w14:paraId="0FF75A80" w14:textId="77777777">
        <w:trPr>
          <w:trHeight w:val="20"/>
        </w:trPr>
        <w:tc>
          <w:tcPr>
            <w:tcW w:w="2134" w:type="pct"/>
            <w:gridSpan w:val="5"/>
            <w:tcBorders>
              <w:top w:val="single" w:sz="4" w:space="0" w:color="auto"/>
              <w:left w:val="single" w:sz="4" w:space="0" w:color="auto"/>
              <w:bottom w:val="single" w:sz="4" w:space="0" w:color="auto"/>
              <w:right w:val="single" w:sz="4" w:space="0" w:color="auto"/>
            </w:tcBorders>
            <w:vAlign w:val="center"/>
          </w:tcPr>
          <w:p w14:paraId="05DCBDB0"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Ostatní kódy týkající se cílů politiky 1 až 5</w:t>
            </w:r>
          </w:p>
        </w:tc>
        <w:tc>
          <w:tcPr>
            <w:tcW w:w="605" w:type="pct"/>
            <w:tcBorders>
              <w:top w:val="none" w:sz="4" w:space="0" w:color="000000"/>
              <w:left w:val="none" w:sz="4" w:space="0" w:color="000000"/>
              <w:bottom w:val="single" w:sz="4" w:space="0" w:color="auto"/>
              <w:right w:val="single" w:sz="4" w:space="0" w:color="auto"/>
            </w:tcBorders>
            <w:noWrap/>
            <w:vAlign w:val="center"/>
          </w:tcPr>
          <w:p w14:paraId="0065AF4E"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 </w:t>
            </w:r>
          </w:p>
        </w:tc>
        <w:tc>
          <w:tcPr>
            <w:tcW w:w="460" w:type="pct"/>
            <w:tcBorders>
              <w:top w:val="none" w:sz="4" w:space="0" w:color="000000"/>
              <w:left w:val="none" w:sz="4" w:space="0" w:color="000000"/>
              <w:bottom w:val="single" w:sz="4" w:space="0" w:color="auto"/>
              <w:right w:val="single" w:sz="4" w:space="0" w:color="auto"/>
            </w:tcBorders>
            <w:noWrap/>
            <w:vAlign w:val="center"/>
          </w:tcPr>
          <w:p w14:paraId="5802F6CF"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 </w:t>
            </w:r>
          </w:p>
        </w:tc>
        <w:tc>
          <w:tcPr>
            <w:tcW w:w="455" w:type="pct"/>
            <w:tcBorders>
              <w:top w:val="none" w:sz="4" w:space="0" w:color="000000"/>
              <w:left w:val="none" w:sz="4" w:space="0" w:color="000000"/>
              <w:bottom w:val="single" w:sz="4" w:space="0" w:color="auto"/>
              <w:right w:val="single" w:sz="4" w:space="0" w:color="auto"/>
            </w:tcBorders>
            <w:noWrap/>
            <w:vAlign w:val="center"/>
          </w:tcPr>
          <w:p w14:paraId="04C35B3D"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 </w:t>
            </w:r>
          </w:p>
        </w:tc>
        <w:tc>
          <w:tcPr>
            <w:tcW w:w="456" w:type="pct"/>
            <w:tcBorders>
              <w:top w:val="none" w:sz="4" w:space="0" w:color="000000"/>
              <w:left w:val="none" w:sz="4" w:space="0" w:color="000000"/>
              <w:bottom w:val="single" w:sz="4" w:space="0" w:color="auto"/>
              <w:right w:val="single" w:sz="4" w:space="0" w:color="auto"/>
            </w:tcBorders>
            <w:noWrap/>
            <w:vAlign w:val="center"/>
          </w:tcPr>
          <w:p w14:paraId="558FF492"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 </w:t>
            </w:r>
          </w:p>
        </w:tc>
        <w:tc>
          <w:tcPr>
            <w:tcW w:w="461" w:type="pct"/>
            <w:tcBorders>
              <w:top w:val="none" w:sz="4" w:space="0" w:color="000000"/>
              <w:left w:val="none" w:sz="4" w:space="0" w:color="000000"/>
              <w:bottom w:val="single" w:sz="4" w:space="0" w:color="auto"/>
              <w:right w:val="single" w:sz="4" w:space="0" w:color="auto"/>
            </w:tcBorders>
            <w:noWrap/>
            <w:vAlign w:val="center"/>
          </w:tcPr>
          <w:p w14:paraId="0EA674D6"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 </w:t>
            </w:r>
          </w:p>
        </w:tc>
        <w:tc>
          <w:tcPr>
            <w:tcW w:w="429" w:type="pct"/>
            <w:tcBorders>
              <w:top w:val="none" w:sz="4" w:space="0" w:color="000000"/>
              <w:left w:val="none" w:sz="4" w:space="0" w:color="000000"/>
              <w:bottom w:val="single" w:sz="4" w:space="0" w:color="auto"/>
              <w:right w:val="single" w:sz="4" w:space="0" w:color="auto"/>
            </w:tcBorders>
            <w:noWrap/>
            <w:vAlign w:val="center"/>
          </w:tcPr>
          <w:p w14:paraId="22DCE985"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 </w:t>
            </w:r>
          </w:p>
        </w:tc>
      </w:tr>
      <w:tr w:rsidR="00602DCA" w14:paraId="7764BA53" w14:textId="77777777">
        <w:trPr>
          <w:trHeight w:val="20"/>
        </w:trPr>
        <w:tc>
          <w:tcPr>
            <w:tcW w:w="202" w:type="pct"/>
            <w:tcBorders>
              <w:top w:val="none" w:sz="4" w:space="0" w:color="000000"/>
              <w:left w:val="single" w:sz="4" w:space="0" w:color="auto"/>
              <w:bottom w:val="single" w:sz="4" w:space="0" w:color="auto"/>
              <w:right w:val="single" w:sz="4" w:space="0" w:color="auto"/>
            </w:tcBorders>
            <w:vAlign w:val="center"/>
          </w:tcPr>
          <w:p w14:paraId="1F57A968" w14:textId="77777777" w:rsidR="00602DCA" w:rsidRDefault="00C5530C">
            <w:pPr>
              <w:spacing w:after="0" w:line="240" w:lineRule="auto"/>
              <w:jc w:val="righ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177</w:t>
            </w:r>
          </w:p>
        </w:tc>
        <w:tc>
          <w:tcPr>
            <w:tcW w:w="204" w:type="pct"/>
            <w:tcBorders>
              <w:top w:val="none" w:sz="4" w:space="0" w:color="000000"/>
              <w:left w:val="none" w:sz="4" w:space="0" w:color="000000"/>
              <w:bottom w:val="single" w:sz="4" w:space="0" w:color="auto"/>
              <w:right w:val="single" w:sz="4" w:space="0" w:color="auto"/>
            </w:tcBorders>
            <w:vAlign w:val="center"/>
          </w:tcPr>
          <w:p w14:paraId="010ACA82" w14:textId="77777777" w:rsidR="00602DCA" w:rsidRDefault="00C5530C">
            <w:pPr>
              <w:spacing w:after="0" w:line="240" w:lineRule="auto"/>
              <w:jc w:val="righ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138</w:t>
            </w:r>
          </w:p>
        </w:tc>
        <w:tc>
          <w:tcPr>
            <w:tcW w:w="1165" w:type="pct"/>
            <w:tcBorders>
              <w:top w:val="none" w:sz="4" w:space="0" w:color="000000"/>
              <w:left w:val="none" w:sz="4" w:space="0" w:color="000000"/>
              <w:bottom w:val="single" w:sz="4" w:space="0" w:color="auto"/>
              <w:right w:val="single" w:sz="4" w:space="0" w:color="auto"/>
            </w:tcBorders>
            <w:vAlign w:val="center"/>
          </w:tcPr>
          <w:p w14:paraId="16079AE5"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Nejvzdálenější regiony: podpora na kompenzaci dodatečných nákladů způsobených klimatickými podmínkami a nepřístupným povrchem</w:t>
            </w:r>
          </w:p>
        </w:tc>
        <w:tc>
          <w:tcPr>
            <w:tcW w:w="304" w:type="pct"/>
            <w:tcBorders>
              <w:top w:val="none" w:sz="4" w:space="0" w:color="000000"/>
              <w:left w:val="none" w:sz="4" w:space="0" w:color="000000"/>
              <w:bottom w:val="single" w:sz="4" w:space="0" w:color="auto"/>
              <w:right w:val="single" w:sz="4" w:space="0" w:color="auto"/>
            </w:tcBorders>
            <w:vAlign w:val="center"/>
          </w:tcPr>
          <w:p w14:paraId="3CCE097A"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w:t>
            </w:r>
          </w:p>
        </w:tc>
        <w:tc>
          <w:tcPr>
            <w:tcW w:w="259" w:type="pct"/>
            <w:tcBorders>
              <w:top w:val="none" w:sz="4" w:space="0" w:color="000000"/>
              <w:left w:val="none" w:sz="4" w:space="0" w:color="000000"/>
              <w:bottom w:val="single" w:sz="4" w:space="0" w:color="auto"/>
              <w:right w:val="single" w:sz="4" w:space="0" w:color="auto"/>
            </w:tcBorders>
            <w:vAlign w:val="center"/>
          </w:tcPr>
          <w:p w14:paraId="474E5AD5"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w:t>
            </w:r>
          </w:p>
        </w:tc>
        <w:tc>
          <w:tcPr>
            <w:tcW w:w="605" w:type="pct"/>
            <w:tcBorders>
              <w:top w:val="none" w:sz="4" w:space="0" w:color="000000"/>
              <w:left w:val="none" w:sz="4" w:space="0" w:color="000000"/>
              <w:bottom w:val="single" w:sz="4" w:space="0" w:color="auto"/>
              <w:right w:val="single" w:sz="4" w:space="0" w:color="auto"/>
            </w:tcBorders>
            <w:vAlign w:val="center"/>
          </w:tcPr>
          <w:p w14:paraId="23FF86E1"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p w14:paraId="1CE635FD" w14:textId="77777777" w:rsidR="00602DCA" w:rsidRDefault="00602DCA">
            <w:pPr>
              <w:spacing w:after="0" w:line="240" w:lineRule="auto"/>
              <w:jc w:val="left"/>
              <w:rPr>
                <w:rFonts w:asciiTheme="minorHAnsi" w:eastAsia="Times New Roman" w:hAnsiTheme="minorHAnsi" w:cstheme="minorHAnsi"/>
                <w:color w:val="000000"/>
                <w:sz w:val="16"/>
                <w:szCs w:val="20"/>
                <w:lang w:eastAsia="cs-CZ"/>
              </w:rPr>
            </w:pPr>
          </w:p>
          <w:p w14:paraId="46B1F2FE"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proofErr w:type="gramStart"/>
            <w:r>
              <w:rPr>
                <w:rFonts w:asciiTheme="minorHAnsi" w:eastAsia="Times New Roman" w:hAnsiTheme="minorHAnsi" w:cstheme="minorHAnsi"/>
                <w:color w:val="000000"/>
                <w:sz w:val="16"/>
                <w:szCs w:val="20"/>
                <w:lang w:eastAsia="cs-CZ"/>
              </w:rPr>
              <w:t>CP</w:t>
            </w:r>
            <w:proofErr w:type="gramEnd"/>
            <w:r>
              <w:rPr>
                <w:rFonts w:asciiTheme="minorHAnsi" w:eastAsia="Times New Roman" w:hAnsiTheme="minorHAnsi" w:cstheme="minorHAnsi"/>
                <w:color w:val="000000"/>
                <w:sz w:val="16"/>
                <w:szCs w:val="20"/>
                <w:lang w:eastAsia="cs-CZ"/>
              </w:rPr>
              <w:t xml:space="preserve"> pokud naplnění definice infrastruktury</w:t>
            </w:r>
          </w:p>
        </w:tc>
        <w:tc>
          <w:tcPr>
            <w:tcW w:w="460" w:type="pct"/>
            <w:tcBorders>
              <w:top w:val="none" w:sz="4" w:space="0" w:color="000000"/>
              <w:left w:val="none" w:sz="4" w:space="0" w:color="000000"/>
              <w:bottom w:val="single" w:sz="4" w:space="0" w:color="auto"/>
              <w:right w:val="single" w:sz="4" w:space="0" w:color="auto"/>
            </w:tcBorders>
            <w:vAlign w:val="center"/>
          </w:tcPr>
          <w:p w14:paraId="33C3CA13"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DNSH nutné posoudit</w:t>
            </w:r>
          </w:p>
          <w:p w14:paraId="792BFF89" w14:textId="77777777" w:rsidR="00602DCA" w:rsidRDefault="00602DCA">
            <w:pPr>
              <w:spacing w:after="0" w:line="240" w:lineRule="auto"/>
              <w:jc w:val="left"/>
              <w:rPr>
                <w:rFonts w:asciiTheme="minorHAnsi" w:eastAsia="Times New Roman" w:hAnsiTheme="minorHAnsi" w:cstheme="minorHAnsi"/>
                <w:color w:val="000000"/>
                <w:sz w:val="16"/>
                <w:szCs w:val="20"/>
                <w:lang w:eastAsia="cs-CZ"/>
              </w:rPr>
            </w:pPr>
          </w:p>
          <w:p w14:paraId="27F7134C"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proofErr w:type="gramStart"/>
            <w:r>
              <w:rPr>
                <w:rFonts w:asciiTheme="minorHAnsi" w:eastAsia="Times New Roman" w:hAnsiTheme="minorHAnsi" w:cstheme="minorHAnsi"/>
                <w:color w:val="000000"/>
                <w:sz w:val="16"/>
                <w:szCs w:val="20"/>
                <w:lang w:eastAsia="cs-CZ"/>
              </w:rPr>
              <w:t>CP</w:t>
            </w:r>
            <w:proofErr w:type="gramEnd"/>
            <w:r>
              <w:rPr>
                <w:rFonts w:asciiTheme="minorHAnsi" w:eastAsia="Times New Roman" w:hAnsiTheme="minorHAnsi" w:cstheme="minorHAnsi"/>
                <w:color w:val="000000"/>
                <w:sz w:val="16"/>
                <w:szCs w:val="20"/>
                <w:lang w:eastAsia="cs-CZ"/>
              </w:rPr>
              <w:t xml:space="preserve"> pokud naplnění definice infrastruktury</w:t>
            </w:r>
          </w:p>
        </w:tc>
        <w:tc>
          <w:tcPr>
            <w:tcW w:w="455" w:type="pct"/>
            <w:tcBorders>
              <w:top w:val="none" w:sz="4" w:space="0" w:color="000000"/>
              <w:left w:val="none" w:sz="4" w:space="0" w:color="000000"/>
              <w:bottom w:val="single" w:sz="4" w:space="0" w:color="auto"/>
              <w:right w:val="single" w:sz="4" w:space="0" w:color="auto"/>
            </w:tcBorders>
            <w:vAlign w:val="center"/>
          </w:tcPr>
          <w:p w14:paraId="4CAC0D12"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 není pro DNSH dostatečnou zárukou</w:t>
            </w:r>
          </w:p>
        </w:tc>
        <w:tc>
          <w:tcPr>
            <w:tcW w:w="456" w:type="pct"/>
            <w:tcBorders>
              <w:top w:val="none" w:sz="4" w:space="0" w:color="000000"/>
              <w:left w:val="none" w:sz="4" w:space="0" w:color="000000"/>
              <w:bottom w:val="single" w:sz="4" w:space="0" w:color="auto"/>
              <w:right w:val="single" w:sz="4" w:space="0" w:color="auto"/>
            </w:tcBorders>
            <w:vAlign w:val="center"/>
          </w:tcPr>
          <w:p w14:paraId="7F7E49CC"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 není pro DNSH dostatečnou zárukou</w:t>
            </w:r>
          </w:p>
        </w:tc>
        <w:tc>
          <w:tcPr>
            <w:tcW w:w="461" w:type="pct"/>
            <w:tcBorders>
              <w:top w:val="none" w:sz="4" w:space="0" w:color="000000"/>
              <w:left w:val="none" w:sz="4" w:space="0" w:color="000000"/>
              <w:bottom w:val="single" w:sz="4" w:space="0" w:color="auto"/>
              <w:right w:val="single" w:sz="4" w:space="0" w:color="auto"/>
            </w:tcBorders>
            <w:vAlign w:val="center"/>
          </w:tcPr>
          <w:p w14:paraId="2AE20448"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 není pro DNSH dostatečnou zárukou</w:t>
            </w:r>
          </w:p>
        </w:tc>
        <w:tc>
          <w:tcPr>
            <w:tcW w:w="429" w:type="pct"/>
            <w:tcBorders>
              <w:top w:val="none" w:sz="4" w:space="0" w:color="000000"/>
              <w:left w:val="none" w:sz="4" w:space="0" w:color="000000"/>
              <w:bottom w:val="single" w:sz="4" w:space="0" w:color="auto"/>
              <w:right w:val="single" w:sz="4" w:space="0" w:color="auto"/>
            </w:tcBorders>
            <w:vAlign w:val="center"/>
          </w:tcPr>
          <w:p w14:paraId="3BCB0AA9" w14:textId="77777777" w:rsidR="00602DCA" w:rsidRDefault="00C5530C">
            <w:pPr>
              <w:spacing w:after="0" w:line="240" w:lineRule="auto"/>
              <w:jc w:val="left"/>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40 % není pro DNSH dostatečnou zárukou</w:t>
            </w:r>
          </w:p>
        </w:tc>
      </w:tr>
      <w:tr w:rsidR="00602DCA" w14:paraId="1C012791" w14:textId="77777777">
        <w:trPr>
          <w:trHeight w:val="20"/>
        </w:trPr>
        <w:tc>
          <w:tcPr>
            <w:tcW w:w="5000" w:type="pct"/>
            <w:gridSpan w:val="11"/>
            <w:tcBorders>
              <w:top w:val="single" w:sz="4" w:space="0" w:color="auto"/>
              <w:left w:val="single" w:sz="4" w:space="0" w:color="auto"/>
              <w:bottom w:val="single" w:sz="4" w:space="0" w:color="auto"/>
              <w:right w:val="single" w:sz="4" w:space="0" w:color="auto"/>
            </w:tcBorders>
            <w:vAlign w:val="center"/>
          </w:tcPr>
          <w:p w14:paraId="6E4D068C"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 xml:space="preserve"> (1) V případě specifického cíle „umožnit regionům a lidem řešit sociální, hospodářské a environmentální dopady a dopady v oblasti zaměstnanosti zapříčiněné transformací, která je zaměřena na dosažení cílů Unie v oblasti energie a klimatu pro rok 2030 a na přechod na klimaticky neutrální ekonomiku Unie do roku 2050 založených na Pařížské dohodě“, který je podporován z FST, lze využít oblasti intervencí v rámci jakýchkoli politických cílů, pokud jsou v souladu s články 8 a 9 nařízení o FST a jsou v souladu s příslušným územním plánem spravedlivé transformace. Pro tento specifický cíl je koeficient pro výpočet podpory cílů v oblasti změny klimatu stanoven na 100 % pro všechny použité oblasti intervence. </w:t>
            </w:r>
          </w:p>
        </w:tc>
      </w:tr>
      <w:tr w:rsidR="00602DCA" w14:paraId="0381347F" w14:textId="77777777">
        <w:trPr>
          <w:trHeight w:val="20"/>
        </w:trPr>
        <w:tc>
          <w:tcPr>
            <w:tcW w:w="5000" w:type="pct"/>
            <w:gridSpan w:val="11"/>
            <w:tcBorders>
              <w:top w:val="single" w:sz="4" w:space="0" w:color="auto"/>
              <w:left w:val="single" w:sz="4" w:space="0" w:color="auto"/>
              <w:bottom w:val="single" w:sz="4" w:space="0" w:color="auto"/>
              <w:right w:val="single" w:sz="4" w:space="0" w:color="auto"/>
            </w:tcBorders>
            <w:vAlign w:val="center"/>
          </w:tcPr>
          <w:p w14:paraId="73579F25"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 xml:space="preserve"> (2) Pokud byla uznaná částka členského státu na podporu cílů v oblasti klimatu v rámci jeho plánu na podporu oživení a odolnosti zvýšena na základě použití čl. 18 odst. 4 písm. e) nařízení (EU) 2021/241, použije se v rámci politiky soudržnosti stejné poměrné zvýšení úrovně příspěvku tohoto členského státu k podpoře cílů v oblasti klimatu. </w:t>
            </w:r>
          </w:p>
        </w:tc>
      </w:tr>
      <w:tr w:rsidR="00602DCA" w14:paraId="1D8D8154" w14:textId="77777777">
        <w:trPr>
          <w:trHeight w:val="20"/>
        </w:trPr>
        <w:tc>
          <w:tcPr>
            <w:tcW w:w="5000" w:type="pct"/>
            <w:gridSpan w:val="11"/>
            <w:tcBorders>
              <w:top w:val="single" w:sz="4" w:space="0" w:color="auto"/>
              <w:left w:val="single" w:sz="4" w:space="0" w:color="auto"/>
              <w:bottom w:val="single" w:sz="4" w:space="0" w:color="auto"/>
              <w:right w:val="single" w:sz="4" w:space="0" w:color="auto"/>
            </w:tcBorders>
            <w:vAlign w:val="center"/>
          </w:tcPr>
          <w:p w14:paraId="0EC7AEE7"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 xml:space="preserve"> (3) Oblasti intervence jsou seskupeny podle cílů politiky, jejich používání však není omezeno pouze na tyto cíle. Každá oblast intervence může být použita v rámci kteréhokoli cíle politiky. Zejména u cíle politiky 5 mohou být navíc ke kódům uvedeným v rámci cíle politiky 5 vybrány všechny kódy dimenzí v rámci cílů politiky 1 až 4. </w:t>
            </w:r>
          </w:p>
        </w:tc>
      </w:tr>
      <w:tr w:rsidR="00602DCA" w14:paraId="1FFCEB08" w14:textId="77777777">
        <w:trPr>
          <w:trHeight w:val="20"/>
        </w:trPr>
        <w:tc>
          <w:tcPr>
            <w:tcW w:w="5000" w:type="pct"/>
            <w:gridSpan w:val="11"/>
            <w:tcBorders>
              <w:top w:val="single" w:sz="4" w:space="0" w:color="auto"/>
              <w:left w:val="single" w:sz="4" w:space="0" w:color="auto"/>
              <w:bottom w:val="single" w:sz="4" w:space="0" w:color="auto"/>
              <w:right w:val="single" w:sz="4" w:space="0" w:color="auto"/>
            </w:tcBorders>
            <w:vAlign w:val="center"/>
          </w:tcPr>
          <w:p w14:paraId="58A729D6"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 xml:space="preserve"> (4) Velké podniky jsou všechny podniky, které nejsou malými a středními podniky, včetně malých společností se střední tržní kapitalizací. </w:t>
            </w:r>
          </w:p>
        </w:tc>
      </w:tr>
      <w:tr w:rsidR="00602DCA" w14:paraId="30955644" w14:textId="77777777">
        <w:trPr>
          <w:trHeight w:val="20"/>
        </w:trPr>
        <w:tc>
          <w:tcPr>
            <w:tcW w:w="5000" w:type="pct"/>
            <w:gridSpan w:val="11"/>
            <w:tcBorders>
              <w:top w:val="single" w:sz="4" w:space="0" w:color="auto"/>
              <w:left w:val="single" w:sz="4" w:space="0" w:color="auto"/>
              <w:bottom w:val="single" w:sz="4" w:space="0" w:color="auto"/>
              <w:right w:val="single" w:sz="4" w:space="0" w:color="auto"/>
            </w:tcBorders>
            <w:vAlign w:val="center"/>
          </w:tcPr>
          <w:p w14:paraId="44D16826"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 xml:space="preserve"> (5) Pokud má opatření za cíl, aby byly při dané činnosti zpracovávány nebo shromažďovány údaje, které umožní takové snížení emisí skleníkových plynů, jež prokazatelně povede ke značným úsporám emisí skleníkových plynů během životního cyklu. Pokud cíl opatření vyžaduje, aby datová střediska dodržovala Evropský kodex energetické účinnosti v datových střediscích. </w:t>
            </w:r>
          </w:p>
        </w:tc>
      </w:tr>
      <w:tr w:rsidR="00602DCA" w14:paraId="6E8F8498" w14:textId="77777777">
        <w:trPr>
          <w:trHeight w:val="20"/>
        </w:trPr>
        <w:tc>
          <w:tcPr>
            <w:tcW w:w="5000" w:type="pct"/>
            <w:gridSpan w:val="11"/>
            <w:tcBorders>
              <w:top w:val="single" w:sz="4" w:space="0" w:color="auto"/>
              <w:left w:val="single" w:sz="4" w:space="0" w:color="auto"/>
              <w:bottom w:val="single" w:sz="4" w:space="0" w:color="auto"/>
              <w:right w:val="single" w:sz="4" w:space="0" w:color="auto"/>
            </w:tcBorders>
            <w:vAlign w:val="center"/>
          </w:tcPr>
          <w:p w14:paraId="6C1B4E16"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 xml:space="preserve"> (6) Je-li cílem opatření to, že činnost musí zpracovávat nebo shromažďovat údaje, aby umožnila snížení emisí skleníkových plynů, které vedou k prokázaným podstatným úsporám emisí skleníkových plynů během životního cyklu; nebo pokud cíl opatření vyžaduje, aby datová centra dodržovala „Evropský kodex energetické účinnosti v datových střediscích“. </w:t>
            </w:r>
          </w:p>
        </w:tc>
      </w:tr>
      <w:tr w:rsidR="00602DCA" w14:paraId="06026D66" w14:textId="77777777">
        <w:trPr>
          <w:trHeight w:val="20"/>
        </w:trPr>
        <w:tc>
          <w:tcPr>
            <w:tcW w:w="5000" w:type="pct"/>
            <w:gridSpan w:val="11"/>
            <w:tcBorders>
              <w:top w:val="single" w:sz="4" w:space="0" w:color="auto"/>
              <w:left w:val="single" w:sz="4" w:space="0" w:color="auto"/>
              <w:bottom w:val="single" w:sz="4" w:space="0" w:color="auto"/>
              <w:right w:val="single" w:sz="4" w:space="0" w:color="auto"/>
            </w:tcBorders>
            <w:vAlign w:val="center"/>
          </w:tcPr>
          <w:p w14:paraId="12DEBCEC"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 xml:space="preserve"> (7) Tento kód se použije, pouze pokud jsou dočasná opatření na použití EFRR v mimořádných situacích prováděna podle čl. 5 odst. 6 nařízení o ERFF a Fondu soudržnosti. </w:t>
            </w:r>
          </w:p>
        </w:tc>
      </w:tr>
      <w:tr w:rsidR="00602DCA" w14:paraId="7133F2A7" w14:textId="77777777">
        <w:trPr>
          <w:trHeight w:val="20"/>
        </w:trPr>
        <w:tc>
          <w:tcPr>
            <w:tcW w:w="5000" w:type="pct"/>
            <w:gridSpan w:val="11"/>
            <w:tcBorders>
              <w:top w:val="single" w:sz="4" w:space="0" w:color="auto"/>
              <w:left w:val="single" w:sz="4" w:space="0" w:color="auto"/>
              <w:bottom w:val="single" w:sz="4" w:space="0" w:color="auto"/>
              <w:right w:val="single" w:sz="4" w:space="0" w:color="auto"/>
            </w:tcBorders>
            <w:vAlign w:val="center"/>
          </w:tcPr>
          <w:p w14:paraId="262B965B"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 xml:space="preserve"> (8) Je-li cílem opatření to, že činnost musí zpracovávat nebo shromažďovat údaje, aby umožnila snížení emisí skleníkových plynů, které vedou k prokázaným podstatným úsporám emisí skleníkových plynů během životního cyklu; nebo pokud cíl opatření vyžaduje, aby datová centra dodržovala „Evropský kodex energetické účinnosti v datových střediscích“. </w:t>
            </w:r>
          </w:p>
        </w:tc>
      </w:tr>
      <w:tr w:rsidR="00602DCA" w14:paraId="6538D97C" w14:textId="77777777">
        <w:trPr>
          <w:trHeight w:val="20"/>
        </w:trPr>
        <w:tc>
          <w:tcPr>
            <w:tcW w:w="5000" w:type="pct"/>
            <w:gridSpan w:val="11"/>
            <w:tcBorders>
              <w:top w:val="single" w:sz="4" w:space="0" w:color="auto"/>
              <w:left w:val="single" w:sz="4" w:space="0" w:color="auto"/>
              <w:bottom w:val="single" w:sz="4" w:space="0" w:color="auto"/>
              <w:right w:val="single" w:sz="4" w:space="0" w:color="auto"/>
            </w:tcBorders>
            <w:vAlign w:val="center"/>
          </w:tcPr>
          <w:p w14:paraId="70F0E973" w14:textId="7232DFE5"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 xml:space="preserve"> (9) Pokud má opatření docílit a) v průměru alespoň středně rozsáhlé míry renovací definované v doporučení Komise (EU) 2019/786 ze dne 8. května 2019 o renovaci budov (</w:t>
            </w:r>
            <w:proofErr w:type="spellStart"/>
            <w:r>
              <w:rPr>
                <w:rFonts w:asciiTheme="minorHAnsi" w:eastAsia="Times New Roman" w:hAnsiTheme="minorHAnsi" w:cstheme="minorHAnsi"/>
                <w:color w:val="000000"/>
                <w:sz w:val="16"/>
                <w:szCs w:val="20"/>
                <w:lang w:eastAsia="cs-CZ"/>
              </w:rPr>
              <w:t>Úř</w:t>
            </w:r>
            <w:proofErr w:type="spellEnd"/>
            <w:r>
              <w:rPr>
                <w:rFonts w:asciiTheme="minorHAnsi" w:eastAsia="Times New Roman" w:hAnsiTheme="minorHAnsi" w:cstheme="minorHAnsi"/>
                <w:color w:val="000000"/>
                <w:sz w:val="16"/>
                <w:szCs w:val="20"/>
                <w:lang w:eastAsia="cs-CZ"/>
              </w:rPr>
              <w:t xml:space="preserve">. </w:t>
            </w:r>
            <w:proofErr w:type="spellStart"/>
            <w:r>
              <w:rPr>
                <w:rFonts w:asciiTheme="minorHAnsi" w:eastAsia="Times New Roman" w:hAnsiTheme="minorHAnsi" w:cstheme="minorHAnsi"/>
                <w:color w:val="000000"/>
                <w:sz w:val="16"/>
                <w:szCs w:val="20"/>
                <w:lang w:eastAsia="cs-CZ"/>
              </w:rPr>
              <w:t>věst</w:t>
            </w:r>
            <w:proofErr w:type="spellEnd"/>
            <w:r>
              <w:rPr>
                <w:rFonts w:asciiTheme="minorHAnsi" w:eastAsia="Times New Roman" w:hAnsiTheme="minorHAnsi" w:cstheme="minorHAnsi"/>
                <w:color w:val="000000"/>
                <w:sz w:val="16"/>
                <w:szCs w:val="20"/>
                <w:lang w:eastAsia="cs-CZ"/>
              </w:rPr>
              <w:t>. L 127, 16.</w:t>
            </w:r>
            <w:r w:rsidR="00BA7AEB">
              <w:rPr>
                <w:rFonts w:asciiTheme="minorHAnsi" w:eastAsia="Times New Roman" w:hAnsiTheme="minorHAnsi" w:cstheme="minorHAnsi"/>
                <w:color w:val="000000"/>
                <w:sz w:val="16"/>
                <w:szCs w:val="20"/>
                <w:lang w:eastAsia="cs-CZ"/>
              </w:rPr>
              <w:t> </w:t>
            </w:r>
            <w:r>
              <w:rPr>
                <w:rFonts w:asciiTheme="minorHAnsi" w:eastAsia="Times New Roman" w:hAnsiTheme="minorHAnsi" w:cstheme="minorHAnsi"/>
                <w:color w:val="000000"/>
                <w:sz w:val="16"/>
                <w:szCs w:val="20"/>
                <w:lang w:eastAsia="cs-CZ"/>
              </w:rPr>
              <w:t>5.</w:t>
            </w:r>
            <w:r w:rsidR="00BA7AEB">
              <w:rPr>
                <w:rFonts w:asciiTheme="minorHAnsi" w:eastAsia="Times New Roman" w:hAnsiTheme="minorHAnsi" w:cstheme="minorHAnsi"/>
                <w:color w:val="000000"/>
                <w:sz w:val="16"/>
                <w:szCs w:val="20"/>
                <w:lang w:eastAsia="cs-CZ"/>
              </w:rPr>
              <w:t> </w:t>
            </w:r>
            <w:r>
              <w:rPr>
                <w:rFonts w:asciiTheme="minorHAnsi" w:eastAsia="Times New Roman" w:hAnsiTheme="minorHAnsi" w:cstheme="minorHAnsi"/>
                <w:color w:val="000000"/>
                <w:sz w:val="16"/>
                <w:szCs w:val="20"/>
                <w:lang w:eastAsia="cs-CZ"/>
              </w:rPr>
              <w:t>2019, s</w:t>
            </w:r>
            <w:r w:rsidR="00BA7AEB">
              <w:rPr>
                <w:rFonts w:asciiTheme="minorHAnsi" w:eastAsia="Times New Roman" w:hAnsiTheme="minorHAnsi" w:cstheme="minorHAnsi"/>
                <w:color w:val="000000"/>
                <w:sz w:val="16"/>
                <w:szCs w:val="20"/>
                <w:lang w:eastAsia="cs-CZ"/>
              </w:rPr>
              <w:t>tr</w:t>
            </w:r>
            <w:r>
              <w:rPr>
                <w:rFonts w:asciiTheme="minorHAnsi" w:eastAsia="Times New Roman" w:hAnsiTheme="minorHAnsi" w:cstheme="minorHAnsi"/>
                <w:color w:val="000000"/>
                <w:sz w:val="16"/>
                <w:szCs w:val="20"/>
                <w:lang w:eastAsia="cs-CZ"/>
              </w:rPr>
              <w:t xml:space="preserve">. 34) nebo b) v průměru alespoň 30% snížení přímých a nepřímých emisí skleníkových plynů v porovnání s předchozími emisemi. </w:t>
            </w:r>
          </w:p>
        </w:tc>
      </w:tr>
      <w:tr w:rsidR="00602DCA" w14:paraId="7C5D03C0" w14:textId="77777777">
        <w:trPr>
          <w:trHeight w:val="20"/>
        </w:trPr>
        <w:tc>
          <w:tcPr>
            <w:tcW w:w="5000" w:type="pct"/>
            <w:gridSpan w:val="11"/>
            <w:tcBorders>
              <w:top w:val="single" w:sz="4" w:space="0" w:color="auto"/>
              <w:left w:val="single" w:sz="4" w:space="0" w:color="auto"/>
              <w:bottom w:val="single" w:sz="4" w:space="0" w:color="auto"/>
              <w:right w:val="single" w:sz="4" w:space="0" w:color="auto"/>
            </w:tcBorders>
            <w:vAlign w:val="center"/>
          </w:tcPr>
          <w:p w14:paraId="50FC5BDD"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 xml:space="preserve"> (10) Pokud má opatření docílit v průměru alespoň středně rozsáhlé míry renovací definované v doporučení Komise (EU) 2019/786. Renovace budov zahrnuje také infrastrukturu ve smyslu oblastí intervence 120 až 127. </w:t>
            </w:r>
          </w:p>
        </w:tc>
      </w:tr>
      <w:tr w:rsidR="00602DCA" w14:paraId="37A127FF" w14:textId="77777777">
        <w:trPr>
          <w:trHeight w:val="20"/>
        </w:trPr>
        <w:tc>
          <w:tcPr>
            <w:tcW w:w="5000" w:type="pct"/>
            <w:gridSpan w:val="11"/>
            <w:tcBorders>
              <w:top w:val="single" w:sz="4" w:space="0" w:color="auto"/>
              <w:left w:val="single" w:sz="4" w:space="0" w:color="auto"/>
              <w:bottom w:val="single" w:sz="4" w:space="0" w:color="auto"/>
              <w:right w:val="single" w:sz="4" w:space="0" w:color="auto"/>
            </w:tcBorders>
            <w:vAlign w:val="center"/>
          </w:tcPr>
          <w:p w14:paraId="1765CE1F"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 xml:space="preserve"> (11) Pokud se cíl opatření týká výstavby nových budov s potřebou primární energie (PED), která je alespoň o 20 % nižší než požadavek na budovy s téměř nulovou spotřebou energie (budova s téměř nulovou spotřebou energie, státní směrnice). Výstavba nových energeticky účinných budov zahrnuje také infrastrukturu ve smyslu oblastí intervence 120 až 127. </w:t>
            </w:r>
          </w:p>
        </w:tc>
      </w:tr>
      <w:tr w:rsidR="00602DCA" w14:paraId="4E258E1C" w14:textId="77777777">
        <w:trPr>
          <w:trHeight w:val="20"/>
        </w:trPr>
        <w:tc>
          <w:tcPr>
            <w:tcW w:w="5000" w:type="pct"/>
            <w:gridSpan w:val="11"/>
            <w:tcBorders>
              <w:top w:val="single" w:sz="4" w:space="0" w:color="auto"/>
              <w:left w:val="single" w:sz="4" w:space="0" w:color="auto"/>
              <w:bottom w:val="single" w:sz="4" w:space="0" w:color="auto"/>
              <w:right w:val="single" w:sz="4" w:space="0" w:color="auto"/>
            </w:tcBorders>
            <w:vAlign w:val="center"/>
          </w:tcPr>
          <w:p w14:paraId="3C8825F9"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lastRenderedPageBreak/>
              <w:t xml:space="preserve"> (12) Pokud má opatření docílit v průměru a) alespoň středně rozsáhlé míry renovací definované v doporučení Komise (EU) 2019/786 nebo b) alespoň 30% snížení přímých a nepřímých emisí skleníkových plynů v porovnání s předchozími emisemi. Renovace budov zahrnuje také infrastrukturu ve smyslu oblastí intervence 120 až 127. </w:t>
            </w:r>
          </w:p>
        </w:tc>
      </w:tr>
      <w:tr w:rsidR="00602DCA" w14:paraId="7E4DCAC9" w14:textId="77777777">
        <w:trPr>
          <w:trHeight w:val="20"/>
        </w:trPr>
        <w:tc>
          <w:tcPr>
            <w:tcW w:w="5000" w:type="pct"/>
            <w:gridSpan w:val="11"/>
            <w:tcBorders>
              <w:top w:val="single" w:sz="4" w:space="0" w:color="auto"/>
              <w:left w:val="single" w:sz="4" w:space="0" w:color="auto"/>
              <w:bottom w:val="single" w:sz="4" w:space="0" w:color="auto"/>
              <w:right w:val="single" w:sz="4" w:space="0" w:color="auto"/>
            </w:tcBorders>
            <w:vAlign w:val="center"/>
          </w:tcPr>
          <w:p w14:paraId="11C99B0C" w14:textId="24C43946"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 xml:space="preserve"> (13) Pokud se cíl opatření týká výroby elektřiny nebo tepla z biomasy, v souladu se směrnicí (EU) 2018/2001 Evropského parlamentu a Rady ze dne 11. prosince 2018 o podpoře využívání energie z obnovitelných zdrojů (</w:t>
            </w:r>
            <w:proofErr w:type="spellStart"/>
            <w:r>
              <w:rPr>
                <w:rFonts w:asciiTheme="minorHAnsi" w:eastAsia="Times New Roman" w:hAnsiTheme="minorHAnsi" w:cstheme="minorHAnsi"/>
                <w:color w:val="000000"/>
                <w:sz w:val="16"/>
                <w:szCs w:val="20"/>
                <w:lang w:eastAsia="cs-CZ"/>
              </w:rPr>
              <w:t>Úř</w:t>
            </w:r>
            <w:proofErr w:type="spellEnd"/>
            <w:r>
              <w:rPr>
                <w:rFonts w:asciiTheme="minorHAnsi" w:eastAsia="Times New Roman" w:hAnsiTheme="minorHAnsi" w:cstheme="minorHAnsi"/>
                <w:color w:val="000000"/>
                <w:sz w:val="16"/>
                <w:szCs w:val="20"/>
                <w:lang w:eastAsia="cs-CZ"/>
              </w:rPr>
              <w:t xml:space="preserve">. </w:t>
            </w:r>
            <w:proofErr w:type="spellStart"/>
            <w:r>
              <w:rPr>
                <w:rFonts w:asciiTheme="minorHAnsi" w:eastAsia="Times New Roman" w:hAnsiTheme="minorHAnsi" w:cstheme="minorHAnsi"/>
                <w:color w:val="000000"/>
                <w:sz w:val="16"/>
                <w:szCs w:val="20"/>
                <w:lang w:eastAsia="cs-CZ"/>
              </w:rPr>
              <w:t>věst</w:t>
            </w:r>
            <w:proofErr w:type="spellEnd"/>
            <w:r>
              <w:rPr>
                <w:rFonts w:asciiTheme="minorHAnsi" w:eastAsia="Times New Roman" w:hAnsiTheme="minorHAnsi" w:cstheme="minorHAnsi"/>
                <w:color w:val="000000"/>
                <w:sz w:val="16"/>
                <w:szCs w:val="20"/>
                <w:lang w:eastAsia="cs-CZ"/>
              </w:rPr>
              <w:t>. L 328, 21.</w:t>
            </w:r>
            <w:r w:rsidR="004D722A">
              <w:rPr>
                <w:rFonts w:asciiTheme="minorHAnsi" w:eastAsia="Times New Roman" w:hAnsiTheme="minorHAnsi" w:cstheme="minorHAnsi"/>
                <w:color w:val="000000"/>
                <w:sz w:val="16"/>
                <w:szCs w:val="20"/>
                <w:lang w:eastAsia="cs-CZ"/>
              </w:rPr>
              <w:t> </w:t>
            </w:r>
            <w:r>
              <w:rPr>
                <w:rFonts w:asciiTheme="minorHAnsi" w:eastAsia="Times New Roman" w:hAnsiTheme="minorHAnsi" w:cstheme="minorHAnsi"/>
                <w:color w:val="000000"/>
                <w:sz w:val="16"/>
                <w:szCs w:val="20"/>
                <w:lang w:eastAsia="cs-CZ"/>
              </w:rPr>
              <w:t>12.</w:t>
            </w:r>
            <w:r w:rsidR="004D722A">
              <w:rPr>
                <w:rFonts w:asciiTheme="minorHAnsi" w:eastAsia="Times New Roman" w:hAnsiTheme="minorHAnsi" w:cstheme="minorHAnsi"/>
                <w:color w:val="000000"/>
                <w:sz w:val="16"/>
                <w:szCs w:val="20"/>
                <w:lang w:eastAsia="cs-CZ"/>
              </w:rPr>
              <w:t> </w:t>
            </w:r>
            <w:r>
              <w:rPr>
                <w:rFonts w:asciiTheme="minorHAnsi" w:eastAsia="Times New Roman" w:hAnsiTheme="minorHAnsi" w:cstheme="minorHAnsi"/>
                <w:color w:val="000000"/>
                <w:sz w:val="16"/>
                <w:szCs w:val="20"/>
                <w:lang w:eastAsia="cs-CZ"/>
              </w:rPr>
              <w:t>2018, s</w:t>
            </w:r>
            <w:r w:rsidR="004D722A">
              <w:rPr>
                <w:rFonts w:asciiTheme="minorHAnsi" w:eastAsia="Times New Roman" w:hAnsiTheme="minorHAnsi" w:cstheme="minorHAnsi"/>
                <w:color w:val="000000"/>
                <w:sz w:val="16"/>
                <w:szCs w:val="20"/>
                <w:lang w:eastAsia="cs-CZ"/>
              </w:rPr>
              <w:t>tr</w:t>
            </w:r>
            <w:r>
              <w:rPr>
                <w:rFonts w:asciiTheme="minorHAnsi" w:eastAsia="Times New Roman" w:hAnsiTheme="minorHAnsi" w:cstheme="minorHAnsi"/>
                <w:color w:val="000000"/>
                <w:sz w:val="16"/>
                <w:szCs w:val="20"/>
                <w:lang w:eastAsia="cs-CZ"/>
              </w:rPr>
              <w:t xml:space="preserve">. 82). </w:t>
            </w:r>
          </w:p>
        </w:tc>
      </w:tr>
      <w:tr w:rsidR="00602DCA" w14:paraId="2F6F9ACE" w14:textId="77777777">
        <w:trPr>
          <w:trHeight w:val="20"/>
        </w:trPr>
        <w:tc>
          <w:tcPr>
            <w:tcW w:w="5000" w:type="pct"/>
            <w:gridSpan w:val="11"/>
            <w:tcBorders>
              <w:top w:val="single" w:sz="4" w:space="0" w:color="auto"/>
              <w:left w:val="single" w:sz="4" w:space="0" w:color="auto"/>
              <w:bottom w:val="single" w:sz="4" w:space="0" w:color="auto"/>
              <w:right w:val="single" w:sz="4" w:space="0" w:color="auto"/>
            </w:tcBorders>
            <w:vAlign w:val="center"/>
          </w:tcPr>
          <w:p w14:paraId="09698067"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 xml:space="preserve"> (14) Pokud se cíl opatření týká výroby elektřiny nebo tepla z biomasy v souladu se směrnicí (EU) 2018/2001 a pokud má opatření v zařízení docílit alespoň 80% úspory emisí skleníkových plynů pocházejících z používání biomasy ve vztahu k metodice úspor emisí skleníkových plynů a k referenčním fosilním palivům stanoveným v příloze VI směrnice (EU) 2018/2001. Pokud se cíl opatření týká výroby biopaliva z biomasy (kromě potravinářských a krmných plodin) v souladu se směrnicí (EU) 2018/2001 a pokud má opatření v zařízení docílit alespoň 65% úspory emisí skleníkových plynů pocházejících z používání biomasy ve vztahu k metodice úspor emisí skleníkových plynů a k referenčním fosilním palivům stanoveným v příloze V směrnice (EU) 2018/2001. </w:t>
            </w:r>
          </w:p>
        </w:tc>
      </w:tr>
      <w:tr w:rsidR="00602DCA" w14:paraId="7BE4D77B" w14:textId="77777777">
        <w:trPr>
          <w:trHeight w:val="20"/>
        </w:trPr>
        <w:tc>
          <w:tcPr>
            <w:tcW w:w="5000" w:type="pct"/>
            <w:gridSpan w:val="11"/>
            <w:tcBorders>
              <w:top w:val="single" w:sz="4" w:space="0" w:color="auto"/>
              <w:left w:val="single" w:sz="4" w:space="0" w:color="auto"/>
              <w:bottom w:val="single" w:sz="4" w:space="0" w:color="auto"/>
              <w:right w:val="single" w:sz="4" w:space="0" w:color="auto"/>
            </w:tcBorders>
            <w:vAlign w:val="center"/>
          </w:tcPr>
          <w:p w14:paraId="67928AD4"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 xml:space="preserve"> (15) Tuto kolonku nelze použít při podpoře fosilních paliv podle čl. 7 odst. 1 písm. h) nařízení o EFRR a Fondu soudržnosti. </w:t>
            </w:r>
          </w:p>
        </w:tc>
      </w:tr>
      <w:tr w:rsidR="00602DCA" w14:paraId="404792CE" w14:textId="77777777">
        <w:trPr>
          <w:trHeight w:val="20"/>
        </w:trPr>
        <w:tc>
          <w:tcPr>
            <w:tcW w:w="5000" w:type="pct"/>
            <w:gridSpan w:val="11"/>
            <w:tcBorders>
              <w:top w:val="single" w:sz="4" w:space="0" w:color="auto"/>
              <w:left w:val="single" w:sz="4" w:space="0" w:color="auto"/>
              <w:bottom w:val="single" w:sz="4" w:space="0" w:color="auto"/>
              <w:right w:val="single" w:sz="4" w:space="0" w:color="auto"/>
            </w:tcBorders>
            <w:vAlign w:val="center"/>
          </w:tcPr>
          <w:p w14:paraId="152B7C2D" w14:textId="16D5E742"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 xml:space="preserve"> (16) V případě vysoce účinné kombinované výroby tepla a elektřiny, pokud má opatření docílit emise během životního cyklu nižší než </w:t>
            </w:r>
            <w:proofErr w:type="gramStart"/>
            <w:r>
              <w:rPr>
                <w:rFonts w:asciiTheme="minorHAnsi" w:eastAsia="Times New Roman" w:hAnsiTheme="minorHAnsi" w:cstheme="minorHAnsi"/>
                <w:color w:val="000000"/>
                <w:sz w:val="16"/>
                <w:szCs w:val="20"/>
                <w:lang w:eastAsia="cs-CZ"/>
              </w:rPr>
              <w:t>100g</w:t>
            </w:r>
            <w:proofErr w:type="gramEnd"/>
            <w:r w:rsidR="00A7250D">
              <w:rPr>
                <w:rFonts w:asciiTheme="minorHAnsi" w:eastAsia="Times New Roman" w:hAnsiTheme="minorHAnsi" w:cstheme="minorHAnsi"/>
                <w:color w:val="000000"/>
                <w:sz w:val="16"/>
                <w:szCs w:val="20"/>
                <w:lang w:eastAsia="cs-CZ"/>
              </w:rPr>
              <w:t xml:space="preserve"> </w:t>
            </w:r>
            <w:r>
              <w:rPr>
                <w:rFonts w:asciiTheme="minorHAnsi" w:eastAsia="Times New Roman" w:hAnsiTheme="minorHAnsi" w:cstheme="minorHAnsi"/>
                <w:color w:val="000000"/>
                <w:sz w:val="16"/>
                <w:szCs w:val="20"/>
                <w:lang w:eastAsia="cs-CZ"/>
              </w:rPr>
              <w:t>CO</w:t>
            </w:r>
            <w:r w:rsidRPr="006C1B48">
              <w:rPr>
                <w:rFonts w:asciiTheme="minorHAnsi" w:eastAsia="Times New Roman" w:hAnsiTheme="minorHAnsi" w:cstheme="minorHAnsi"/>
                <w:color w:val="000000"/>
                <w:sz w:val="16"/>
                <w:szCs w:val="20"/>
                <w:vertAlign w:val="subscript"/>
                <w:lang w:eastAsia="cs-CZ"/>
              </w:rPr>
              <w:t>2</w:t>
            </w:r>
            <w:r>
              <w:rPr>
                <w:rFonts w:asciiTheme="minorHAnsi" w:eastAsia="Times New Roman" w:hAnsiTheme="minorHAnsi" w:cstheme="minorHAnsi"/>
                <w:color w:val="000000"/>
                <w:sz w:val="16"/>
                <w:szCs w:val="20"/>
                <w:lang w:eastAsia="cs-CZ"/>
              </w:rPr>
              <w:t>e/kWh nebo teplo/chlad vyráběné z odpadního tepla. V případě dálkového vytápění a chlazení, pokud se související infrastruktura řídí směrnicí Evropského parlamentu a Rady 2012/27/EU ze dne 25. října 2012 o energetické účinnosti, o změně směrnic 2009/125/ES a 2010/30/EU a o zrušení směrnic 2004/8/ES a 2006/32/ES (</w:t>
            </w:r>
            <w:proofErr w:type="spellStart"/>
            <w:r>
              <w:rPr>
                <w:rFonts w:asciiTheme="minorHAnsi" w:eastAsia="Times New Roman" w:hAnsiTheme="minorHAnsi" w:cstheme="minorHAnsi"/>
                <w:color w:val="000000"/>
                <w:sz w:val="16"/>
                <w:szCs w:val="20"/>
                <w:lang w:eastAsia="cs-CZ"/>
              </w:rPr>
              <w:t>Úř</w:t>
            </w:r>
            <w:proofErr w:type="spellEnd"/>
            <w:r>
              <w:rPr>
                <w:rFonts w:asciiTheme="minorHAnsi" w:eastAsia="Times New Roman" w:hAnsiTheme="minorHAnsi" w:cstheme="minorHAnsi"/>
                <w:color w:val="000000"/>
                <w:sz w:val="16"/>
                <w:szCs w:val="20"/>
                <w:lang w:eastAsia="cs-CZ"/>
              </w:rPr>
              <w:t xml:space="preserve">. </w:t>
            </w:r>
            <w:proofErr w:type="spellStart"/>
            <w:r>
              <w:rPr>
                <w:rFonts w:asciiTheme="minorHAnsi" w:eastAsia="Times New Roman" w:hAnsiTheme="minorHAnsi" w:cstheme="minorHAnsi"/>
                <w:color w:val="000000"/>
                <w:sz w:val="16"/>
                <w:szCs w:val="20"/>
                <w:lang w:eastAsia="cs-CZ"/>
              </w:rPr>
              <w:t>věst</w:t>
            </w:r>
            <w:proofErr w:type="spellEnd"/>
            <w:r>
              <w:rPr>
                <w:rFonts w:asciiTheme="minorHAnsi" w:eastAsia="Times New Roman" w:hAnsiTheme="minorHAnsi" w:cstheme="minorHAnsi"/>
                <w:color w:val="000000"/>
                <w:sz w:val="16"/>
                <w:szCs w:val="20"/>
                <w:lang w:eastAsia="cs-CZ"/>
              </w:rPr>
              <w:t>. L 315, 14.</w:t>
            </w:r>
            <w:r w:rsidR="004D722A">
              <w:rPr>
                <w:rFonts w:asciiTheme="minorHAnsi" w:eastAsia="Times New Roman" w:hAnsiTheme="minorHAnsi" w:cstheme="minorHAnsi"/>
                <w:color w:val="000000"/>
                <w:sz w:val="16"/>
                <w:szCs w:val="20"/>
                <w:lang w:eastAsia="cs-CZ"/>
              </w:rPr>
              <w:t> </w:t>
            </w:r>
            <w:r>
              <w:rPr>
                <w:rFonts w:asciiTheme="minorHAnsi" w:eastAsia="Times New Roman" w:hAnsiTheme="minorHAnsi" w:cstheme="minorHAnsi"/>
                <w:color w:val="000000"/>
                <w:sz w:val="16"/>
                <w:szCs w:val="20"/>
                <w:lang w:eastAsia="cs-CZ"/>
              </w:rPr>
              <w:t>11.</w:t>
            </w:r>
            <w:r w:rsidR="004D722A">
              <w:rPr>
                <w:rFonts w:asciiTheme="minorHAnsi" w:eastAsia="Times New Roman" w:hAnsiTheme="minorHAnsi" w:cstheme="minorHAnsi"/>
                <w:color w:val="000000"/>
                <w:sz w:val="16"/>
                <w:szCs w:val="20"/>
                <w:lang w:eastAsia="cs-CZ"/>
              </w:rPr>
              <w:t> </w:t>
            </w:r>
            <w:r>
              <w:rPr>
                <w:rFonts w:asciiTheme="minorHAnsi" w:eastAsia="Times New Roman" w:hAnsiTheme="minorHAnsi" w:cstheme="minorHAnsi"/>
                <w:color w:val="000000"/>
                <w:sz w:val="16"/>
                <w:szCs w:val="20"/>
                <w:lang w:eastAsia="cs-CZ"/>
              </w:rPr>
              <w:t xml:space="preserve">2012, s. 1) nebo pokud je stávající infrastruktura renovována tak, aby splňovala definici účinného dálkového vytápění a chlazení, nebo pokud je projekt pokročilým pilotním systémem (systémy pro kontrolu a hospodaření s energií, internet věcí) nebo vede k nižšímu teplotnímu režimu v systému dálkového vytápění a chlazení. </w:t>
            </w:r>
          </w:p>
        </w:tc>
      </w:tr>
      <w:tr w:rsidR="00602DCA" w14:paraId="324BEFEE" w14:textId="77777777">
        <w:trPr>
          <w:trHeight w:val="20"/>
        </w:trPr>
        <w:tc>
          <w:tcPr>
            <w:tcW w:w="5000" w:type="pct"/>
            <w:gridSpan w:val="11"/>
            <w:tcBorders>
              <w:top w:val="single" w:sz="4" w:space="0" w:color="auto"/>
              <w:left w:val="single" w:sz="4" w:space="0" w:color="auto"/>
              <w:bottom w:val="single" w:sz="4" w:space="0" w:color="auto"/>
              <w:right w:val="single" w:sz="4" w:space="0" w:color="auto"/>
            </w:tcBorders>
            <w:vAlign w:val="center"/>
          </w:tcPr>
          <w:p w14:paraId="14D7B51E"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 xml:space="preserve"> (17) Pokud má opatření docílit, aby průměrná spotřeba energie vybudovaného systému byla &lt;= 0,5 kWh nebo index úniků z infrastruktury (ILI) dosáhl hodnoty &lt;= 1,5 a aby renovace vedla ke snížení průměrné spotřeby energie o více než 20 % nebo ke snížení úniků o více než 20 %. </w:t>
            </w:r>
          </w:p>
        </w:tc>
      </w:tr>
      <w:tr w:rsidR="00602DCA" w14:paraId="0A1D7C48" w14:textId="77777777">
        <w:trPr>
          <w:trHeight w:val="20"/>
        </w:trPr>
        <w:tc>
          <w:tcPr>
            <w:tcW w:w="5000" w:type="pct"/>
            <w:gridSpan w:val="11"/>
            <w:tcBorders>
              <w:top w:val="single" w:sz="4" w:space="0" w:color="auto"/>
              <w:left w:val="single" w:sz="4" w:space="0" w:color="auto"/>
              <w:bottom w:val="single" w:sz="4" w:space="0" w:color="auto"/>
              <w:right w:val="single" w:sz="4" w:space="0" w:color="auto"/>
            </w:tcBorders>
            <w:vAlign w:val="center"/>
          </w:tcPr>
          <w:p w14:paraId="2640417F"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 xml:space="preserve"> (18) Pokud má být v případě celého vybudovaného systému odpadních vod docíleno čisté nulové spotřeby energie nebo v případě renovace celého systému odpadních vod snížení průměrné spotřeby energie alespoň o 10 % (pouze pomocí opatření na zvýšení energetické účinnosti, a nikoli podstatnými změnami nebo změnami zatížení). </w:t>
            </w:r>
          </w:p>
        </w:tc>
      </w:tr>
      <w:tr w:rsidR="00602DCA" w14:paraId="2A5AED1A" w14:textId="77777777">
        <w:trPr>
          <w:trHeight w:val="20"/>
        </w:trPr>
        <w:tc>
          <w:tcPr>
            <w:tcW w:w="5000" w:type="pct"/>
            <w:gridSpan w:val="11"/>
            <w:tcBorders>
              <w:top w:val="single" w:sz="4" w:space="0" w:color="auto"/>
              <w:left w:val="single" w:sz="4" w:space="0" w:color="auto"/>
              <w:bottom w:val="single" w:sz="4" w:space="0" w:color="auto"/>
              <w:right w:val="single" w:sz="4" w:space="0" w:color="auto"/>
            </w:tcBorders>
            <w:vAlign w:val="center"/>
          </w:tcPr>
          <w:p w14:paraId="28359326"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 xml:space="preserve"> (19) Pokud má opatření za cíl přeměnit alespoň 50 % hmotnosti zpracovaného, odděleně sebraného odpadu, který není klasifikován jako nebezpečný, na druhotné suroviny. </w:t>
            </w:r>
          </w:p>
        </w:tc>
      </w:tr>
      <w:tr w:rsidR="00602DCA" w14:paraId="1E214585" w14:textId="77777777">
        <w:trPr>
          <w:trHeight w:val="20"/>
        </w:trPr>
        <w:tc>
          <w:tcPr>
            <w:tcW w:w="5000" w:type="pct"/>
            <w:gridSpan w:val="11"/>
            <w:tcBorders>
              <w:top w:val="single" w:sz="4" w:space="0" w:color="auto"/>
              <w:left w:val="single" w:sz="4" w:space="0" w:color="auto"/>
              <w:bottom w:val="single" w:sz="4" w:space="0" w:color="auto"/>
              <w:right w:val="single" w:sz="4" w:space="0" w:color="auto"/>
            </w:tcBorders>
            <w:vAlign w:val="center"/>
          </w:tcPr>
          <w:p w14:paraId="7D46BF2E"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 xml:space="preserve"> (20) Pokud má opatření za cíl přeměnit průmyslové zóny a kontaminované lokality na přírodní úložiště uhlíku. </w:t>
            </w:r>
          </w:p>
        </w:tc>
      </w:tr>
      <w:tr w:rsidR="00602DCA" w14:paraId="00D968F9" w14:textId="77777777">
        <w:trPr>
          <w:trHeight w:val="20"/>
        </w:trPr>
        <w:tc>
          <w:tcPr>
            <w:tcW w:w="5000" w:type="pct"/>
            <w:gridSpan w:val="11"/>
            <w:tcBorders>
              <w:top w:val="single" w:sz="4" w:space="0" w:color="auto"/>
              <w:left w:val="single" w:sz="4" w:space="0" w:color="auto"/>
              <w:bottom w:val="single" w:sz="4" w:space="0" w:color="auto"/>
              <w:right w:val="single" w:sz="4" w:space="0" w:color="auto"/>
            </w:tcBorders>
            <w:vAlign w:val="center"/>
          </w:tcPr>
          <w:p w14:paraId="7D74B1E4"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 xml:space="preserve"> (21) Infrastrukturou čisté městské dopravy se rozumí infrastruktura, která umožňuje provoz kolejových vozidel s nulovými emisemi. </w:t>
            </w:r>
          </w:p>
        </w:tc>
      </w:tr>
      <w:tr w:rsidR="00602DCA" w14:paraId="2EE64EE0" w14:textId="77777777">
        <w:trPr>
          <w:trHeight w:val="20"/>
        </w:trPr>
        <w:tc>
          <w:tcPr>
            <w:tcW w:w="5000" w:type="pct"/>
            <w:gridSpan w:val="11"/>
            <w:tcBorders>
              <w:top w:val="single" w:sz="4" w:space="0" w:color="auto"/>
              <w:left w:val="single" w:sz="4" w:space="0" w:color="auto"/>
              <w:bottom w:val="single" w:sz="4" w:space="0" w:color="auto"/>
              <w:right w:val="single" w:sz="4" w:space="0" w:color="auto"/>
            </w:tcBorders>
            <w:vAlign w:val="center"/>
          </w:tcPr>
          <w:p w14:paraId="2F9CD6B9"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 xml:space="preserve"> (22) Kolejovými vozidly čisté městské dopravy se rozumí kolejová vozidla s nulovými emisemi. </w:t>
            </w:r>
          </w:p>
        </w:tc>
      </w:tr>
      <w:tr w:rsidR="00602DCA" w14:paraId="6A33489D" w14:textId="77777777">
        <w:trPr>
          <w:trHeight w:val="20"/>
        </w:trPr>
        <w:tc>
          <w:tcPr>
            <w:tcW w:w="5000" w:type="pct"/>
            <w:gridSpan w:val="11"/>
            <w:tcBorders>
              <w:top w:val="single" w:sz="4" w:space="0" w:color="auto"/>
              <w:left w:val="single" w:sz="4" w:space="0" w:color="auto"/>
              <w:bottom w:val="single" w:sz="4" w:space="0" w:color="auto"/>
              <w:right w:val="single" w:sz="4" w:space="0" w:color="auto"/>
            </w:tcBorders>
            <w:vAlign w:val="center"/>
          </w:tcPr>
          <w:p w14:paraId="546CBA48"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 xml:space="preserve"> (23) Pokud je cíl opatření v souladu se směrnicí (EU) 2018/2001.</w:t>
            </w:r>
          </w:p>
        </w:tc>
      </w:tr>
      <w:tr w:rsidR="00602DCA" w14:paraId="56808EFB" w14:textId="77777777">
        <w:trPr>
          <w:trHeight w:val="20"/>
        </w:trPr>
        <w:tc>
          <w:tcPr>
            <w:tcW w:w="5000" w:type="pct"/>
            <w:gridSpan w:val="11"/>
            <w:tcBorders>
              <w:top w:val="single" w:sz="4" w:space="0" w:color="auto"/>
              <w:left w:val="single" w:sz="4" w:space="0" w:color="auto"/>
              <w:bottom w:val="single" w:sz="4" w:space="0" w:color="auto"/>
              <w:right w:val="single" w:sz="4" w:space="0" w:color="auto"/>
            </w:tcBorders>
            <w:vAlign w:val="center"/>
          </w:tcPr>
          <w:p w14:paraId="4C759922"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 xml:space="preserve">(24) V případě oblastí intervence 087 až 091 lze oblasti intervence 081, 082 a 086 použít na prvky opatření, které se týkají intervencí v souvislosti s alternativními palivy, včetně dobíjení elektrických vozidel, nebo veřejnou dopravou. </w:t>
            </w:r>
          </w:p>
        </w:tc>
      </w:tr>
      <w:tr w:rsidR="00602DCA" w14:paraId="43B7E3FA" w14:textId="77777777">
        <w:trPr>
          <w:trHeight w:val="20"/>
        </w:trPr>
        <w:tc>
          <w:tcPr>
            <w:tcW w:w="5000" w:type="pct"/>
            <w:gridSpan w:val="11"/>
            <w:tcBorders>
              <w:top w:val="single" w:sz="4" w:space="0" w:color="auto"/>
              <w:left w:val="single" w:sz="4" w:space="0" w:color="auto"/>
              <w:bottom w:val="single" w:sz="4" w:space="0" w:color="auto"/>
              <w:right w:val="single" w:sz="4" w:space="0" w:color="auto"/>
            </w:tcBorders>
            <w:vAlign w:val="center"/>
          </w:tcPr>
          <w:p w14:paraId="1CFA2706"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 xml:space="preserve"> (25) Pokud se cíl opatření týká elektrifikované tratě nebo souvisejících subsystémů nebo pokud existuje plán elektrifikace nebo bude do 10 let vhodný k používání pro vlaky s nulovými výfukovými emisemi. </w:t>
            </w:r>
          </w:p>
        </w:tc>
      </w:tr>
      <w:tr w:rsidR="00602DCA" w14:paraId="3D9EE314" w14:textId="77777777">
        <w:trPr>
          <w:trHeight w:val="20"/>
        </w:trPr>
        <w:tc>
          <w:tcPr>
            <w:tcW w:w="5000" w:type="pct"/>
            <w:gridSpan w:val="11"/>
            <w:tcBorders>
              <w:top w:val="single" w:sz="4" w:space="0" w:color="auto"/>
              <w:left w:val="single" w:sz="4" w:space="0" w:color="auto"/>
              <w:bottom w:val="single" w:sz="4" w:space="0" w:color="auto"/>
              <w:right w:val="single" w:sz="4" w:space="0" w:color="auto"/>
            </w:tcBorders>
            <w:vAlign w:val="center"/>
          </w:tcPr>
          <w:p w14:paraId="00B1BCA6" w14:textId="77777777" w:rsidR="00602DCA" w:rsidRDefault="00C5530C">
            <w:pPr>
              <w:spacing w:after="0" w:line="240" w:lineRule="auto"/>
              <w:rPr>
                <w:rFonts w:asciiTheme="minorHAnsi" w:eastAsia="Times New Roman" w:hAnsiTheme="minorHAnsi" w:cstheme="minorHAnsi"/>
                <w:color w:val="000000"/>
                <w:sz w:val="16"/>
                <w:szCs w:val="20"/>
                <w:lang w:eastAsia="cs-CZ"/>
              </w:rPr>
            </w:pPr>
            <w:r>
              <w:rPr>
                <w:rFonts w:asciiTheme="minorHAnsi" w:eastAsia="Times New Roman" w:hAnsiTheme="minorHAnsi" w:cstheme="minorHAnsi"/>
                <w:color w:val="000000"/>
                <w:sz w:val="16"/>
                <w:szCs w:val="20"/>
                <w:lang w:eastAsia="cs-CZ"/>
              </w:rPr>
              <w:t xml:space="preserve"> (26) Uplatní se i na vlaky v konfiguraci </w:t>
            </w:r>
            <w:proofErr w:type="spellStart"/>
            <w:r>
              <w:rPr>
                <w:rFonts w:asciiTheme="minorHAnsi" w:eastAsia="Times New Roman" w:hAnsiTheme="minorHAnsi" w:cstheme="minorHAnsi"/>
                <w:color w:val="000000"/>
                <w:sz w:val="16"/>
                <w:szCs w:val="20"/>
                <w:lang w:eastAsia="cs-CZ"/>
              </w:rPr>
              <w:t>Bi</w:t>
            </w:r>
            <w:proofErr w:type="spellEnd"/>
            <w:r>
              <w:rPr>
                <w:rFonts w:asciiTheme="minorHAnsi" w:eastAsia="Times New Roman" w:hAnsiTheme="minorHAnsi" w:cstheme="minorHAnsi"/>
                <w:color w:val="000000"/>
                <w:sz w:val="16"/>
                <w:szCs w:val="20"/>
                <w:lang w:eastAsia="cs-CZ"/>
              </w:rPr>
              <w:t xml:space="preserve">-mode. </w:t>
            </w:r>
          </w:p>
        </w:tc>
      </w:tr>
    </w:tbl>
    <w:p w14:paraId="137A47A4" w14:textId="5B6B3DAE" w:rsidR="00275D08" w:rsidRDefault="00275D08">
      <w:pPr>
        <w:spacing w:after="160" w:line="240" w:lineRule="auto"/>
      </w:pPr>
    </w:p>
    <w:p w14:paraId="3C2A2FFA" w14:textId="77777777" w:rsidR="00275D08" w:rsidRDefault="00275D08">
      <w:pPr>
        <w:spacing w:after="160" w:line="259" w:lineRule="auto"/>
        <w:jc w:val="left"/>
      </w:pPr>
      <w:r>
        <w:br w:type="page"/>
      </w:r>
    </w:p>
    <w:p w14:paraId="0B086083" w14:textId="4861D796" w:rsidR="00602DCA" w:rsidRPr="000F5C0D" w:rsidRDefault="00275D08" w:rsidP="000F5C0D">
      <w:pPr>
        <w:pStyle w:val="Nadpis2"/>
      </w:pPr>
      <w:bookmarkStart w:id="168" w:name="_Přehled_environmentálních_podmínek"/>
      <w:bookmarkStart w:id="169" w:name="_Toc210046044"/>
      <w:bookmarkEnd w:id="168"/>
      <w:r w:rsidRPr="000F5C0D">
        <w:lastRenderedPageBreak/>
        <w:t>Přehled environmentálních podmínek ukotvených v rámci pravidel veřejné podpory</w:t>
      </w:r>
      <w:bookmarkEnd w:id="169"/>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41"/>
        <w:gridCol w:w="2399"/>
        <w:gridCol w:w="8930"/>
      </w:tblGrid>
      <w:tr w:rsidR="00457729" w:rsidRPr="00D109A2" w14:paraId="6FDA0AF8" w14:textId="77777777" w:rsidTr="00457729">
        <w:trPr>
          <w:trHeight w:val="302"/>
        </w:trPr>
        <w:tc>
          <w:tcPr>
            <w:tcW w:w="2841" w:type="dxa"/>
            <w:shd w:val="clear" w:color="auto" w:fill="E2EFD9" w:themeFill="accent6" w:themeFillTint="33"/>
            <w:noWrap/>
            <w:vAlign w:val="bottom"/>
            <w:hideMark/>
          </w:tcPr>
          <w:p w14:paraId="22BC248F" w14:textId="77777777" w:rsidR="00457729" w:rsidRPr="001A199F" w:rsidRDefault="00457729" w:rsidP="009B1BC4">
            <w:pPr>
              <w:spacing w:after="0" w:line="240" w:lineRule="auto"/>
              <w:jc w:val="left"/>
              <w:rPr>
                <w:rFonts w:eastAsia="Times New Roman" w:cs="Segoe UI"/>
                <w:b/>
                <w:bCs/>
                <w:color w:val="000000"/>
                <w:lang w:eastAsia="cs-CZ"/>
              </w:rPr>
            </w:pPr>
            <w:r w:rsidRPr="001A199F">
              <w:rPr>
                <w:rFonts w:eastAsia="Times New Roman" w:cs="Segoe UI"/>
                <w:b/>
                <w:bCs/>
                <w:color w:val="000000"/>
                <w:lang w:eastAsia="cs-CZ"/>
              </w:rPr>
              <w:t>Relevantní předpis</w:t>
            </w:r>
          </w:p>
        </w:tc>
        <w:tc>
          <w:tcPr>
            <w:tcW w:w="2399" w:type="dxa"/>
            <w:shd w:val="clear" w:color="auto" w:fill="E2EFD9" w:themeFill="accent6" w:themeFillTint="33"/>
            <w:noWrap/>
            <w:vAlign w:val="bottom"/>
            <w:hideMark/>
          </w:tcPr>
          <w:p w14:paraId="26D35499" w14:textId="77777777" w:rsidR="00457729" w:rsidRPr="001A199F" w:rsidRDefault="00457729" w:rsidP="009B1BC4">
            <w:pPr>
              <w:spacing w:after="0" w:line="240" w:lineRule="auto"/>
              <w:jc w:val="left"/>
              <w:rPr>
                <w:rFonts w:eastAsia="Times New Roman" w:cs="Segoe UI"/>
                <w:b/>
                <w:bCs/>
                <w:color w:val="000000"/>
                <w:lang w:eastAsia="cs-CZ"/>
              </w:rPr>
            </w:pPr>
            <w:r w:rsidRPr="001A199F">
              <w:rPr>
                <w:rFonts w:eastAsia="Times New Roman" w:cs="Segoe UI"/>
                <w:b/>
                <w:bCs/>
                <w:color w:val="000000"/>
                <w:lang w:eastAsia="cs-CZ"/>
              </w:rPr>
              <w:t>Článek, odstavec</w:t>
            </w:r>
          </w:p>
        </w:tc>
        <w:tc>
          <w:tcPr>
            <w:tcW w:w="8930" w:type="dxa"/>
            <w:shd w:val="clear" w:color="auto" w:fill="E2EFD9" w:themeFill="accent6" w:themeFillTint="33"/>
            <w:noWrap/>
            <w:vAlign w:val="bottom"/>
            <w:hideMark/>
          </w:tcPr>
          <w:p w14:paraId="14613279" w14:textId="77777777" w:rsidR="00457729" w:rsidRPr="001A199F" w:rsidRDefault="00457729" w:rsidP="009B1BC4">
            <w:pPr>
              <w:spacing w:after="0" w:line="240" w:lineRule="auto"/>
              <w:jc w:val="left"/>
              <w:rPr>
                <w:rFonts w:eastAsia="Times New Roman" w:cs="Segoe UI"/>
                <w:b/>
                <w:bCs/>
                <w:color w:val="000000"/>
                <w:lang w:eastAsia="cs-CZ"/>
              </w:rPr>
            </w:pPr>
            <w:r w:rsidRPr="001A199F">
              <w:rPr>
                <w:rFonts w:eastAsia="Times New Roman" w:cs="Segoe UI"/>
                <w:b/>
                <w:bCs/>
                <w:color w:val="000000"/>
                <w:lang w:eastAsia="cs-CZ"/>
              </w:rPr>
              <w:t>Environmentální podmínky</w:t>
            </w:r>
          </w:p>
        </w:tc>
      </w:tr>
      <w:tr w:rsidR="00457729" w:rsidRPr="00D109A2" w14:paraId="5BB9325B" w14:textId="77777777" w:rsidTr="00457729">
        <w:trPr>
          <w:trHeight w:val="1815"/>
        </w:trPr>
        <w:tc>
          <w:tcPr>
            <w:tcW w:w="2841" w:type="dxa"/>
            <w:vMerge w:val="restart"/>
            <w:shd w:val="clear" w:color="D9EAD3" w:fill="D9EAD3"/>
            <w:hideMark/>
          </w:tcPr>
          <w:p w14:paraId="1AE3C315" w14:textId="77777777" w:rsidR="00457729" w:rsidRPr="007739CF" w:rsidRDefault="00457729" w:rsidP="009B1BC4">
            <w:pPr>
              <w:spacing w:after="0" w:line="240" w:lineRule="auto"/>
              <w:jc w:val="left"/>
              <w:rPr>
                <w:rStyle w:val="Hypertextovodkaz"/>
                <w:rFonts w:eastAsia="Times New Roman" w:cs="Segoe UI"/>
                <w:lang w:eastAsia="cs-CZ"/>
              </w:rPr>
            </w:pPr>
            <w:r>
              <w:rPr>
                <w:rFonts w:eastAsia="Times New Roman" w:cs="Segoe UI"/>
                <w:b/>
                <w:bCs/>
                <w:lang w:eastAsia="cs-CZ"/>
              </w:rPr>
              <w:fldChar w:fldCharType="begin"/>
            </w:r>
            <w:r>
              <w:rPr>
                <w:rFonts w:eastAsia="Times New Roman" w:cs="Segoe UI"/>
                <w:b/>
                <w:bCs/>
                <w:lang w:eastAsia="cs-CZ"/>
              </w:rPr>
              <w:instrText>HYPERLINK "https://eur-lex.europa.eu/legal-content/CS/TXT/?uri=CELEX%3A02014R0651-20230701&amp;qid=1727088918460"</w:instrText>
            </w:r>
            <w:r>
              <w:rPr>
                <w:rFonts w:eastAsia="Times New Roman" w:cs="Segoe UI"/>
                <w:b/>
                <w:bCs/>
                <w:lang w:eastAsia="cs-CZ"/>
              </w:rPr>
            </w:r>
            <w:r>
              <w:rPr>
                <w:rFonts w:eastAsia="Times New Roman" w:cs="Segoe UI"/>
                <w:b/>
                <w:bCs/>
                <w:lang w:eastAsia="cs-CZ"/>
              </w:rPr>
              <w:fldChar w:fldCharType="separate"/>
            </w:r>
            <w:r w:rsidRPr="007739CF">
              <w:rPr>
                <w:rStyle w:val="Hypertextovodkaz"/>
                <w:rFonts w:eastAsia="Times New Roman" w:cs="Segoe UI"/>
                <w:b/>
                <w:bCs/>
                <w:lang w:eastAsia="cs-CZ"/>
              </w:rPr>
              <w:t>NAŘÍZENÍ KOMISE (EU) č. 651/2014</w:t>
            </w:r>
            <w:r w:rsidRPr="007739CF">
              <w:rPr>
                <w:rStyle w:val="Hypertextovodkaz"/>
                <w:rFonts w:eastAsia="Times New Roman" w:cs="Segoe UI"/>
                <w:lang w:eastAsia="cs-CZ"/>
              </w:rPr>
              <w:br/>
              <w:t>ze dne 17. června 2014,</w:t>
            </w:r>
            <w:r w:rsidRPr="007739CF">
              <w:rPr>
                <w:rStyle w:val="Hypertextovodkaz"/>
                <w:rFonts w:eastAsia="Times New Roman" w:cs="Segoe UI"/>
                <w:lang w:eastAsia="cs-CZ"/>
              </w:rPr>
              <w:br/>
              <w:t>kterým se v souladu s články 107 a 108 Smlouvy prohlašují určité kategorie podpory za slučitelné s vnitřním trhem (</w:t>
            </w:r>
            <w:r w:rsidRPr="007739CF">
              <w:rPr>
                <w:rStyle w:val="Hypertextovodkaz"/>
                <w:rFonts w:eastAsia="Times New Roman" w:cs="Segoe UI"/>
                <w:b/>
                <w:bCs/>
                <w:lang w:eastAsia="cs-CZ"/>
              </w:rPr>
              <w:t>Obecné nařízení o blokových výjimkách (GBER))</w:t>
            </w:r>
          </w:p>
          <w:p w14:paraId="2EBFC131" w14:textId="77777777" w:rsidR="00457729" w:rsidRPr="001A199F" w:rsidRDefault="00457729" w:rsidP="009B1BC4">
            <w:pPr>
              <w:spacing w:after="0" w:line="240" w:lineRule="auto"/>
              <w:jc w:val="left"/>
              <w:rPr>
                <w:rFonts w:eastAsia="Times New Roman" w:cs="Segoe UI"/>
                <w:color w:val="000000"/>
                <w:lang w:eastAsia="cs-CZ"/>
              </w:rPr>
            </w:pPr>
            <w:r>
              <w:rPr>
                <w:rFonts w:eastAsia="Times New Roman" w:cs="Segoe UI"/>
                <w:b/>
                <w:bCs/>
                <w:lang w:eastAsia="cs-CZ"/>
              </w:rPr>
              <w:fldChar w:fldCharType="end"/>
            </w:r>
          </w:p>
        </w:tc>
        <w:tc>
          <w:tcPr>
            <w:tcW w:w="2399" w:type="dxa"/>
            <w:shd w:val="clear" w:color="D9EAD3" w:fill="D9EAD3"/>
            <w:noWrap/>
            <w:hideMark/>
          </w:tcPr>
          <w:p w14:paraId="0D632FFF" w14:textId="77777777" w:rsidR="00457729" w:rsidRPr="001A199F" w:rsidRDefault="00457729" w:rsidP="009B1BC4">
            <w:pPr>
              <w:spacing w:after="0" w:line="240" w:lineRule="auto"/>
              <w:jc w:val="left"/>
              <w:rPr>
                <w:rFonts w:eastAsia="Times New Roman" w:cs="Segoe UI"/>
                <w:color w:val="000000"/>
                <w:lang w:eastAsia="cs-CZ"/>
              </w:rPr>
            </w:pPr>
            <w:r w:rsidRPr="001A199F">
              <w:rPr>
                <w:rFonts w:eastAsia="Times New Roman" w:cs="Segoe UI"/>
                <w:color w:val="000000"/>
                <w:lang w:eastAsia="cs-CZ"/>
              </w:rPr>
              <w:t xml:space="preserve">Článek 36, odst. </w:t>
            </w:r>
            <w:proofErr w:type="gramStart"/>
            <w:r w:rsidRPr="001A199F">
              <w:rPr>
                <w:rFonts w:eastAsia="Times New Roman" w:cs="Segoe UI"/>
                <w:color w:val="000000"/>
                <w:lang w:eastAsia="cs-CZ"/>
              </w:rPr>
              <w:t>1a</w:t>
            </w:r>
            <w:proofErr w:type="gramEnd"/>
          </w:p>
        </w:tc>
        <w:tc>
          <w:tcPr>
            <w:tcW w:w="8930" w:type="dxa"/>
            <w:shd w:val="clear" w:color="D9EAD3" w:fill="D9EAD3"/>
            <w:hideMark/>
          </w:tcPr>
          <w:p w14:paraId="31351025" w14:textId="77777777" w:rsidR="00457729" w:rsidRPr="001A199F" w:rsidRDefault="00457729" w:rsidP="009B1BC4">
            <w:pPr>
              <w:spacing w:after="0" w:line="240" w:lineRule="auto"/>
              <w:jc w:val="left"/>
              <w:rPr>
                <w:rFonts w:eastAsia="Times New Roman" w:cs="Segoe UI"/>
                <w:color w:val="000000"/>
                <w:lang w:eastAsia="cs-CZ"/>
              </w:rPr>
            </w:pPr>
            <w:r w:rsidRPr="001A199F">
              <w:rPr>
                <w:rFonts w:eastAsia="Times New Roman" w:cs="Segoe UI"/>
                <w:b/>
                <w:bCs/>
                <w:color w:val="000000"/>
                <w:lang w:eastAsia="cs-CZ"/>
              </w:rPr>
              <w:t>Investiční podpora na ochranu životního prostředí, včetně dekarbonizace</w:t>
            </w:r>
            <w:r w:rsidRPr="001A199F">
              <w:rPr>
                <w:rFonts w:eastAsia="Times New Roman" w:cs="Segoe UI"/>
                <w:color w:val="000000"/>
                <w:lang w:eastAsia="cs-CZ"/>
              </w:rPr>
              <w:br/>
              <w:t>Podpora se nevztahuje na investice zařízení využívajících fosilní paliva, včetně těch, jež využívají zemní plyn. Je možné poskytnout podporu na instalaci doplňkových složek, které zlepšují úroveň ochrany životního prostředí u stávajícího vybavení, ale investice nesmí vést k rozšíření výrobní kapacity ani k vyšší spotřebě fosilních paliv.</w:t>
            </w:r>
          </w:p>
        </w:tc>
      </w:tr>
      <w:tr w:rsidR="00457729" w:rsidRPr="00D109A2" w14:paraId="117DB6E8" w14:textId="77777777" w:rsidTr="00457729">
        <w:trPr>
          <w:trHeight w:val="1573"/>
        </w:trPr>
        <w:tc>
          <w:tcPr>
            <w:tcW w:w="2841" w:type="dxa"/>
            <w:vMerge/>
            <w:shd w:val="clear" w:color="D9EAD3" w:fill="D9EAD3"/>
            <w:hideMark/>
          </w:tcPr>
          <w:p w14:paraId="6ACDC1DF" w14:textId="77777777" w:rsidR="00457729" w:rsidRPr="001A199F" w:rsidRDefault="00457729" w:rsidP="009B1BC4">
            <w:pPr>
              <w:spacing w:after="0" w:line="240" w:lineRule="auto"/>
              <w:jc w:val="left"/>
              <w:rPr>
                <w:rFonts w:eastAsia="Times New Roman" w:cs="Segoe UI"/>
                <w:color w:val="000000"/>
                <w:lang w:eastAsia="cs-CZ"/>
              </w:rPr>
            </w:pPr>
          </w:p>
        </w:tc>
        <w:tc>
          <w:tcPr>
            <w:tcW w:w="2399" w:type="dxa"/>
            <w:shd w:val="clear" w:color="D9EAD3" w:fill="D9EAD3"/>
            <w:noWrap/>
            <w:hideMark/>
          </w:tcPr>
          <w:p w14:paraId="729368AB" w14:textId="77777777" w:rsidR="00457729" w:rsidRPr="001A199F" w:rsidRDefault="00457729" w:rsidP="009B1BC4">
            <w:pPr>
              <w:spacing w:after="0" w:line="240" w:lineRule="auto"/>
              <w:jc w:val="left"/>
              <w:rPr>
                <w:rFonts w:eastAsia="Times New Roman" w:cs="Segoe UI"/>
                <w:color w:val="000000"/>
                <w:lang w:eastAsia="cs-CZ"/>
              </w:rPr>
            </w:pPr>
            <w:r w:rsidRPr="001A199F">
              <w:rPr>
                <w:rFonts w:eastAsia="Times New Roman" w:cs="Segoe UI"/>
                <w:color w:val="000000"/>
                <w:lang w:eastAsia="cs-CZ"/>
              </w:rPr>
              <w:t xml:space="preserve">Článek 36, odst. </w:t>
            </w:r>
            <w:proofErr w:type="gramStart"/>
            <w:r w:rsidRPr="001A199F">
              <w:rPr>
                <w:rFonts w:eastAsia="Times New Roman" w:cs="Segoe UI"/>
                <w:color w:val="000000"/>
                <w:lang w:eastAsia="cs-CZ"/>
              </w:rPr>
              <w:t>1b</w:t>
            </w:r>
            <w:proofErr w:type="gramEnd"/>
          </w:p>
        </w:tc>
        <w:tc>
          <w:tcPr>
            <w:tcW w:w="8930" w:type="dxa"/>
            <w:shd w:val="clear" w:color="D9EAD3" w:fill="D9EAD3"/>
            <w:hideMark/>
          </w:tcPr>
          <w:p w14:paraId="1C234E40" w14:textId="77777777" w:rsidR="00457729" w:rsidRPr="001A199F" w:rsidRDefault="00457729" w:rsidP="009B1BC4">
            <w:pPr>
              <w:spacing w:after="0" w:line="240" w:lineRule="auto"/>
              <w:jc w:val="left"/>
              <w:rPr>
                <w:rFonts w:eastAsia="Times New Roman" w:cs="Segoe UI"/>
                <w:color w:val="000000"/>
                <w:lang w:eastAsia="cs-CZ"/>
              </w:rPr>
            </w:pPr>
            <w:r w:rsidRPr="001A199F">
              <w:rPr>
                <w:rFonts w:eastAsia="Times New Roman" w:cs="Segoe UI"/>
                <w:b/>
                <w:bCs/>
                <w:color w:val="000000"/>
                <w:lang w:eastAsia="cs-CZ"/>
              </w:rPr>
              <w:t>Investiční podpora na ochranu životního prostředí, včetně dekarbonizace</w:t>
            </w:r>
            <w:r w:rsidRPr="001A199F">
              <w:rPr>
                <w:rFonts w:eastAsia="Times New Roman" w:cs="Segoe UI"/>
                <w:color w:val="000000"/>
                <w:lang w:eastAsia="cs-CZ"/>
              </w:rPr>
              <w:br/>
              <w:t>U podpory vybavení využívajících a přepravujících vodík se podpora se vztahuje pouze investice, kde vodík pochází z obnovitelných zdrojů a dále vodík vyrobený z elektřiny za pře</w:t>
            </w:r>
            <w:r>
              <w:rPr>
                <w:rFonts w:eastAsia="Times New Roman" w:cs="Segoe UI"/>
                <w:color w:val="000000"/>
                <w:lang w:eastAsia="cs-CZ"/>
              </w:rPr>
              <w:t>d</w:t>
            </w:r>
            <w:r w:rsidRPr="001A199F">
              <w:rPr>
                <w:rFonts w:eastAsia="Times New Roman" w:cs="Segoe UI"/>
                <w:color w:val="000000"/>
                <w:lang w:eastAsia="cs-CZ"/>
              </w:rPr>
              <w:t>pokladu dodržení úspory emisí dle uvedených parametrů.</w:t>
            </w:r>
          </w:p>
        </w:tc>
      </w:tr>
      <w:tr w:rsidR="00457729" w:rsidRPr="00D109A2" w14:paraId="01C861C7" w14:textId="77777777" w:rsidTr="00457729">
        <w:trPr>
          <w:trHeight w:val="1603"/>
        </w:trPr>
        <w:tc>
          <w:tcPr>
            <w:tcW w:w="2841" w:type="dxa"/>
            <w:vMerge/>
            <w:shd w:val="clear" w:color="D9EAD3" w:fill="D9EAD3"/>
            <w:hideMark/>
          </w:tcPr>
          <w:p w14:paraId="1EDEAAF7" w14:textId="77777777" w:rsidR="00457729" w:rsidRPr="001A199F" w:rsidRDefault="00457729" w:rsidP="009B1BC4">
            <w:pPr>
              <w:spacing w:after="0" w:line="240" w:lineRule="auto"/>
              <w:jc w:val="left"/>
              <w:rPr>
                <w:rFonts w:eastAsia="Times New Roman" w:cs="Segoe UI"/>
                <w:color w:val="000000"/>
                <w:lang w:eastAsia="cs-CZ"/>
              </w:rPr>
            </w:pPr>
          </w:p>
        </w:tc>
        <w:tc>
          <w:tcPr>
            <w:tcW w:w="2399" w:type="dxa"/>
            <w:shd w:val="clear" w:color="D9EAD3" w:fill="D9EAD3"/>
            <w:noWrap/>
            <w:hideMark/>
          </w:tcPr>
          <w:p w14:paraId="5F51808C" w14:textId="77777777" w:rsidR="00457729" w:rsidRPr="001A199F" w:rsidRDefault="00457729" w:rsidP="009B1BC4">
            <w:pPr>
              <w:spacing w:after="0" w:line="240" w:lineRule="auto"/>
              <w:jc w:val="left"/>
              <w:rPr>
                <w:rFonts w:eastAsia="Times New Roman" w:cs="Segoe UI"/>
                <w:color w:val="000000"/>
                <w:lang w:eastAsia="cs-CZ"/>
              </w:rPr>
            </w:pPr>
            <w:r w:rsidRPr="001A199F">
              <w:rPr>
                <w:rFonts w:eastAsia="Times New Roman" w:cs="Segoe UI"/>
                <w:color w:val="000000"/>
                <w:lang w:eastAsia="cs-CZ"/>
              </w:rPr>
              <w:t xml:space="preserve">Článek 36, odst. </w:t>
            </w:r>
            <w:proofErr w:type="gramStart"/>
            <w:r w:rsidRPr="001A199F">
              <w:rPr>
                <w:rFonts w:eastAsia="Times New Roman" w:cs="Segoe UI"/>
                <w:color w:val="000000"/>
                <w:lang w:eastAsia="cs-CZ"/>
              </w:rPr>
              <w:t>2b</w:t>
            </w:r>
            <w:proofErr w:type="gramEnd"/>
          </w:p>
        </w:tc>
        <w:tc>
          <w:tcPr>
            <w:tcW w:w="8930" w:type="dxa"/>
            <w:shd w:val="clear" w:color="D9EAD3" w:fill="D9EAD3"/>
            <w:hideMark/>
          </w:tcPr>
          <w:p w14:paraId="54BD6B40" w14:textId="77777777" w:rsidR="00457729" w:rsidRPr="001A199F" w:rsidRDefault="00457729" w:rsidP="009B1BC4">
            <w:pPr>
              <w:spacing w:after="0" w:line="240" w:lineRule="auto"/>
              <w:jc w:val="left"/>
              <w:rPr>
                <w:rFonts w:eastAsia="Times New Roman" w:cs="Segoe UI"/>
                <w:color w:val="000000"/>
                <w:lang w:eastAsia="cs-CZ"/>
              </w:rPr>
            </w:pPr>
            <w:r w:rsidRPr="001A199F">
              <w:rPr>
                <w:rFonts w:eastAsia="Times New Roman" w:cs="Segoe UI"/>
                <w:b/>
                <w:bCs/>
                <w:color w:val="000000"/>
                <w:lang w:eastAsia="cs-CZ"/>
              </w:rPr>
              <w:t>Investiční podpora na ochranu životního prostředí, včetně dekarbonizace</w:t>
            </w:r>
            <w:r w:rsidRPr="001A199F">
              <w:rPr>
                <w:rFonts w:eastAsia="Times New Roman" w:cs="Segoe UI"/>
                <w:color w:val="000000"/>
                <w:lang w:eastAsia="cs-CZ"/>
              </w:rPr>
              <w:br/>
              <w:t>Podpora se neposkytne na projekty, které pouze přesouvají emise mezi sektory nebo regiony. Tím by nedošlo ke skutečnému snižování emisí skleníkových plynů. Podmínky vyžadují, aby podpora na snížení emisí byla účinná a nezpůsobovala pouze přemístění znečištění.</w:t>
            </w:r>
          </w:p>
        </w:tc>
      </w:tr>
      <w:tr w:rsidR="00457729" w:rsidRPr="00D109A2" w14:paraId="032FF5EF" w14:textId="77777777" w:rsidTr="00457729">
        <w:trPr>
          <w:trHeight w:val="1815"/>
        </w:trPr>
        <w:tc>
          <w:tcPr>
            <w:tcW w:w="2841" w:type="dxa"/>
            <w:vMerge/>
            <w:shd w:val="clear" w:color="D9EAD3" w:fill="D9EAD3"/>
            <w:hideMark/>
          </w:tcPr>
          <w:p w14:paraId="7F5BB581" w14:textId="77777777" w:rsidR="00457729" w:rsidRPr="001A199F" w:rsidRDefault="00457729" w:rsidP="009B1BC4">
            <w:pPr>
              <w:spacing w:after="0" w:line="240" w:lineRule="auto"/>
              <w:jc w:val="left"/>
              <w:rPr>
                <w:rFonts w:eastAsia="Times New Roman" w:cs="Segoe UI"/>
                <w:color w:val="000000"/>
                <w:lang w:eastAsia="cs-CZ"/>
              </w:rPr>
            </w:pPr>
          </w:p>
        </w:tc>
        <w:tc>
          <w:tcPr>
            <w:tcW w:w="2399" w:type="dxa"/>
            <w:shd w:val="clear" w:color="D9EAD3" w:fill="D9EAD3"/>
            <w:hideMark/>
          </w:tcPr>
          <w:p w14:paraId="7C4F0821" w14:textId="77777777" w:rsidR="00457729" w:rsidRPr="001A199F" w:rsidRDefault="00457729" w:rsidP="009B1BC4">
            <w:pPr>
              <w:spacing w:after="0" w:line="240" w:lineRule="auto"/>
              <w:jc w:val="left"/>
              <w:rPr>
                <w:rFonts w:eastAsia="Times New Roman" w:cs="Segoe UI"/>
                <w:color w:val="000000"/>
                <w:lang w:eastAsia="cs-CZ"/>
              </w:rPr>
            </w:pPr>
            <w:r w:rsidRPr="001A199F">
              <w:rPr>
                <w:rFonts w:eastAsia="Times New Roman" w:cs="Segoe UI"/>
                <w:color w:val="000000"/>
                <w:lang w:eastAsia="cs-CZ"/>
              </w:rPr>
              <w:t>Článek 36, odst. 3</w:t>
            </w:r>
            <w:r w:rsidRPr="001A199F">
              <w:rPr>
                <w:rFonts w:eastAsia="Times New Roman" w:cs="Segoe UI"/>
                <w:color w:val="000000"/>
                <w:lang w:eastAsia="cs-CZ"/>
              </w:rPr>
              <w:br/>
              <w:t>Článek 47, odst. 10</w:t>
            </w:r>
            <w:r w:rsidRPr="001A199F">
              <w:rPr>
                <w:rFonts w:eastAsia="Times New Roman" w:cs="Segoe UI"/>
                <w:color w:val="000000"/>
                <w:lang w:eastAsia="cs-CZ"/>
              </w:rPr>
              <w:br/>
              <w:t>Článek 49, odst. 5</w:t>
            </w:r>
          </w:p>
        </w:tc>
        <w:tc>
          <w:tcPr>
            <w:tcW w:w="8930" w:type="dxa"/>
            <w:shd w:val="clear" w:color="D9EAD3" w:fill="D9EAD3"/>
            <w:hideMark/>
          </w:tcPr>
          <w:p w14:paraId="7EF7CAE7" w14:textId="77777777" w:rsidR="00457729" w:rsidRPr="001A199F" w:rsidRDefault="00457729" w:rsidP="009B1BC4">
            <w:pPr>
              <w:spacing w:after="0" w:line="240" w:lineRule="auto"/>
              <w:jc w:val="left"/>
              <w:rPr>
                <w:rFonts w:eastAsia="Times New Roman" w:cs="Segoe UI"/>
                <w:color w:val="000000"/>
                <w:lang w:eastAsia="cs-CZ"/>
              </w:rPr>
            </w:pPr>
            <w:r w:rsidRPr="001A199F">
              <w:rPr>
                <w:rFonts w:eastAsia="Times New Roman" w:cs="Segoe UI"/>
                <w:b/>
                <w:bCs/>
                <w:color w:val="000000"/>
                <w:lang w:eastAsia="cs-CZ"/>
              </w:rPr>
              <w:t>Investiční podpora na ochranu životního prostředí, včetně dekarbonizace</w:t>
            </w:r>
            <w:r w:rsidRPr="001A199F">
              <w:rPr>
                <w:rFonts w:eastAsia="Times New Roman" w:cs="Segoe UI"/>
                <w:b/>
                <w:bCs/>
                <w:color w:val="000000"/>
                <w:lang w:eastAsia="cs-CZ"/>
              </w:rPr>
              <w:br/>
              <w:t>Investiční podpora na účinné využívání zdrojů a na podporu přechodu na oběhové hospodářství</w:t>
            </w:r>
            <w:r w:rsidRPr="001A199F">
              <w:rPr>
                <w:rFonts w:eastAsia="Times New Roman" w:cs="Segoe UI"/>
                <w:color w:val="000000"/>
                <w:lang w:eastAsia="cs-CZ"/>
              </w:rPr>
              <w:br/>
            </w:r>
            <w:r w:rsidRPr="007D1B7C">
              <w:rPr>
                <w:rFonts w:eastAsia="Times New Roman" w:cs="Segoe UI"/>
                <w:color w:val="000000"/>
                <w:lang w:eastAsia="cs-CZ"/>
              </w:rPr>
              <w:t xml:space="preserve">Podporu nelze poskytnout v případě, má-li být realizací investic dosaženo toho, aby podniky pouze splnily normy Unie, které již nabyly účinnosti. Podporu, která podnikům umožní, aby splnily normy Unie, které již byly schváleny, ale dosud nenabyly účinnosti, lze podle tohoto článku poskytnout, pokud je investice, na kterou je podpora poskytnuta, realizována a dokončena nejméně osmnáct měsíců před tím, než dotčená norma </w:t>
            </w:r>
            <w:proofErr w:type="gramStart"/>
            <w:r w:rsidRPr="007D1B7C">
              <w:rPr>
                <w:rFonts w:eastAsia="Times New Roman" w:cs="Segoe UI"/>
                <w:color w:val="000000"/>
                <w:lang w:eastAsia="cs-CZ"/>
              </w:rPr>
              <w:t>nabyde</w:t>
            </w:r>
            <w:proofErr w:type="gramEnd"/>
            <w:r w:rsidRPr="007D1B7C">
              <w:rPr>
                <w:rFonts w:eastAsia="Times New Roman" w:cs="Segoe UI"/>
                <w:color w:val="000000"/>
                <w:lang w:eastAsia="cs-CZ"/>
              </w:rPr>
              <w:t xml:space="preserve"> účinnosti.</w:t>
            </w:r>
          </w:p>
        </w:tc>
      </w:tr>
      <w:tr w:rsidR="00457729" w:rsidRPr="00D109A2" w14:paraId="073D3F54" w14:textId="77777777" w:rsidTr="00457729">
        <w:trPr>
          <w:trHeight w:val="1240"/>
        </w:trPr>
        <w:tc>
          <w:tcPr>
            <w:tcW w:w="2841" w:type="dxa"/>
            <w:vMerge/>
            <w:shd w:val="clear" w:color="D9EAD3" w:fill="D9EAD3"/>
            <w:hideMark/>
          </w:tcPr>
          <w:p w14:paraId="61FA8898" w14:textId="77777777" w:rsidR="00457729" w:rsidRPr="001A199F" w:rsidRDefault="00457729" w:rsidP="009B1BC4">
            <w:pPr>
              <w:spacing w:after="0" w:line="240" w:lineRule="auto"/>
              <w:jc w:val="left"/>
              <w:rPr>
                <w:rFonts w:eastAsia="Times New Roman" w:cs="Segoe UI"/>
                <w:color w:val="000000"/>
                <w:lang w:eastAsia="cs-CZ"/>
              </w:rPr>
            </w:pPr>
          </w:p>
        </w:tc>
        <w:tc>
          <w:tcPr>
            <w:tcW w:w="2399" w:type="dxa"/>
            <w:shd w:val="clear" w:color="D9EAD3" w:fill="D9EAD3"/>
            <w:noWrap/>
            <w:hideMark/>
          </w:tcPr>
          <w:p w14:paraId="635726F4" w14:textId="77777777" w:rsidR="00457729" w:rsidRPr="001A199F" w:rsidRDefault="00457729" w:rsidP="009B1BC4">
            <w:pPr>
              <w:spacing w:after="0" w:line="240" w:lineRule="auto"/>
              <w:jc w:val="left"/>
              <w:rPr>
                <w:rFonts w:eastAsia="Times New Roman" w:cs="Segoe UI"/>
                <w:color w:val="000000"/>
                <w:lang w:eastAsia="cs-CZ"/>
              </w:rPr>
            </w:pPr>
            <w:r w:rsidRPr="001A199F">
              <w:rPr>
                <w:rFonts w:eastAsia="Times New Roman" w:cs="Segoe UI"/>
                <w:color w:val="000000"/>
                <w:lang w:eastAsia="cs-CZ"/>
              </w:rPr>
              <w:t xml:space="preserve">Článek </w:t>
            </w:r>
            <w:proofErr w:type="gramStart"/>
            <w:r w:rsidRPr="001A199F">
              <w:rPr>
                <w:rFonts w:eastAsia="Times New Roman" w:cs="Segoe UI"/>
                <w:color w:val="000000"/>
                <w:lang w:eastAsia="cs-CZ"/>
              </w:rPr>
              <w:t>36a</w:t>
            </w:r>
            <w:proofErr w:type="gramEnd"/>
            <w:r w:rsidRPr="001A199F">
              <w:rPr>
                <w:rFonts w:eastAsia="Times New Roman" w:cs="Segoe UI"/>
                <w:color w:val="000000"/>
                <w:lang w:eastAsia="cs-CZ"/>
              </w:rPr>
              <w:t>, odst. 2</w:t>
            </w:r>
          </w:p>
        </w:tc>
        <w:tc>
          <w:tcPr>
            <w:tcW w:w="8930" w:type="dxa"/>
            <w:shd w:val="clear" w:color="D9EAD3" w:fill="D9EAD3"/>
            <w:hideMark/>
          </w:tcPr>
          <w:p w14:paraId="217E5986" w14:textId="77777777" w:rsidR="00457729" w:rsidRPr="001A199F" w:rsidRDefault="00457729" w:rsidP="009B1BC4">
            <w:pPr>
              <w:spacing w:after="0" w:line="240" w:lineRule="auto"/>
              <w:jc w:val="left"/>
              <w:rPr>
                <w:rFonts w:eastAsia="Times New Roman" w:cs="Segoe UI"/>
                <w:color w:val="000000"/>
                <w:lang w:eastAsia="cs-CZ"/>
              </w:rPr>
            </w:pPr>
            <w:r w:rsidRPr="001A199F">
              <w:rPr>
                <w:rFonts w:eastAsia="Times New Roman" w:cs="Segoe UI"/>
                <w:b/>
                <w:bCs/>
                <w:color w:val="000000"/>
                <w:lang w:eastAsia="cs-CZ"/>
              </w:rPr>
              <w:t>Investiční podpora na dobíjecí infrastrukturu nebo infrastrukturu plnicích stanic</w:t>
            </w:r>
            <w:r w:rsidRPr="001A199F">
              <w:rPr>
                <w:rFonts w:eastAsia="Times New Roman" w:cs="Segoe UI"/>
                <w:color w:val="000000"/>
                <w:lang w:eastAsia="cs-CZ"/>
              </w:rPr>
              <w:br/>
            </w:r>
            <w:r>
              <w:rPr>
                <w:rFonts w:eastAsia="Times New Roman" w:cs="Segoe UI"/>
                <w:color w:val="000000"/>
                <w:lang w:eastAsia="cs-CZ"/>
              </w:rPr>
              <w:t xml:space="preserve">Stanovuje pravidla pro </w:t>
            </w:r>
            <w:r w:rsidRPr="00EB7A4B">
              <w:rPr>
                <w:rFonts w:eastAsia="Times New Roman" w:cs="Segoe UI"/>
                <w:color w:val="000000"/>
                <w:lang w:eastAsia="cs-CZ"/>
              </w:rPr>
              <w:t>podporu poskytovanou na dobíjecí infrastruktury nebo infrastruktury plnicích stanic, které dodávají vozidlům, mobilním terminálovým zařízením nebo mobilním zařízením pro pozemní odbavení elektřinu nebo vodík</w:t>
            </w:r>
            <w:r>
              <w:rPr>
                <w:rFonts w:eastAsia="Times New Roman" w:cs="Segoe UI"/>
                <w:color w:val="000000"/>
                <w:lang w:eastAsia="cs-CZ"/>
              </w:rPr>
              <w:t xml:space="preserve">. V </w:t>
            </w:r>
            <w:r w:rsidRPr="00EB7A4B">
              <w:rPr>
                <w:rFonts w:eastAsia="Times New Roman" w:cs="Segoe UI"/>
                <w:color w:val="000000"/>
                <w:lang w:eastAsia="cs-CZ"/>
              </w:rPr>
              <w:t>případě podporované infrastruktury plnicích stanic dodávající vodík musí členský stát získat od příjemce závazek, že infrastruktura plnicích stanic bude nejpozději do 31. prosince 2035 dodávat výhradně vodík z obnovitelných zdrojů.</w:t>
            </w:r>
          </w:p>
        </w:tc>
      </w:tr>
      <w:tr w:rsidR="00457729" w:rsidRPr="00D109A2" w14:paraId="6773D49D" w14:textId="77777777" w:rsidTr="00457729">
        <w:trPr>
          <w:trHeight w:val="835"/>
        </w:trPr>
        <w:tc>
          <w:tcPr>
            <w:tcW w:w="2841" w:type="dxa"/>
            <w:vMerge/>
            <w:shd w:val="clear" w:color="D9EAD3" w:fill="D9EAD3"/>
            <w:hideMark/>
          </w:tcPr>
          <w:p w14:paraId="53B31E3B" w14:textId="77777777" w:rsidR="00457729" w:rsidRPr="001A199F" w:rsidRDefault="00457729" w:rsidP="009B1BC4">
            <w:pPr>
              <w:spacing w:after="0" w:line="240" w:lineRule="auto"/>
              <w:jc w:val="left"/>
              <w:rPr>
                <w:rFonts w:eastAsia="Times New Roman" w:cs="Segoe UI"/>
                <w:color w:val="000000"/>
                <w:lang w:eastAsia="cs-CZ"/>
              </w:rPr>
            </w:pPr>
          </w:p>
        </w:tc>
        <w:tc>
          <w:tcPr>
            <w:tcW w:w="2399" w:type="dxa"/>
            <w:shd w:val="clear" w:color="D9EAD3" w:fill="D9EAD3"/>
            <w:noWrap/>
            <w:hideMark/>
          </w:tcPr>
          <w:p w14:paraId="199B976D" w14:textId="77777777" w:rsidR="00457729" w:rsidRPr="001A199F" w:rsidRDefault="00457729" w:rsidP="009B1BC4">
            <w:pPr>
              <w:spacing w:after="0" w:line="240" w:lineRule="auto"/>
              <w:jc w:val="left"/>
              <w:rPr>
                <w:rFonts w:eastAsia="Times New Roman" w:cs="Segoe UI"/>
                <w:color w:val="000000"/>
                <w:lang w:eastAsia="cs-CZ"/>
              </w:rPr>
            </w:pPr>
            <w:r w:rsidRPr="001A199F">
              <w:rPr>
                <w:rFonts w:eastAsia="Times New Roman" w:cs="Segoe UI"/>
                <w:color w:val="000000"/>
                <w:lang w:eastAsia="cs-CZ"/>
              </w:rPr>
              <w:t>Článek 45, odst. 5</w:t>
            </w:r>
          </w:p>
        </w:tc>
        <w:tc>
          <w:tcPr>
            <w:tcW w:w="8930" w:type="dxa"/>
            <w:shd w:val="clear" w:color="D9EAD3" w:fill="D9EAD3"/>
            <w:hideMark/>
          </w:tcPr>
          <w:p w14:paraId="010CE9D9" w14:textId="77777777" w:rsidR="00457729" w:rsidRPr="001A199F" w:rsidRDefault="00457729" w:rsidP="009B1BC4">
            <w:pPr>
              <w:spacing w:after="0" w:line="240" w:lineRule="auto"/>
              <w:jc w:val="left"/>
              <w:rPr>
                <w:rFonts w:eastAsia="Times New Roman" w:cs="Segoe UI"/>
                <w:color w:val="000000"/>
                <w:lang w:eastAsia="cs-CZ"/>
              </w:rPr>
            </w:pPr>
            <w:r w:rsidRPr="001A199F">
              <w:rPr>
                <w:rFonts w:eastAsia="Times New Roman" w:cs="Segoe UI"/>
                <w:b/>
                <w:bCs/>
                <w:color w:val="000000"/>
                <w:lang w:eastAsia="cs-CZ"/>
              </w:rPr>
              <w:t>Investiční podpora na sanaci škod na životním prostředí, rehabilitaci přírodních stanovišť a ekosystémů, ochranu nebo obnovu biologické rozmanitosti a zavádění řešení založených na přírodě pro přizpůsobení se změně klimatu a její zmírňování</w:t>
            </w:r>
            <w:r w:rsidRPr="001A199F">
              <w:rPr>
                <w:rFonts w:eastAsia="Times New Roman" w:cs="Segoe UI"/>
                <w:color w:val="000000"/>
                <w:lang w:eastAsia="cs-CZ"/>
              </w:rPr>
              <w:br/>
            </w:r>
            <w:r w:rsidRPr="00DE32A5">
              <w:rPr>
                <w:rFonts w:eastAsia="Times New Roman" w:cs="Segoe UI"/>
                <w:color w:val="000000"/>
                <w:lang w:eastAsia="cs-CZ"/>
              </w:rPr>
              <w:t>Aniž je dotčena směrnice Evropského parlamentu a Rady 2004/35/ES nebo jiné příslušné předpisy Unie o odpovědnosti za škody na životním prostředí, je-li zjištěn subjekt nebo podnik, který je podle právních předpisů použitelných v daném členském státě odpovědný za škody na životním prostředí, musí práce nezbytné k prevenci a nápravě degradace a kontaminace životního prostředí financovat tento subjekt nebo podnik v souladu se zásadou „znečišťovatel platí“ s tím, že na stavební práce, které je tento subjekt nebo podnik ze zákona povinen provést, nelze poskytnout žádnou podporu. Členský stát přijme veškerá nezbytná opatření včetně právních kroků vedoucí ke zjištění odpovědného subjektu nebo podniku, který je původcem škody na životním prostředí, a k dosažení toho, aby nesl příslušné náklady. Pokud subjekt nebo podnik odpovědný podle použitelných právních předpisů nelze zjistit nebo nelze dosáhnout toho, aby nesl náklady na nápravu škody na životním prostředí, zejména z toho důvodu, že zanikla jeho právní existence a není žádný jiný podnik, který by bylo možno považovat za jeho právního nebo ekonomického nástupce, nebo pokud k pokrytí nákladů na sanaci neexistuje dostatečné finanční zajištění, lze podporu poskytnout na podpoření sanačních nebo rehabilitačních prací. Podporu nelze poskytnout na realizaci kompenzačních opatření ve smyslu čl. 6 odst. 4 směrnice Rady 92/43/EHS. Podporu podle tohoto článku lze poskytnout na pokrytí dodatečných nákladů nezbytných ke zvýšení rozsahu nebo ambicí uvedených opatření nad rámec právních povinností vyplývajících z čl. 6 odst. 4 směrnice 92/43/EHS.</w:t>
            </w:r>
          </w:p>
        </w:tc>
      </w:tr>
      <w:tr w:rsidR="00457729" w:rsidRPr="00D109A2" w14:paraId="548A77A9" w14:textId="77777777" w:rsidTr="00457729">
        <w:trPr>
          <w:trHeight w:val="1664"/>
        </w:trPr>
        <w:tc>
          <w:tcPr>
            <w:tcW w:w="2841" w:type="dxa"/>
            <w:vMerge/>
            <w:shd w:val="clear" w:color="D9EAD3" w:fill="D9EAD3"/>
            <w:hideMark/>
          </w:tcPr>
          <w:p w14:paraId="61B0805F" w14:textId="77777777" w:rsidR="00457729" w:rsidRPr="001A199F" w:rsidRDefault="00457729" w:rsidP="009B1BC4">
            <w:pPr>
              <w:spacing w:after="0" w:line="240" w:lineRule="auto"/>
              <w:jc w:val="left"/>
              <w:rPr>
                <w:rFonts w:eastAsia="Times New Roman" w:cs="Segoe UI"/>
                <w:color w:val="000000"/>
                <w:lang w:eastAsia="cs-CZ"/>
              </w:rPr>
            </w:pPr>
          </w:p>
        </w:tc>
        <w:tc>
          <w:tcPr>
            <w:tcW w:w="2399" w:type="dxa"/>
            <w:shd w:val="clear" w:color="D9EAD3" w:fill="D9EAD3"/>
            <w:noWrap/>
            <w:hideMark/>
          </w:tcPr>
          <w:p w14:paraId="4B39B30C" w14:textId="77777777" w:rsidR="00457729" w:rsidRPr="001A199F" w:rsidRDefault="00457729" w:rsidP="009B1BC4">
            <w:pPr>
              <w:spacing w:after="0" w:line="240" w:lineRule="auto"/>
              <w:jc w:val="left"/>
              <w:rPr>
                <w:rFonts w:eastAsia="Times New Roman" w:cs="Segoe UI"/>
                <w:color w:val="000000"/>
                <w:lang w:eastAsia="cs-CZ"/>
              </w:rPr>
            </w:pPr>
            <w:r w:rsidRPr="001A199F">
              <w:rPr>
                <w:rFonts w:eastAsia="Times New Roman" w:cs="Segoe UI"/>
                <w:color w:val="000000"/>
                <w:lang w:eastAsia="cs-CZ"/>
              </w:rPr>
              <w:t>Článek 46, odst. 4</w:t>
            </w:r>
          </w:p>
        </w:tc>
        <w:tc>
          <w:tcPr>
            <w:tcW w:w="8930" w:type="dxa"/>
            <w:shd w:val="clear" w:color="D9EAD3" w:fill="D9EAD3"/>
            <w:hideMark/>
          </w:tcPr>
          <w:p w14:paraId="7F96BAD5" w14:textId="77777777" w:rsidR="00457729" w:rsidRPr="001A199F" w:rsidRDefault="00457729" w:rsidP="009B1BC4">
            <w:pPr>
              <w:spacing w:after="0" w:line="240" w:lineRule="auto"/>
              <w:jc w:val="left"/>
              <w:rPr>
                <w:rFonts w:eastAsia="Times New Roman" w:cs="Segoe UI"/>
                <w:color w:val="000000"/>
                <w:lang w:eastAsia="cs-CZ"/>
              </w:rPr>
            </w:pPr>
            <w:r w:rsidRPr="001A199F">
              <w:rPr>
                <w:rFonts w:eastAsia="Times New Roman" w:cs="Segoe UI"/>
                <w:b/>
                <w:bCs/>
                <w:color w:val="000000"/>
                <w:lang w:eastAsia="cs-CZ"/>
              </w:rPr>
              <w:t>Investiční podpora na energeticky účinné dálkové vytápění a/nebo chlazení</w:t>
            </w:r>
            <w:r w:rsidRPr="001A199F">
              <w:rPr>
                <w:rFonts w:eastAsia="Times New Roman" w:cs="Segoe UI"/>
                <w:color w:val="000000"/>
                <w:lang w:eastAsia="cs-CZ"/>
              </w:rPr>
              <w:br/>
            </w:r>
            <w:r w:rsidRPr="00DE32A5">
              <w:rPr>
                <w:rFonts w:eastAsia="Times New Roman" w:cs="Segoe UI"/>
                <w:color w:val="000000"/>
                <w:lang w:eastAsia="cs-CZ"/>
              </w:rPr>
              <w:t>Podporu nelze poskytnout na výstavbu nebo modernizaci zařízení na výrobu energie z fosilních paliv, s výjimkou zemního plynu. Podporu na výstavbu nebo modernizaci zařízení na výrobu energie ze zemního plynu lze poskytnout, pouze pokud je zajištěn soulad s klimatickými cíli stanovenými pro roky 2030 a 2050 v souladu s oddílem 4.30 přílohy 1 nařízení v přenesené pravomoci (EU) 2021/2139.</w:t>
            </w:r>
          </w:p>
        </w:tc>
      </w:tr>
      <w:tr w:rsidR="00457729" w:rsidRPr="00D109A2" w14:paraId="72640F97" w14:textId="77777777" w:rsidTr="00457729">
        <w:trPr>
          <w:trHeight w:val="1724"/>
        </w:trPr>
        <w:tc>
          <w:tcPr>
            <w:tcW w:w="2841" w:type="dxa"/>
            <w:vMerge/>
            <w:shd w:val="clear" w:color="D9EAD3" w:fill="D9EAD3"/>
            <w:hideMark/>
          </w:tcPr>
          <w:p w14:paraId="5F1D7904" w14:textId="77777777" w:rsidR="00457729" w:rsidRPr="001A199F" w:rsidRDefault="00457729" w:rsidP="009B1BC4">
            <w:pPr>
              <w:spacing w:after="0" w:line="240" w:lineRule="auto"/>
              <w:jc w:val="left"/>
              <w:rPr>
                <w:rFonts w:eastAsia="Times New Roman" w:cs="Segoe UI"/>
                <w:color w:val="000000"/>
                <w:lang w:eastAsia="cs-CZ"/>
              </w:rPr>
            </w:pPr>
          </w:p>
        </w:tc>
        <w:tc>
          <w:tcPr>
            <w:tcW w:w="2399" w:type="dxa"/>
            <w:shd w:val="clear" w:color="D9EAD3" w:fill="D9EAD3"/>
            <w:noWrap/>
            <w:hideMark/>
          </w:tcPr>
          <w:p w14:paraId="08B87A81" w14:textId="77777777" w:rsidR="00457729" w:rsidRPr="001A199F" w:rsidRDefault="00457729" w:rsidP="009B1BC4">
            <w:pPr>
              <w:spacing w:after="0" w:line="240" w:lineRule="auto"/>
              <w:jc w:val="left"/>
              <w:rPr>
                <w:rFonts w:eastAsia="Times New Roman" w:cs="Segoe UI"/>
                <w:color w:val="000000"/>
                <w:lang w:eastAsia="cs-CZ"/>
              </w:rPr>
            </w:pPr>
            <w:r w:rsidRPr="001A199F">
              <w:rPr>
                <w:rFonts w:eastAsia="Times New Roman" w:cs="Segoe UI"/>
                <w:color w:val="000000"/>
                <w:lang w:eastAsia="cs-CZ"/>
              </w:rPr>
              <w:t xml:space="preserve">Článek 46, odst. </w:t>
            </w:r>
            <w:proofErr w:type="gramStart"/>
            <w:r w:rsidRPr="001A199F">
              <w:rPr>
                <w:rFonts w:eastAsia="Times New Roman" w:cs="Segoe UI"/>
                <w:color w:val="000000"/>
                <w:lang w:eastAsia="cs-CZ"/>
              </w:rPr>
              <w:t>5a</w:t>
            </w:r>
            <w:proofErr w:type="gramEnd"/>
            <w:r w:rsidRPr="001A199F">
              <w:rPr>
                <w:rFonts w:eastAsia="Times New Roman" w:cs="Segoe UI"/>
                <w:color w:val="000000"/>
                <w:lang w:eastAsia="cs-CZ"/>
              </w:rPr>
              <w:t xml:space="preserve"> a </w:t>
            </w:r>
            <w:proofErr w:type="gramStart"/>
            <w:r w:rsidRPr="001A199F">
              <w:rPr>
                <w:rFonts w:eastAsia="Times New Roman" w:cs="Segoe UI"/>
                <w:color w:val="000000"/>
                <w:lang w:eastAsia="cs-CZ"/>
              </w:rPr>
              <w:t>5b</w:t>
            </w:r>
            <w:proofErr w:type="gramEnd"/>
          </w:p>
        </w:tc>
        <w:tc>
          <w:tcPr>
            <w:tcW w:w="8930" w:type="dxa"/>
            <w:shd w:val="clear" w:color="D9EAD3" w:fill="D9EAD3"/>
            <w:hideMark/>
          </w:tcPr>
          <w:p w14:paraId="2840577E" w14:textId="77777777" w:rsidR="00457729" w:rsidRPr="00DE32A5" w:rsidRDefault="00457729" w:rsidP="009B1BC4">
            <w:pPr>
              <w:spacing w:after="0" w:line="240" w:lineRule="auto"/>
              <w:jc w:val="left"/>
              <w:rPr>
                <w:rFonts w:eastAsia="Times New Roman" w:cs="Segoe UI"/>
                <w:color w:val="000000"/>
                <w:lang w:eastAsia="cs-CZ"/>
              </w:rPr>
            </w:pPr>
            <w:r w:rsidRPr="001A199F">
              <w:rPr>
                <w:rFonts w:eastAsia="Times New Roman" w:cs="Segoe UI"/>
                <w:b/>
                <w:bCs/>
                <w:color w:val="000000"/>
                <w:lang w:eastAsia="cs-CZ"/>
              </w:rPr>
              <w:t>Investiční podpora na energeticky účinné dálkové vytápění a/nebo chlazení</w:t>
            </w:r>
            <w:r w:rsidRPr="001A199F">
              <w:rPr>
                <w:rFonts w:eastAsia="Times New Roman" w:cs="Segoe UI"/>
                <w:color w:val="000000"/>
                <w:lang w:eastAsia="cs-CZ"/>
              </w:rPr>
              <w:br/>
            </w:r>
            <w:r>
              <w:rPr>
                <w:rFonts w:eastAsia="Times New Roman" w:cs="Segoe UI"/>
                <w:color w:val="000000"/>
                <w:lang w:eastAsia="cs-CZ"/>
              </w:rPr>
              <w:t>P</w:t>
            </w:r>
            <w:r w:rsidRPr="00DE32A5">
              <w:rPr>
                <w:rFonts w:eastAsia="Times New Roman" w:cs="Segoe UI"/>
                <w:color w:val="000000"/>
                <w:lang w:eastAsia="cs-CZ"/>
              </w:rPr>
              <w:t xml:space="preserve">odporu na modernizaci úložišť a distribučních sítí, které přenášejí vytápění a chlazení vyrobené z fosilních paliv, lze poskytnout, pouze pokud jsou splněny všechny tyto podmínky: </w:t>
            </w:r>
          </w:p>
          <w:p w14:paraId="47695231" w14:textId="77777777" w:rsidR="00457729" w:rsidRPr="00DE32A5" w:rsidRDefault="00457729" w:rsidP="009B1BC4">
            <w:pPr>
              <w:spacing w:after="0" w:line="240" w:lineRule="auto"/>
              <w:jc w:val="left"/>
              <w:rPr>
                <w:rFonts w:eastAsia="Times New Roman" w:cs="Segoe UI"/>
                <w:color w:val="000000"/>
                <w:lang w:eastAsia="cs-CZ"/>
              </w:rPr>
            </w:pPr>
            <w:r w:rsidRPr="00DE32A5">
              <w:rPr>
                <w:rFonts w:eastAsia="Times New Roman" w:cs="Segoe UI"/>
                <w:color w:val="000000"/>
                <w:lang w:eastAsia="cs-CZ"/>
              </w:rPr>
              <w:t xml:space="preserve">a) distribuční síť je nebo se stane vhodnou pro přenos vytápění nebo chlazení vyrobeného z obnovitelných zdrojů energie a/nebo odpadního tepla; </w:t>
            </w:r>
          </w:p>
          <w:p w14:paraId="2E82FE57" w14:textId="77777777" w:rsidR="00457729" w:rsidRPr="001A199F" w:rsidRDefault="00457729" w:rsidP="009B1BC4">
            <w:pPr>
              <w:spacing w:after="0" w:line="240" w:lineRule="auto"/>
              <w:jc w:val="left"/>
              <w:rPr>
                <w:rFonts w:eastAsia="Times New Roman" w:cs="Segoe UI"/>
                <w:color w:val="000000"/>
                <w:lang w:eastAsia="cs-CZ"/>
              </w:rPr>
            </w:pPr>
            <w:r w:rsidRPr="00DE32A5">
              <w:rPr>
                <w:rFonts w:eastAsia="Times New Roman" w:cs="Segoe UI"/>
                <w:color w:val="000000"/>
                <w:lang w:eastAsia="cs-CZ"/>
              </w:rPr>
              <w:t>b) výsledkem modernizace nebude zvýšení výroby energie z fosilních paliv, s výjimkou zemního plynu. V případě modernizace úložiště nebo sítě distribuující vytápění a chlazení vyrobené ze zemního plynu, pokud je výsledkem modernizace zvýšení výroby energie ze zemního plynu, musí být tato výrobní zařízení v souladu s klimatickými cíli stanovenými pro roky 2030 a 2050 v souladu s</w:t>
            </w:r>
            <w:r>
              <w:rPr>
                <w:rFonts w:eastAsia="Times New Roman" w:cs="Segoe UI"/>
                <w:color w:val="000000"/>
                <w:lang w:eastAsia="cs-CZ"/>
              </w:rPr>
              <w:t> </w:t>
            </w:r>
            <w:r w:rsidRPr="00DE32A5">
              <w:rPr>
                <w:rFonts w:eastAsia="Times New Roman" w:cs="Segoe UI"/>
                <w:color w:val="000000"/>
                <w:lang w:eastAsia="cs-CZ"/>
              </w:rPr>
              <w:t>oddílem</w:t>
            </w:r>
            <w:r>
              <w:rPr>
                <w:rFonts w:eastAsia="Times New Roman" w:cs="Segoe UI"/>
                <w:color w:val="000000"/>
                <w:lang w:eastAsia="cs-CZ"/>
              </w:rPr>
              <w:t xml:space="preserve"> </w:t>
            </w:r>
            <w:r w:rsidRPr="00DE32A5">
              <w:rPr>
                <w:rFonts w:eastAsia="Times New Roman" w:cs="Segoe UI"/>
                <w:color w:val="000000"/>
                <w:lang w:eastAsia="cs-CZ"/>
              </w:rPr>
              <w:t>4.31 přílohy 1 nařízení v přenesené pravomoci (EU) 2021/2139.</w:t>
            </w:r>
          </w:p>
        </w:tc>
      </w:tr>
      <w:tr w:rsidR="00457729" w:rsidRPr="00D109A2" w14:paraId="678B2E5A" w14:textId="77777777" w:rsidTr="00457729">
        <w:trPr>
          <w:trHeight w:val="1301"/>
        </w:trPr>
        <w:tc>
          <w:tcPr>
            <w:tcW w:w="2841" w:type="dxa"/>
            <w:vMerge/>
            <w:shd w:val="clear" w:color="D9EAD3" w:fill="D9EAD3"/>
            <w:hideMark/>
          </w:tcPr>
          <w:p w14:paraId="03B718B5" w14:textId="77777777" w:rsidR="00457729" w:rsidRPr="001A199F" w:rsidRDefault="00457729" w:rsidP="009B1BC4">
            <w:pPr>
              <w:spacing w:after="0" w:line="240" w:lineRule="auto"/>
              <w:jc w:val="left"/>
              <w:rPr>
                <w:rFonts w:eastAsia="Times New Roman" w:cs="Segoe UI"/>
                <w:color w:val="000000"/>
                <w:lang w:eastAsia="cs-CZ"/>
              </w:rPr>
            </w:pPr>
          </w:p>
        </w:tc>
        <w:tc>
          <w:tcPr>
            <w:tcW w:w="2399" w:type="dxa"/>
            <w:shd w:val="clear" w:color="D9EAD3" w:fill="D9EAD3"/>
            <w:noWrap/>
            <w:hideMark/>
          </w:tcPr>
          <w:p w14:paraId="223B8D2E" w14:textId="77777777" w:rsidR="00457729" w:rsidRPr="001A199F" w:rsidRDefault="00457729" w:rsidP="009B1BC4">
            <w:pPr>
              <w:spacing w:after="0" w:line="240" w:lineRule="auto"/>
              <w:jc w:val="left"/>
              <w:rPr>
                <w:rFonts w:eastAsia="Times New Roman" w:cs="Segoe UI"/>
                <w:color w:val="000000"/>
                <w:lang w:eastAsia="cs-CZ"/>
              </w:rPr>
            </w:pPr>
            <w:r w:rsidRPr="001A199F">
              <w:rPr>
                <w:rFonts w:eastAsia="Times New Roman" w:cs="Segoe UI"/>
                <w:color w:val="000000"/>
                <w:lang w:eastAsia="cs-CZ"/>
              </w:rPr>
              <w:t>Článek 47, odst. 5</w:t>
            </w:r>
          </w:p>
        </w:tc>
        <w:tc>
          <w:tcPr>
            <w:tcW w:w="8930" w:type="dxa"/>
            <w:shd w:val="clear" w:color="D9EAD3" w:fill="D9EAD3"/>
            <w:hideMark/>
          </w:tcPr>
          <w:p w14:paraId="61A3E4BE" w14:textId="77777777" w:rsidR="00457729" w:rsidRPr="001A199F" w:rsidRDefault="00457729" w:rsidP="009B1BC4">
            <w:pPr>
              <w:spacing w:after="0" w:line="240" w:lineRule="auto"/>
              <w:jc w:val="left"/>
              <w:rPr>
                <w:rFonts w:eastAsia="Times New Roman" w:cs="Segoe UI"/>
                <w:color w:val="000000"/>
                <w:lang w:eastAsia="cs-CZ"/>
              </w:rPr>
            </w:pPr>
            <w:r w:rsidRPr="001A199F">
              <w:rPr>
                <w:rFonts w:eastAsia="Times New Roman" w:cs="Segoe UI"/>
                <w:b/>
                <w:bCs/>
                <w:color w:val="000000"/>
                <w:lang w:eastAsia="cs-CZ"/>
              </w:rPr>
              <w:t>Investiční podpora na účinné využívání zdrojů a na podporu přechodu na oběhové hospodářství</w:t>
            </w:r>
            <w:r w:rsidRPr="001A199F">
              <w:rPr>
                <w:rFonts w:eastAsia="Times New Roman" w:cs="Segoe UI"/>
                <w:color w:val="000000"/>
                <w:lang w:eastAsia="cs-CZ"/>
              </w:rPr>
              <w:br/>
              <w:t>Podpora nesmí stimulovat vznik odpadů ani zvýšené využívání zdrojů.</w:t>
            </w:r>
          </w:p>
        </w:tc>
      </w:tr>
      <w:tr w:rsidR="00457729" w:rsidRPr="00D109A2" w14:paraId="3E861506" w14:textId="77777777" w:rsidTr="00457729">
        <w:trPr>
          <w:trHeight w:val="1346"/>
        </w:trPr>
        <w:tc>
          <w:tcPr>
            <w:tcW w:w="2841" w:type="dxa"/>
            <w:vMerge/>
            <w:shd w:val="clear" w:color="D9EAD3" w:fill="D9EAD3"/>
            <w:hideMark/>
          </w:tcPr>
          <w:p w14:paraId="617E3106" w14:textId="77777777" w:rsidR="00457729" w:rsidRPr="001A199F" w:rsidRDefault="00457729" w:rsidP="009B1BC4">
            <w:pPr>
              <w:spacing w:after="0" w:line="240" w:lineRule="auto"/>
              <w:jc w:val="left"/>
              <w:rPr>
                <w:rFonts w:eastAsia="Times New Roman" w:cs="Segoe UI"/>
                <w:color w:val="000000"/>
                <w:lang w:eastAsia="cs-CZ"/>
              </w:rPr>
            </w:pPr>
          </w:p>
        </w:tc>
        <w:tc>
          <w:tcPr>
            <w:tcW w:w="2399" w:type="dxa"/>
            <w:shd w:val="clear" w:color="D9EAD3" w:fill="D9EAD3"/>
            <w:noWrap/>
            <w:hideMark/>
          </w:tcPr>
          <w:p w14:paraId="412B9676" w14:textId="77777777" w:rsidR="00457729" w:rsidRPr="001A199F" w:rsidRDefault="00457729" w:rsidP="009B1BC4">
            <w:pPr>
              <w:spacing w:after="0" w:line="240" w:lineRule="auto"/>
              <w:jc w:val="left"/>
              <w:rPr>
                <w:rFonts w:eastAsia="Times New Roman" w:cs="Segoe UI"/>
                <w:color w:val="000000"/>
                <w:lang w:eastAsia="cs-CZ"/>
              </w:rPr>
            </w:pPr>
          </w:p>
        </w:tc>
        <w:tc>
          <w:tcPr>
            <w:tcW w:w="8930" w:type="dxa"/>
            <w:shd w:val="clear" w:color="D9EAD3" w:fill="D9EAD3"/>
            <w:hideMark/>
          </w:tcPr>
          <w:p w14:paraId="4037FA32" w14:textId="77777777" w:rsidR="00457729" w:rsidRPr="001A199F" w:rsidRDefault="00457729" w:rsidP="009B1BC4">
            <w:pPr>
              <w:spacing w:after="0" w:line="240" w:lineRule="auto"/>
              <w:jc w:val="left"/>
              <w:rPr>
                <w:rFonts w:eastAsia="Times New Roman" w:cs="Segoe UI"/>
                <w:color w:val="000000"/>
                <w:lang w:eastAsia="cs-CZ"/>
              </w:rPr>
            </w:pPr>
          </w:p>
        </w:tc>
      </w:tr>
      <w:tr w:rsidR="00457729" w:rsidRPr="00D109A2" w14:paraId="3F777132" w14:textId="77777777" w:rsidTr="00457729">
        <w:trPr>
          <w:trHeight w:val="1622"/>
        </w:trPr>
        <w:tc>
          <w:tcPr>
            <w:tcW w:w="2841" w:type="dxa"/>
            <w:vMerge/>
            <w:shd w:val="clear" w:color="D9EAD3" w:fill="D9EAD3"/>
            <w:hideMark/>
          </w:tcPr>
          <w:p w14:paraId="38E15E3F" w14:textId="77777777" w:rsidR="00457729" w:rsidRPr="001A199F" w:rsidRDefault="00457729" w:rsidP="009B1BC4">
            <w:pPr>
              <w:spacing w:after="0" w:line="240" w:lineRule="auto"/>
              <w:jc w:val="left"/>
              <w:rPr>
                <w:rFonts w:eastAsia="Times New Roman" w:cs="Segoe UI"/>
                <w:color w:val="000000"/>
                <w:lang w:eastAsia="cs-CZ"/>
              </w:rPr>
            </w:pPr>
          </w:p>
        </w:tc>
        <w:tc>
          <w:tcPr>
            <w:tcW w:w="2399" w:type="dxa"/>
            <w:shd w:val="clear" w:color="D9EAD3" w:fill="D9EAD3"/>
            <w:noWrap/>
            <w:hideMark/>
          </w:tcPr>
          <w:p w14:paraId="38E97346" w14:textId="77777777" w:rsidR="00457729" w:rsidRPr="001A199F" w:rsidRDefault="00457729" w:rsidP="009B1BC4">
            <w:pPr>
              <w:spacing w:after="0" w:line="240" w:lineRule="auto"/>
              <w:jc w:val="left"/>
              <w:rPr>
                <w:rFonts w:eastAsia="Times New Roman" w:cs="Segoe UI"/>
                <w:color w:val="000000"/>
                <w:lang w:eastAsia="cs-CZ"/>
              </w:rPr>
            </w:pPr>
            <w:r w:rsidRPr="001A199F">
              <w:rPr>
                <w:rFonts w:eastAsia="Times New Roman" w:cs="Segoe UI"/>
                <w:color w:val="000000"/>
                <w:lang w:eastAsia="cs-CZ"/>
              </w:rPr>
              <w:t xml:space="preserve">Článek </w:t>
            </w:r>
            <w:proofErr w:type="gramStart"/>
            <w:r w:rsidRPr="001A199F">
              <w:rPr>
                <w:rFonts w:eastAsia="Times New Roman" w:cs="Segoe UI"/>
                <w:color w:val="000000"/>
                <w:lang w:eastAsia="cs-CZ"/>
              </w:rPr>
              <w:t>56a</w:t>
            </w:r>
            <w:proofErr w:type="gramEnd"/>
            <w:r w:rsidRPr="001A199F">
              <w:rPr>
                <w:rFonts w:eastAsia="Times New Roman" w:cs="Segoe UI"/>
                <w:color w:val="000000"/>
                <w:lang w:eastAsia="cs-CZ"/>
              </w:rPr>
              <w:t>, odst. 4, 5, 9, 10, 15, 17</w:t>
            </w:r>
          </w:p>
        </w:tc>
        <w:tc>
          <w:tcPr>
            <w:tcW w:w="8930" w:type="dxa"/>
            <w:shd w:val="clear" w:color="D9EAD3" w:fill="D9EAD3"/>
            <w:hideMark/>
          </w:tcPr>
          <w:p w14:paraId="6EF81CD8" w14:textId="77777777" w:rsidR="00457729" w:rsidRPr="001A199F" w:rsidRDefault="00457729" w:rsidP="009B1BC4">
            <w:pPr>
              <w:spacing w:after="0" w:line="240" w:lineRule="auto"/>
              <w:jc w:val="left"/>
              <w:rPr>
                <w:rFonts w:eastAsia="Times New Roman" w:cs="Segoe UI"/>
                <w:color w:val="000000"/>
                <w:lang w:eastAsia="cs-CZ"/>
              </w:rPr>
            </w:pPr>
            <w:r w:rsidRPr="001A199F">
              <w:rPr>
                <w:rFonts w:eastAsia="Times New Roman" w:cs="Segoe UI"/>
                <w:b/>
                <w:bCs/>
                <w:color w:val="000000"/>
                <w:lang w:eastAsia="cs-CZ"/>
              </w:rPr>
              <w:t>Podpora na regionální letiště</w:t>
            </w:r>
            <w:r w:rsidRPr="001A199F">
              <w:rPr>
                <w:rFonts w:eastAsia="Times New Roman" w:cs="Segoe UI"/>
                <w:color w:val="000000"/>
                <w:lang w:eastAsia="cs-CZ"/>
              </w:rPr>
              <w:br/>
              <w:t>Podpora se neposkytne na vznik nových a rozšíření stávajících letišť. Nepodporují se investice do letišť v určité vz</w:t>
            </w:r>
            <w:r>
              <w:rPr>
                <w:rFonts w:eastAsia="Times New Roman" w:cs="Segoe UI"/>
                <w:color w:val="000000"/>
                <w:lang w:eastAsia="cs-CZ"/>
              </w:rPr>
              <w:t>d</w:t>
            </w:r>
            <w:r w:rsidRPr="001A199F">
              <w:rPr>
                <w:rFonts w:eastAsia="Times New Roman" w:cs="Segoe UI"/>
                <w:color w:val="000000"/>
                <w:lang w:eastAsia="cs-CZ"/>
              </w:rPr>
              <w:t>álenosti od jiných letišť, při dosažení a překročení určité kapacity a pro cestující a nákladní dopravu.</w:t>
            </w:r>
          </w:p>
        </w:tc>
      </w:tr>
      <w:tr w:rsidR="00457729" w:rsidRPr="00D109A2" w14:paraId="0AE5FFDE" w14:textId="77777777" w:rsidTr="00457729">
        <w:trPr>
          <w:trHeight w:val="1948"/>
        </w:trPr>
        <w:tc>
          <w:tcPr>
            <w:tcW w:w="2841" w:type="dxa"/>
            <w:vMerge/>
            <w:shd w:val="clear" w:color="D9EAD3" w:fill="D9EAD3"/>
            <w:hideMark/>
          </w:tcPr>
          <w:p w14:paraId="643E6633" w14:textId="77777777" w:rsidR="00457729" w:rsidRPr="001A199F" w:rsidRDefault="00457729" w:rsidP="009B1BC4">
            <w:pPr>
              <w:spacing w:after="0" w:line="240" w:lineRule="auto"/>
              <w:jc w:val="left"/>
              <w:rPr>
                <w:rFonts w:eastAsia="Times New Roman" w:cs="Segoe UI"/>
                <w:color w:val="000000"/>
                <w:lang w:eastAsia="cs-CZ"/>
              </w:rPr>
            </w:pPr>
          </w:p>
        </w:tc>
        <w:tc>
          <w:tcPr>
            <w:tcW w:w="2399" w:type="dxa"/>
            <w:shd w:val="clear" w:color="D9EAD3" w:fill="D9EAD3"/>
            <w:hideMark/>
          </w:tcPr>
          <w:p w14:paraId="48E3A6F7" w14:textId="77777777" w:rsidR="00457729" w:rsidRPr="001A199F" w:rsidRDefault="00457729" w:rsidP="009B1BC4">
            <w:pPr>
              <w:spacing w:after="0" w:line="240" w:lineRule="auto"/>
              <w:jc w:val="left"/>
              <w:rPr>
                <w:rFonts w:eastAsia="Times New Roman" w:cs="Segoe UI"/>
                <w:color w:val="000000"/>
                <w:lang w:eastAsia="cs-CZ"/>
              </w:rPr>
            </w:pPr>
            <w:r w:rsidRPr="001A199F">
              <w:rPr>
                <w:rFonts w:eastAsia="Times New Roman" w:cs="Segoe UI"/>
                <w:color w:val="000000"/>
                <w:lang w:eastAsia="cs-CZ"/>
              </w:rPr>
              <w:t xml:space="preserve">Článek </w:t>
            </w:r>
            <w:proofErr w:type="gramStart"/>
            <w:r w:rsidRPr="001A199F">
              <w:rPr>
                <w:rFonts w:eastAsia="Times New Roman" w:cs="Segoe UI"/>
                <w:color w:val="000000"/>
                <w:lang w:eastAsia="cs-CZ"/>
              </w:rPr>
              <w:t>56b</w:t>
            </w:r>
            <w:proofErr w:type="gramEnd"/>
            <w:r w:rsidRPr="001A199F">
              <w:rPr>
                <w:rFonts w:eastAsia="Times New Roman" w:cs="Segoe UI"/>
                <w:color w:val="000000"/>
                <w:lang w:eastAsia="cs-CZ"/>
              </w:rPr>
              <w:t xml:space="preserve">, odst. </w:t>
            </w:r>
            <w:proofErr w:type="gramStart"/>
            <w:r w:rsidRPr="001A199F">
              <w:rPr>
                <w:rFonts w:eastAsia="Times New Roman" w:cs="Segoe UI"/>
                <w:color w:val="000000"/>
                <w:lang w:eastAsia="cs-CZ"/>
              </w:rPr>
              <w:t>1a</w:t>
            </w:r>
            <w:proofErr w:type="gramEnd"/>
            <w:r w:rsidRPr="001A199F">
              <w:rPr>
                <w:rFonts w:eastAsia="Times New Roman" w:cs="Segoe UI"/>
                <w:color w:val="000000"/>
                <w:lang w:eastAsia="cs-CZ"/>
              </w:rPr>
              <w:br/>
              <w:t xml:space="preserve">Článek 56c, odst. </w:t>
            </w:r>
            <w:proofErr w:type="gramStart"/>
            <w:r w:rsidRPr="001A199F">
              <w:rPr>
                <w:rFonts w:eastAsia="Times New Roman" w:cs="Segoe UI"/>
                <w:color w:val="000000"/>
                <w:lang w:eastAsia="cs-CZ"/>
              </w:rPr>
              <w:t>1a</w:t>
            </w:r>
            <w:proofErr w:type="gramEnd"/>
          </w:p>
        </w:tc>
        <w:tc>
          <w:tcPr>
            <w:tcW w:w="8930" w:type="dxa"/>
            <w:shd w:val="clear" w:color="D9EAD3" w:fill="D9EAD3"/>
            <w:hideMark/>
          </w:tcPr>
          <w:p w14:paraId="608935E8" w14:textId="77777777" w:rsidR="00457729" w:rsidRPr="001A199F" w:rsidRDefault="00457729" w:rsidP="009B1BC4">
            <w:pPr>
              <w:spacing w:after="0" w:line="240" w:lineRule="auto"/>
              <w:jc w:val="left"/>
              <w:rPr>
                <w:rFonts w:eastAsia="Times New Roman" w:cs="Segoe UI"/>
                <w:color w:val="000000"/>
                <w:lang w:eastAsia="cs-CZ"/>
              </w:rPr>
            </w:pPr>
            <w:r w:rsidRPr="001A199F">
              <w:rPr>
                <w:rFonts w:eastAsia="Times New Roman" w:cs="Segoe UI"/>
                <w:b/>
                <w:bCs/>
                <w:color w:val="000000"/>
                <w:lang w:eastAsia="cs-CZ"/>
              </w:rPr>
              <w:t>Podpora na námořní přístavy</w:t>
            </w:r>
            <w:r w:rsidRPr="001A199F">
              <w:rPr>
                <w:rFonts w:eastAsia="Times New Roman" w:cs="Segoe UI"/>
                <w:color w:val="000000"/>
                <w:lang w:eastAsia="cs-CZ"/>
              </w:rPr>
              <w:br/>
              <w:t>Podporu nelze poskytnout na výstavbu, instalaci nebo modernizaci infrastruktury plnicích stanic dodávající plavidlům fosilní paliva, jako je nafta, zemní plyn v plynné formě (stlačený zemní plyn (CNG)) a ve zkapalněné formě (zkapalněný zemní plyn (LNG)) a zkapalněný ropný plyn (LPG).</w:t>
            </w:r>
            <w:r w:rsidRPr="001A199F">
              <w:rPr>
                <w:rFonts w:eastAsia="Times New Roman" w:cs="Segoe UI"/>
                <w:color w:val="000000"/>
                <w:lang w:eastAsia="cs-CZ"/>
              </w:rPr>
              <w:br/>
            </w:r>
            <w:r w:rsidRPr="001A199F">
              <w:rPr>
                <w:rFonts w:eastAsia="Times New Roman" w:cs="Segoe UI"/>
                <w:b/>
                <w:bCs/>
                <w:color w:val="000000"/>
                <w:lang w:eastAsia="cs-CZ"/>
              </w:rPr>
              <w:t>obdobně i Podpora na vnitrozemské přístavy</w:t>
            </w:r>
          </w:p>
        </w:tc>
      </w:tr>
      <w:tr w:rsidR="00457729" w:rsidRPr="00D109A2" w14:paraId="2EB49455" w14:textId="77777777" w:rsidTr="00457729">
        <w:trPr>
          <w:trHeight w:val="1724"/>
        </w:trPr>
        <w:tc>
          <w:tcPr>
            <w:tcW w:w="2841" w:type="dxa"/>
            <w:vMerge/>
            <w:shd w:val="clear" w:color="D9EAD3" w:fill="D9EAD3"/>
            <w:hideMark/>
          </w:tcPr>
          <w:p w14:paraId="3495A16B" w14:textId="77777777" w:rsidR="00457729" w:rsidRPr="001A199F" w:rsidRDefault="00457729" w:rsidP="009B1BC4">
            <w:pPr>
              <w:spacing w:after="0" w:line="240" w:lineRule="auto"/>
              <w:jc w:val="left"/>
              <w:rPr>
                <w:rFonts w:eastAsia="Times New Roman" w:cs="Segoe UI"/>
                <w:color w:val="000000"/>
                <w:lang w:eastAsia="cs-CZ"/>
              </w:rPr>
            </w:pPr>
          </w:p>
        </w:tc>
        <w:tc>
          <w:tcPr>
            <w:tcW w:w="2399" w:type="dxa"/>
            <w:shd w:val="clear" w:color="D9EAD3" w:fill="D9EAD3"/>
            <w:hideMark/>
          </w:tcPr>
          <w:p w14:paraId="6B5E616E" w14:textId="77777777" w:rsidR="00457729" w:rsidRPr="001A199F" w:rsidRDefault="00457729" w:rsidP="009B1BC4">
            <w:pPr>
              <w:spacing w:after="0" w:line="240" w:lineRule="auto"/>
              <w:jc w:val="left"/>
              <w:rPr>
                <w:rFonts w:eastAsia="Times New Roman" w:cs="Segoe UI"/>
                <w:color w:val="000000"/>
                <w:lang w:eastAsia="cs-CZ"/>
              </w:rPr>
            </w:pPr>
            <w:r w:rsidRPr="001A199F">
              <w:rPr>
                <w:rFonts w:eastAsia="Times New Roman" w:cs="Segoe UI"/>
                <w:color w:val="000000"/>
                <w:lang w:eastAsia="cs-CZ"/>
              </w:rPr>
              <w:t xml:space="preserve">Článek </w:t>
            </w:r>
            <w:proofErr w:type="gramStart"/>
            <w:r w:rsidRPr="001A199F">
              <w:rPr>
                <w:rFonts w:eastAsia="Times New Roman" w:cs="Segoe UI"/>
                <w:color w:val="000000"/>
                <w:lang w:eastAsia="cs-CZ"/>
              </w:rPr>
              <w:t>56b</w:t>
            </w:r>
            <w:proofErr w:type="gramEnd"/>
            <w:r w:rsidRPr="001A199F">
              <w:rPr>
                <w:rFonts w:eastAsia="Times New Roman" w:cs="Segoe UI"/>
                <w:color w:val="000000"/>
                <w:lang w:eastAsia="cs-CZ"/>
              </w:rPr>
              <w:t xml:space="preserve">, odst. </w:t>
            </w:r>
            <w:proofErr w:type="gramStart"/>
            <w:r w:rsidRPr="001A199F">
              <w:rPr>
                <w:rFonts w:eastAsia="Times New Roman" w:cs="Segoe UI"/>
                <w:color w:val="000000"/>
                <w:lang w:eastAsia="cs-CZ"/>
              </w:rPr>
              <w:t>8a</w:t>
            </w:r>
            <w:proofErr w:type="gramEnd"/>
            <w:r w:rsidRPr="001A199F">
              <w:rPr>
                <w:rFonts w:eastAsia="Times New Roman" w:cs="Segoe UI"/>
                <w:color w:val="000000"/>
                <w:lang w:eastAsia="cs-CZ"/>
              </w:rPr>
              <w:br/>
              <w:t xml:space="preserve">Článek 56c, odst. </w:t>
            </w:r>
            <w:proofErr w:type="gramStart"/>
            <w:r w:rsidRPr="001A199F">
              <w:rPr>
                <w:rFonts w:eastAsia="Times New Roman" w:cs="Segoe UI"/>
                <w:color w:val="000000"/>
                <w:lang w:eastAsia="cs-CZ"/>
              </w:rPr>
              <w:t>7a</w:t>
            </w:r>
            <w:proofErr w:type="gramEnd"/>
          </w:p>
        </w:tc>
        <w:tc>
          <w:tcPr>
            <w:tcW w:w="8930" w:type="dxa"/>
            <w:shd w:val="clear" w:color="D9EAD3" w:fill="D9EAD3"/>
            <w:hideMark/>
          </w:tcPr>
          <w:p w14:paraId="1ECCB7D1" w14:textId="77777777" w:rsidR="00457729" w:rsidRPr="001A199F" w:rsidRDefault="00457729" w:rsidP="009B1BC4">
            <w:pPr>
              <w:spacing w:after="0" w:line="240" w:lineRule="auto"/>
              <w:jc w:val="left"/>
              <w:rPr>
                <w:rFonts w:eastAsia="Times New Roman" w:cs="Segoe UI"/>
                <w:color w:val="000000"/>
                <w:lang w:eastAsia="cs-CZ"/>
              </w:rPr>
            </w:pPr>
            <w:r w:rsidRPr="001A199F">
              <w:rPr>
                <w:rFonts w:eastAsia="Times New Roman" w:cs="Segoe UI"/>
                <w:b/>
                <w:bCs/>
                <w:color w:val="000000"/>
                <w:lang w:eastAsia="cs-CZ"/>
              </w:rPr>
              <w:t>Podpora na námořní přístavy</w:t>
            </w:r>
            <w:r w:rsidRPr="001A199F">
              <w:rPr>
                <w:rFonts w:eastAsia="Times New Roman" w:cs="Segoe UI"/>
                <w:color w:val="000000"/>
                <w:lang w:eastAsia="cs-CZ"/>
              </w:rPr>
              <w:br/>
              <w:t>Omezuje podporu na výstavbu, instalaci nebo modernizaci infrastruktury plnicích stanic dodávající vodík, amoniak a methan tak, aby do uvedeného termínu byl dodáván pouze obnovitelných zdrojů.</w:t>
            </w:r>
            <w:r w:rsidRPr="001A199F">
              <w:rPr>
                <w:rFonts w:eastAsia="Times New Roman" w:cs="Segoe UI"/>
                <w:color w:val="000000"/>
                <w:lang w:eastAsia="cs-CZ"/>
              </w:rPr>
              <w:br/>
            </w:r>
            <w:r w:rsidRPr="001A199F">
              <w:rPr>
                <w:rFonts w:eastAsia="Times New Roman" w:cs="Segoe UI"/>
                <w:b/>
                <w:bCs/>
                <w:color w:val="000000"/>
                <w:lang w:eastAsia="cs-CZ"/>
              </w:rPr>
              <w:t>obdobně i Podpora na vnitrozemské přístavy</w:t>
            </w:r>
          </w:p>
        </w:tc>
      </w:tr>
      <w:tr w:rsidR="00457729" w:rsidRPr="00D109A2" w14:paraId="2CDA5BF1" w14:textId="77777777" w:rsidTr="00457729">
        <w:trPr>
          <w:trHeight w:val="1706"/>
        </w:trPr>
        <w:tc>
          <w:tcPr>
            <w:tcW w:w="2841" w:type="dxa"/>
            <w:vMerge/>
            <w:shd w:val="clear" w:color="D9EAD3" w:fill="D9EAD3"/>
            <w:hideMark/>
          </w:tcPr>
          <w:p w14:paraId="60AB5EB0" w14:textId="77777777" w:rsidR="00457729" w:rsidRPr="001A199F" w:rsidRDefault="00457729" w:rsidP="009B1BC4">
            <w:pPr>
              <w:spacing w:after="0" w:line="240" w:lineRule="auto"/>
              <w:jc w:val="left"/>
              <w:rPr>
                <w:rFonts w:eastAsia="Times New Roman" w:cs="Segoe UI"/>
                <w:color w:val="000000"/>
                <w:lang w:eastAsia="cs-CZ"/>
              </w:rPr>
            </w:pPr>
          </w:p>
        </w:tc>
        <w:tc>
          <w:tcPr>
            <w:tcW w:w="2399" w:type="dxa"/>
            <w:shd w:val="clear" w:color="D9EAD3" w:fill="D9EAD3"/>
            <w:noWrap/>
            <w:hideMark/>
          </w:tcPr>
          <w:p w14:paraId="295C6FAA" w14:textId="77777777" w:rsidR="00457729" w:rsidRPr="001A199F" w:rsidRDefault="00457729" w:rsidP="009B1BC4">
            <w:pPr>
              <w:spacing w:after="0" w:line="240" w:lineRule="auto"/>
              <w:jc w:val="left"/>
              <w:rPr>
                <w:rFonts w:eastAsia="Times New Roman" w:cs="Segoe UI"/>
                <w:color w:val="000000"/>
                <w:lang w:eastAsia="cs-CZ"/>
              </w:rPr>
            </w:pPr>
            <w:r w:rsidRPr="001A199F">
              <w:rPr>
                <w:rFonts w:eastAsia="Times New Roman" w:cs="Segoe UI"/>
                <w:color w:val="000000"/>
                <w:lang w:eastAsia="cs-CZ"/>
              </w:rPr>
              <w:t xml:space="preserve">Článek 56e, odst. 4, písm. b, v) </w:t>
            </w:r>
          </w:p>
        </w:tc>
        <w:tc>
          <w:tcPr>
            <w:tcW w:w="8930" w:type="dxa"/>
            <w:shd w:val="clear" w:color="D9EAD3" w:fill="D9EAD3"/>
            <w:hideMark/>
          </w:tcPr>
          <w:p w14:paraId="5A348B8C" w14:textId="77777777" w:rsidR="00457729" w:rsidRPr="001A199F" w:rsidRDefault="00457729" w:rsidP="009B1BC4">
            <w:pPr>
              <w:spacing w:after="0" w:line="240" w:lineRule="auto"/>
              <w:jc w:val="left"/>
              <w:rPr>
                <w:rFonts w:eastAsia="Times New Roman" w:cs="Segoe UI"/>
                <w:color w:val="000000"/>
                <w:lang w:eastAsia="cs-CZ"/>
              </w:rPr>
            </w:pPr>
            <w:r w:rsidRPr="001A199F">
              <w:rPr>
                <w:rFonts w:eastAsia="Times New Roman" w:cs="Segoe UI"/>
                <w:b/>
                <w:bCs/>
                <w:color w:val="000000"/>
                <w:lang w:eastAsia="cs-CZ"/>
              </w:rPr>
              <w:t xml:space="preserve">Podmínky pro podporu obsaženou ve finančních produktech podporovaných z Fondu </w:t>
            </w:r>
            <w:proofErr w:type="spellStart"/>
            <w:r w:rsidRPr="001A199F">
              <w:rPr>
                <w:rFonts w:eastAsia="Times New Roman" w:cs="Segoe UI"/>
                <w:b/>
                <w:bCs/>
                <w:color w:val="000000"/>
                <w:lang w:eastAsia="cs-CZ"/>
              </w:rPr>
              <w:t>InvestEU</w:t>
            </w:r>
            <w:proofErr w:type="spellEnd"/>
            <w:r w:rsidRPr="001A199F">
              <w:rPr>
                <w:rFonts w:eastAsia="Times New Roman" w:cs="Segoe UI"/>
                <w:color w:val="000000"/>
                <w:lang w:eastAsia="cs-CZ"/>
              </w:rPr>
              <w:br/>
              <w:t>V případě zařízení vyrábějících biopaliva se podpora poskytuje pouze pro zařízení vyrábějící biopaliva, která splňují kritéria udržitelnosti a úspor emisí skleníkových plynů.</w:t>
            </w:r>
          </w:p>
        </w:tc>
      </w:tr>
      <w:tr w:rsidR="00457729" w:rsidRPr="00D109A2" w14:paraId="073C336E" w14:textId="77777777" w:rsidTr="00457729">
        <w:trPr>
          <w:trHeight w:val="2251"/>
        </w:trPr>
        <w:tc>
          <w:tcPr>
            <w:tcW w:w="2841" w:type="dxa"/>
            <w:vMerge/>
            <w:shd w:val="clear" w:color="D9EAD3" w:fill="D9EAD3"/>
            <w:hideMark/>
          </w:tcPr>
          <w:p w14:paraId="5005FD79" w14:textId="77777777" w:rsidR="00457729" w:rsidRPr="001A199F" w:rsidRDefault="00457729" w:rsidP="009B1BC4">
            <w:pPr>
              <w:spacing w:after="0" w:line="240" w:lineRule="auto"/>
              <w:jc w:val="left"/>
              <w:rPr>
                <w:rFonts w:eastAsia="Times New Roman" w:cs="Segoe UI"/>
                <w:color w:val="000000"/>
                <w:lang w:eastAsia="cs-CZ"/>
              </w:rPr>
            </w:pPr>
          </w:p>
        </w:tc>
        <w:tc>
          <w:tcPr>
            <w:tcW w:w="2399" w:type="dxa"/>
            <w:shd w:val="clear" w:color="D9EAD3" w:fill="D9EAD3"/>
            <w:noWrap/>
            <w:hideMark/>
          </w:tcPr>
          <w:p w14:paraId="10D9EB65" w14:textId="77777777" w:rsidR="00457729" w:rsidRPr="001A199F" w:rsidRDefault="00457729" w:rsidP="009B1BC4">
            <w:pPr>
              <w:spacing w:after="0" w:line="240" w:lineRule="auto"/>
              <w:jc w:val="left"/>
              <w:rPr>
                <w:rFonts w:eastAsia="Times New Roman" w:cs="Segoe UI"/>
                <w:color w:val="000000"/>
                <w:lang w:eastAsia="cs-CZ"/>
              </w:rPr>
            </w:pPr>
            <w:r w:rsidRPr="001A199F">
              <w:rPr>
                <w:rFonts w:eastAsia="Times New Roman" w:cs="Segoe UI"/>
                <w:color w:val="000000"/>
                <w:lang w:eastAsia="cs-CZ"/>
              </w:rPr>
              <w:t xml:space="preserve">Článek 56e, odst. 6, písm. a, v) </w:t>
            </w:r>
          </w:p>
        </w:tc>
        <w:tc>
          <w:tcPr>
            <w:tcW w:w="8930" w:type="dxa"/>
            <w:shd w:val="clear" w:color="D9EAD3" w:fill="D9EAD3"/>
            <w:hideMark/>
          </w:tcPr>
          <w:p w14:paraId="13282C67" w14:textId="77777777" w:rsidR="00457729" w:rsidRPr="001A199F" w:rsidRDefault="00457729" w:rsidP="009B1BC4">
            <w:pPr>
              <w:spacing w:after="0" w:line="240" w:lineRule="auto"/>
              <w:jc w:val="left"/>
              <w:rPr>
                <w:rFonts w:eastAsia="Times New Roman" w:cs="Segoe UI"/>
                <w:color w:val="000000"/>
                <w:lang w:eastAsia="cs-CZ"/>
              </w:rPr>
            </w:pPr>
            <w:r w:rsidRPr="001A199F">
              <w:rPr>
                <w:rFonts w:eastAsia="Times New Roman" w:cs="Segoe UI"/>
                <w:b/>
                <w:bCs/>
                <w:color w:val="000000"/>
                <w:lang w:eastAsia="cs-CZ"/>
              </w:rPr>
              <w:t xml:space="preserve">Podmínky pro podporu obsaženou ve finančních produktech podporovaných z Fondu </w:t>
            </w:r>
            <w:proofErr w:type="spellStart"/>
            <w:r w:rsidRPr="001A199F">
              <w:rPr>
                <w:rFonts w:eastAsia="Times New Roman" w:cs="Segoe UI"/>
                <w:b/>
                <w:bCs/>
                <w:color w:val="000000"/>
                <w:lang w:eastAsia="cs-CZ"/>
              </w:rPr>
              <w:t>InvestEU</w:t>
            </w:r>
            <w:proofErr w:type="spellEnd"/>
            <w:r w:rsidRPr="001A199F">
              <w:rPr>
                <w:rFonts w:eastAsia="Times New Roman" w:cs="Segoe UI"/>
                <w:color w:val="000000"/>
                <w:lang w:eastAsia="cs-CZ"/>
              </w:rPr>
              <w:br/>
              <w:t>Podporu na dopravu a dopravní infrastrukturu nelze poskytnout na výstavbu, instalaci nebo modernizaci infrastruktury plnicích stanic dodávající plavidlům fosilní paliva, jako je nafta, zemní plyn v plynné formě (stlačený zemní plyn (CNG)) a ve zkapalněné formě (zkapalněný zemní plyn (LNG)) a zkapalněný ropný plyn (LPG).</w:t>
            </w:r>
          </w:p>
        </w:tc>
      </w:tr>
      <w:tr w:rsidR="00457729" w:rsidRPr="00D109A2" w14:paraId="181E2DEA" w14:textId="77777777" w:rsidTr="00457729">
        <w:trPr>
          <w:trHeight w:val="1925"/>
        </w:trPr>
        <w:tc>
          <w:tcPr>
            <w:tcW w:w="2841" w:type="dxa"/>
            <w:vMerge/>
            <w:shd w:val="clear" w:color="D9EAD3" w:fill="D9EAD3"/>
            <w:hideMark/>
          </w:tcPr>
          <w:p w14:paraId="2B8DA56E" w14:textId="77777777" w:rsidR="00457729" w:rsidRPr="001A199F" w:rsidRDefault="00457729" w:rsidP="009B1BC4">
            <w:pPr>
              <w:spacing w:after="0" w:line="240" w:lineRule="auto"/>
              <w:jc w:val="left"/>
              <w:rPr>
                <w:rFonts w:eastAsia="Times New Roman" w:cs="Segoe UI"/>
                <w:color w:val="000000"/>
                <w:lang w:eastAsia="cs-CZ"/>
              </w:rPr>
            </w:pPr>
          </w:p>
        </w:tc>
        <w:tc>
          <w:tcPr>
            <w:tcW w:w="2399" w:type="dxa"/>
            <w:shd w:val="clear" w:color="D9EAD3" w:fill="D9EAD3"/>
            <w:noWrap/>
            <w:hideMark/>
          </w:tcPr>
          <w:p w14:paraId="741035B7" w14:textId="271584A1" w:rsidR="00457729" w:rsidRPr="001A199F" w:rsidRDefault="00457729" w:rsidP="009B1BC4">
            <w:pPr>
              <w:spacing w:after="0" w:line="240" w:lineRule="auto"/>
              <w:jc w:val="left"/>
              <w:rPr>
                <w:rFonts w:eastAsia="Times New Roman" w:cs="Segoe UI"/>
                <w:color w:val="000000"/>
                <w:lang w:eastAsia="cs-CZ"/>
              </w:rPr>
            </w:pPr>
            <w:r w:rsidRPr="001A199F">
              <w:rPr>
                <w:rFonts w:eastAsia="Times New Roman" w:cs="Segoe UI"/>
                <w:color w:val="000000"/>
                <w:lang w:eastAsia="cs-CZ"/>
              </w:rPr>
              <w:t xml:space="preserve">Článek 56e, odst. 6, písm. b, </w:t>
            </w:r>
            <w:proofErr w:type="spellStart"/>
            <w:r w:rsidRPr="001A199F">
              <w:rPr>
                <w:rFonts w:eastAsia="Times New Roman" w:cs="Segoe UI"/>
                <w:color w:val="000000"/>
                <w:lang w:eastAsia="cs-CZ"/>
              </w:rPr>
              <w:t>iii</w:t>
            </w:r>
            <w:proofErr w:type="spellEnd"/>
            <w:r w:rsidRPr="001A199F">
              <w:rPr>
                <w:rFonts w:eastAsia="Times New Roman" w:cs="Segoe UI"/>
                <w:color w:val="000000"/>
                <w:lang w:eastAsia="cs-CZ"/>
              </w:rPr>
              <w:t>),</w:t>
            </w:r>
            <w:r w:rsidR="00FB2A0F">
              <w:rPr>
                <w:rFonts w:eastAsia="Times New Roman" w:cs="Segoe UI"/>
                <w:color w:val="000000"/>
                <w:lang w:eastAsia="cs-CZ"/>
              </w:rPr>
              <w:t xml:space="preserve"> </w:t>
            </w:r>
            <w:proofErr w:type="spellStart"/>
            <w:r w:rsidRPr="001A199F">
              <w:rPr>
                <w:rFonts w:eastAsia="Times New Roman" w:cs="Segoe UI"/>
                <w:color w:val="000000"/>
                <w:lang w:eastAsia="cs-CZ"/>
              </w:rPr>
              <w:t>iv</w:t>
            </w:r>
            <w:proofErr w:type="spellEnd"/>
            <w:r w:rsidRPr="001A199F">
              <w:rPr>
                <w:rFonts w:eastAsia="Times New Roman" w:cs="Segoe UI"/>
                <w:color w:val="000000"/>
                <w:lang w:eastAsia="cs-CZ"/>
              </w:rPr>
              <w:t xml:space="preserve">) </w:t>
            </w:r>
          </w:p>
        </w:tc>
        <w:tc>
          <w:tcPr>
            <w:tcW w:w="8930" w:type="dxa"/>
            <w:shd w:val="clear" w:color="D9EAD3" w:fill="D9EAD3"/>
            <w:hideMark/>
          </w:tcPr>
          <w:p w14:paraId="2CE995A2" w14:textId="77777777" w:rsidR="00457729" w:rsidRPr="001A199F" w:rsidRDefault="00457729" w:rsidP="009B1BC4">
            <w:pPr>
              <w:spacing w:after="0" w:line="240" w:lineRule="auto"/>
              <w:jc w:val="left"/>
              <w:rPr>
                <w:rFonts w:eastAsia="Times New Roman" w:cs="Segoe UI"/>
                <w:color w:val="000000"/>
                <w:lang w:eastAsia="cs-CZ"/>
              </w:rPr>
            </w:pPr>
            <w:r w:rsidRPr="001A199F">
              <w:rPr>
                <w:rFonts w:eastAsia="Times New Roman" w:cs="Segoe UI"/>
                <w:b/>
                <w:bCs/>
                <w:color w:val="000000"/>
                <w:lang w:eastAsia="cs-CZ"/>
              </w:rPr>
              <w:t xml:space="preserve">Podmínky pro podporu obsaženou ve finančních produktech podporovaných z Fondu </w:t>
            </w:r>
            <w:proofErr w:type="spellStart"/>
            <w:r w:rsidRPr="001A199F">
              <w:rPr>
                <w:rFonts w:eastAsia="Times New Roman" w:cs="Segoe UI"/>
                <w:b/>
                <w:bCs/>
                <w:color w:val="000000"/>
                <w:lang w:eastAsia="cs-CZ"/>
              </w:rPr>
              <w:t>InvestEU</w:t>
            </w:r>
            <w:proofErr w:type="spellEnd"/>
            <w:r w:rsidRPr="001A199F">
              <w:rPr>
                <w:rFonts w:eastAsia="Times New Roman" w:cs="Segoe UI"/>
                <w:color w:val="000000"/>
                <w:lang w:eastAsia="cs-CZ"/>
              </w:rPr>
              <w:br/>
              <w:t xml:space="preserve">Podpora není poskytována na </w:t>
            </w:r>
            <w:proofErr w:type="spellStart"/>
            <w:r w:rsidRPr="001A199F">
              <w:rPr>
                <w:rFonts w:eastAsia="Times New Roman" w:cs="Segoe UI"/>
                <w:color w:val="000000"/>
                <w:lang w:eastAsia="cs-CZ"/>
              </w:rPr>
              <w:t>superstruktury</w:t>
            </w:r>
            <w:proofErr w:type="spellEnd"/>
            <w:r w:rsidRPr="001A199F">
              <w:rPr>
                <w:rFonts w:eastAsia="Times New Roman" w:cs="Segoe UI"/>
                <w:color w:val="000000"/>
                <w:lang w:eastAsia="cs-CZ"/>
              </w:rPr>
              <w:t xml:space="preserve">. Udává závazek obdobný jako v Článku </w:t>
            </w:r>
            <w:proofErr w:type="gramStart"/>
            <w:r w:rsidRPr="001A199F">
              <w:rPr>
                <w:rFonts w:eastAsia="Times New Roman" w:cs="Segoe UI"/>
                <w:color w:val="000000"/>
                <w:lang w:eastAsia="cs-CZ"/>
              </w:rPr>
              <w:t>56b</w:t>
            </w:r>
            <w:proofErr w:type="gramEnd"/>
            <w:r w:rsidRPr="001A199F">
              <w:rPr>
                <w:rFonts w:eastAsia="Times New Roman" w:cs="Segoe UI"/>
                <w:color w:val="000000"/>
                <w:lang w:eastAsia="cs-CZ"/>
              </w:rPr>
              <w:t xml:space="preserve"> a 56c výše.</w:t>
            </w:r>
          </w:p>
        </w:tc>
      </w:tr>
      <w:tr w:rsidR="00457729" w:rsidRPr="00D109A2" w14:paraId="64732647" w14:textId="77777777" w:rsidTr="00457729">
        <w:trPr>
          <w:trHeight w:val="1774"/>
        </w:trPr>
        <w:tc>
          <w:tcPr>
            <w:tcW w:w="2841" w:type="dxa"/>
            <w:vMerge/>
            <w:shd w:val="clear" w:color="D9EAD3" w:fill="D9EAD3"/>
            <w:hideMark/>
          </w:tcPr>
          <w:p w14:paraId="58D4171D" w14:textId="77777777" w:rsidR="00457729" w:rsidRPr="001A199F" w:rsidRDefault="00457729" w:rsidP="009B1BC4">
            <w:pPr>
              <w:spacing w:after="0" w:line="240" w:lineRule="auto"/>
              <w:jc w:val="left"/>
              <w:rPr>
                <w:rFonts w:eastAsia="Times New Roman" w:cs="Segoe UI"/>
                <w:color w:val="000000"/>
                <w:lang w:eastAsia="cs-CZ"/>
              </w:rPr>
            </w:pPr>
          </w:p>
        </w:tc>
        <w:tc>
          <w:tcPr>
            <w:tcW w:w="2399" w:type="dxa"/>
            <w:shd w:val="clear" w:color="D9EAD3" w:fill="D9EAD3"/>
            <w:noWrap/>
            <w:hideMark/>
          </w:tcPr>
          <w:p w14:paraId="5B879AB6" w14:textId="77777777" w:rsidR="00457729" w:rsidRPr="001A199F" w:rsidRDefault="00457729" w:rsidP="009B1BC4">
            <w:pPr>
              <w:spacing w:after="0" w:line="240" w:lineRule="auto"/>
              <w:jc w:val="left"/>
              <w:rPr>
                <w:rFonts w:eastAsia="Times New Roman" w:cs="Segoe UI"/>
                <w:color w:val="000000"/>
                <w:lang w:eastAsia="cs-CZ"/>
              </w:rPr>
            </w:pPr>
            <w:r w:rsidRPr="001A199F">
              <w:rPr>
                <w:rFonts w:eastAsia="Times New Roman" w:cs="Segoe UI"/>
                <w:color w:val="000000"/>
                <w:lang w:eastAsia="cs-CZ"/>
              </w:rPr>
              <w:t xml:space="preserve">Článek 56e, odst. 8, písm. a), i), </w:t>
            </w:r>
            <w:proofErr w:type="spellStart"/>
            <w:r w:rsidRPr="001A199F">
              <w:rPr>
                <w:rFonts w:eastAsia="Times New Roman" w:cs="Segoe UI"/>
                <w:color w:val="000000"/>
                <w:lang w:eastAsia="cs-CZ"/>
              </w:rPr>
              <w:t>ii</w:t>
            </w:r>
            <w:proofErr w:type="spellEnd"/>
            <w:r w:rsidRPr="001A199F">
              <w:rPr>
                <w:rFonts w:eastAsia="Times New Roman" w:cs="Segoe UI"/>
                <w:color w:val="000000"/>
                <w:lang w:eastAsia="cs-CZ"/>
              </w:rPr>
              <w:t xml:space="preserve">), </w:t>
            </w:r>
            <w:proofErr w:type="spellStart"/>
            <w:r w:rsidRPr="001A199F">
              <w:rPr>
                <w:rFonts w:eastAsia="Times New Roman" w:cs="Segoe UI"/>
                <w:color w:val="000000"/>
                <w:lang w:eastAsia="cs-CZ"/>
              </w:rPr>
              <w:t>iii</w:t>
            </w:r>
            <w:proofErr w:type="spellEnd"/>
            <w:r w:rsidRPr="001A199F">
              <w:rPr>
                <w:rFonts w:eastAsia="Times New Roman" w:cs="Segoe UI"/>
                <w:color w:val="000000"/>
                <w:lang w:eastAsia="cs-CZ"/>
              </w:rPr>
              <w:t>)</w:t>
            </w:r>
          </w:p>
        </w:tc>
        <w:tc>
          <w:tcPr>
            <w:tcW w:w="8930" w:type="dxa"/>
            <w:shd w:val="clear" w:color="D9EAD3" w:fill="D9EAD3"/>
            <w:hideMark/>
          </w:tcPr>
          <w:p w14:paraId="7C471686" w14:textId="77777777" w:rsidR="00457729" w:rsidRDefault="00457729" w:rsidP="009B1BC4">
            <w:pPr>
              <w:spacing w:after="0" w:line="240" w:lineRule="auto"/>
              <w:jc w:val="left"/>
              <w:rPr>
                <w:rFonts w:eastAsia="Times New Roman" w:cs="Segoe UI"/>
                <w:color w:val="000000"/>
                <w:lang w:eastAsia="cs-CZ"/>
              </w:rPr>
            </w:pPr>
            <w:r w:rsidRPr="001A199F">
              <w:rPr>
                <w:rFonts w:eastAsia="Times New Roman" w:cs="Segoe UI"/>
                <w:b/>
                <w:bCs/>
                <w:color w:val="000000"/>
                <w:lang w:eastAsia="cs-CZ"/>
              </w:rPr>
              <w:t xml:space="preserve">Podmínky pro podporu obsaženou ve finančních produktech podporovaných z Fondu </w:t>
            </w:r>
            <w:proofErr w:type="spellStart"/>
            <w:r w:rsidRPr="001A199F">
              <w:rPr>
                <w:rFonts w:eastAsia="Times New Roman" w:cs="Segoe UI"/>
                <w:b/>
                <w:bCs/>
                <w:color w:val="000000"/>
                <w:lang w:eastAsia="cs-CZ"/>
              </w:rPr>
              <w:t>InvestEU</w:t>
            </w:r>
            <w:proofErr w:type="spellEnd"/>
            <w:r w:rsidRPr="001A199F">
              <w:rPr>
                <w:rFonts w:eastAsia="Times New Roman" w:cs="Segoe UI"/>
                <w:color w:val="000000"/>
                <w:lang w:eastAsia="cs-CZ"/>
              </w:rPr>
              <w:br/>
            </w:r>
          </w:p>
          <w:p w14:paraId="4E380DC9" w14:textId="77777777" w:rsidR="00457729" w:rsidRPr="00DE32A5" w:rsidRDefault="00457729" w:rsidP="009B1BC4">
            <w:pPr>
              <w:spacing w:after="0" w:line="240" w:lineRule="auto"/>
              <w:jc w:val="left"/>
              <w:rPr>
                <w:rFonts w:eastAsia="Times New Roman" w:cs="Segoe UI"/>
                <w:color w:val="000000"/>
                <w:lang w:eastAsia="cs-CZ"/>
              </w:rPr>
            </w:pPr>
            <w:r w:rsidRPr="00DE32A5">
              <w:rPr>
                <w:rFonts w:eastAsia="Times New Roman" w:cs="Segoe UI"/>
                <w:color w:val="000000"/>
                <w:lang w:eastAsia="cs-CZ"/>
              </w:rPr>
              <w:t xml:space="preserve">Podpora na ochranu životního prostředí, včetně ochrany klimatu, splňuje tyto podmínky: </w:t>
            </w:r>
          </w:p>
          <w:p w14:paraId="5775C2A4" w14:textId="77777777" w:rsidR="00457729" w:rsidRDefault="00457729" w:rsidP="009B1BC4">
            <w:pPr>
              <w:spacing w:after="0" w:line="240" w:lineRule="auto"/>
              <w:jc w:val="left"/>
              <w:rPr>
                <w:rFonts w:eastAsia="Times New Roman" w:cs="Segoe UI"/>
                <w:color w:val="000000"/>
                <w:lang w:eastAsia="cs-CZ"/>
              </w:rPr>
            </w:pPr>
          </w:p>
          <w:p w14:paraId="5BB8F9A0" w14:textId="77777777" w:rsidR="00457729" w:rsidRPr="00DE32A5" w:rsidRDefault="00457729" w:rsidP="009B1BC4">
            <w:pPr>
              <w:spacing w:after="0" w:line="240" w:lineRule="auto"/>
              <w:jc w:val="left"/>
              <w:rPr>
                <w:rFonts w:eastAsia="Times New Roman" w:cs="Segoe UI"/>
                <w:color w:val="000000"/>
                <w:lang w:eastAsia="cs-CZ"/>
              </w:rPr>
            </w:pPr>
            <w:r w:rsidRPr="00DE32A5">
              <w:rPr>
                <w:rFonts w:eastAsia="Times New Roman" w:cs="Segoe UI"/>
                <w:color w:val="000000"/>
                <w:lang w:eastAsia="cs-CZ"/>
              </w:rPr>
              <w:t xml:space="preserve">a) podpora se poskytuje pouze na tyto projekty: </w:t>
            </w:r>
          </w:p>
          <w:p w14:paraId="624D461D" w14:textId="77777777" w:rsidR="00457729" w:rsidRDefault="00457729" w:rsidP="009B1BC4">
            <w:pPr>
              <w:spacing w:after="0" w:line="240" w:lineRule="auto"/>
              <w:jc w:val="left"/>
              <w:rPr>
                <w:rFonts w:eastAsia="Times New Roman" w:cs="Segoe UI"/>
                <w:color w:val="000000"/>
                <w:lang w:eastAsia="cs-CZ"/>
              </w:rPr>
            </w:pPr>
          </w:p>
          <w:p w14:paraId="4987C251" w14:textId="77777777" w:rsidR="00457729" w:rsidRPr="00DE32A5" w:rsidRDefault="00457729" w:rsidP="009B1BC4">
            <w:pPr>
              <w:spacing w:after="0" w:line="240" w:lineRule="auto"/>
              <w:jc w:val="left"/>
              <w:rPr>
                <w:rFonts w:eastAsia="Times New Roman" w:cs="Segoe UI"/>
                <w:color w:val="000000"/>
                <w:lang w:eastAsia="cs-CZ"/>
              </w:rPr>
            </w:pPr>
            <w:r w:rsidRPr="00DE32A5">
              <w:rPr>
                <w:rFonts w:eastAsia="Times New Roman" w:cs="Segoe UI"/>
                <w:color w:val="000000"/>
                <w:lang w:eastAsia="cs-CZ"/>
              </w:rPr>
              <w:t xml:space="preserve">i) investice, které podnikům umožní odstranit nebo zamezit poškození fyzického přírodního prostředí (včetně změny klimatu) nebo přírodních zdrojů vlastní činností příjemce nebo činností jiného subjektu, který se účastní téhož projektu, za předpokladu, že i) investice se netýkají vybavení, strojů nebo průmyslových výrobních zařízení, jež využívají fosilní paliva, včetně zemního plynu, aniž je dotčena možnost poskytnout podporu na instalaci doplňkových složek, které zlepšují úroveň ochrany životního prostředí, u stávajícího vybavení, strojů a průmyslových výrobních zařízení, přičemž v takovém případě investiční náklady nesmí souviset se zařízeními emitujícími CO 2 , a </w:t>
            </w:r>
            <w:proofErr w:type="spellStart"/>
            <w:r w:rsidRPr="00DE32A5">
              <w:rPr>
                <w:rFonts w:eastAsia="Times New Roman" w:cs="Segoe UI"/>
                <w:color w:val="000000"/>
                <w:lang w:eastAsia="cs-CZ"/>
              </w:rPr>
              <w:t>ii</w:t>
            </w:r>
            <w:proofErr w:type="spellEnd"/>
            <w:r w:rsidRPr="00DE32A5">
              <w:rPr>
                <w:rFonts w:eastAsia="Times New Roman" w:cs="Segoe UI"/>
                <w:color w:val="000000"/>
                <w:lang w:eastAsia="cs-CZ"/>
              </w:rPr>
              <w:t xml:space="preserve">) v případě investic do vybavení, strojů a průmyslových výrobních zařízení využívajících vodík se příjemce musí </w:t>
            </w:r>
            <w:r w:rsidRPr="00DE32A5">
              <w:rPr>
                <w:rFonts w:eastAsia="Times New Roman" w:cs="Segoe UI"/>
                <w:color w:val="000000"/>
                <w:lang w:eastAsia="cs-CZ"/>
              </w:rPr>
              <w:lastRenderedPageBreak/>
              <w:t xml:space="preserve">zavázat, že bude po celou dobu životnosti investice používat výhradně vodík z obnovitelných zdrojů. Podporu podle tohoto bodu nelze poskytnout na investice, jejichž realizací má být dosaženo splnění norem Unie, které již byly schváleny, s výjimkou případů, kdy je investice realizována a dokončena nejméně osmnáct měsíců před tím, než daná norma </w:t>
            </w:r>
            <w:proofErr w:type="gramStart"/>
            <w:r w:rsidRPr="00DE32A5">
              <w:rPr>
                <w:rFonts w:eastAsia="Times New Roman" w:cs="Segoe UI"/>
                <w:color w:val="000000"/>
                <w:lang w:eastAsia="cs-CZ"/>
              </w:rPr>
              <w:t>nabyde</w:t>
            </w:r>
            <w:proofErr w:type="gramEnd"/>
            <w:r w:rsidRPr="00DE32A5">
              <w:rPr>
                <w:rFonts w:eastAsia="Times New Roman" w:cs="Segoe UI"/>
                <w:color w:val="000000"/>
                <w:lang w:eastAsia="cs-CZ"/>
              </w:rPr>
              <w:t xml:space="preserve"> účinnosti;</w:t>
            </w:r>
          </w:p>
          <w:p w14:paraId="783679F6" w14:textId="77777777" w:rsidR="00457729" w:rsidRPr="00DE32A5" w:rsidRDefault="00457729" w:rsidP="009B1BC4">
            <w:pPr>
              <w:spacing w:after="0" w:line="240" w:lineRule="auto"/>
              <w:jc w:val="left"/>
              <w:rPr>
                <w:rFonts w:eastAsia="Times New Roman" w:cs="Segoe UI"/>
                <w:color w:val="000000"/>
                <w:lang w:eastAsia="cs-CZ"/>
              </w:rPr>
            </w:pPr>
          </w:p>
          <w:p w14:paraId="5CF1B8B8" w14:textId="77777777" w:rsidR="00457729" w:rsidRDefault="00457729" w:rsidP="009B1BC4">
            <w:pPr>
              <w:spacing w:after="0" w:line="240" w:lineRule="auto"/>
              <w:jc w:val="left"/>
              <w:rPr>
                <w:rFonts w:eastAsia="Times New Roman" w:cs="Segoe UI"/>
                <w:b/>
                <w:bCs/>
                <w:color w:val="000000"/>
                <w:lang w:eastAsia="cs-CZ"/>
              </w:rPr>
            </w:pPr>
            <w:proofErr w:type="spellStart"/>
            <w:r w:rsidRPr="00DE32A5">
              <w:rPr>
                <w:rFonts w:eastAsia="Times New Roman" w:cs="Segoe UI"/>
                <w:color w:val="000000"/>
                <w:lang w:eastAsia="cs-CZ"/>
              </w:rPr>
              <w:t>ii</w:t>
            </w:r>
            <w:proofErr w:type="spellEnd"/>
            <w:r w:rsidRPr="00DE32A5">
              <w:rPr>
                <w:rFonts w:eastAsia="Times New Roman" w:cs="Segoe UI"/>
                <w:color w:val="000000"/>
                <w:lang w:eastAsia="cs-CZ"/>
              </w:rPr>
              <w:t xml:space="preserve">) opatření ke zvýšení energetické účinnosti budovy nebo podniku, pokud se investice netýkají vybavení, strojů nebo průmyslové výroby využívající fosilní paliva, včetně zemního plynu. Podporu podle tohoto bodu nelze poskytnout na investice, jejichž realizací má být dosaženo splnění norem Unie, které již byly schváleny, s výjimkou případů, kdy je investice realizována a dokončena nejméně osmnáct měsíců před tím, než daná norma </w:t>
            </w:r>
            <w:proofErr w:type="gramStart"/>
            <w:r w:rsidRPr="00DE32A5">
              <w:rPr>
                <w:rFonts w:eastAsia="Times New Roman" w:cs="Segoe UI"/>
                <w:color w:val="000000"/>
                <w:lang w:eastAsia="cs-CZ"/>
              </w:rPr>
              <w:t>nabyde</w:t>
            </w:r>
            <w:proofErr w:type="gramEnd"/>
            <w:r w:rsidRPr="00DE32A5">
              <w:rPr>
                <w:rFonts w:eastAsia="Times New Roman" w:cs="Segoe UI"/>
                <w:color w:val="000000"/>
                <w:lang w:eastAsia="cs-CZ"/>
              </w:rPr>
              <w:t xml:space="preserve"> účinnosti. Odchylně lze podporu podle tohoto bodu poskytnout na investice do budov, jejichž realizací má být dosaženo splnění minimálních norem energetické náročnosti, které lze považovat za normy Unie, pokud je podpora poskytnuta před tím, než se tyto normy stanou pro dotčený podnik závaznými; </w:t>
            </w:r>
          </w:p>
          <w:p w14:paraId="4048497A" w14:textId="77777777" w:rsidR="00457729" w:rsidRPr="00DE32A5" w:rsidRDefault="00457729" w:rsidP="009B1BC4">
            <w:pPr>
              <w:spacing w:after="0" w:line="240" w:lineRule="auto"/>
              <w:jc w:val="left"/>
              <w:rPr>
                <w:rFonts w:eastAsia="Times New Roman" w:cs="Segoe UI"/>
                <w:color w:val="000000"/>
                <w:lang w:eastAsia="cs-CZ"/>
              </w:rPr>
            </w:pPr>
          </w:p>
          <w:p w14:paraId="3037B6F8" w14:textId="77777777" w:rsidR="00457729" w:rsidRPr="001A199F" w:rsidRDefault="00457729" w:rsidP="009B1BC4">
            <w:pPr>
              <w:spacing w:after="0" w:line="240" w:lineRule="auto"/>
              <w:jc w:val="left"/>
              <w:rPr>
                <w:rFonts w:eastAsia="Times New Roman" w:cs="Segoe UI"/>
                <w:color w:val="000000"/>
                <w:lang w:eastAsia="cs-CZ"/>
              </w:rPr>
            </w:pPr>
            <w:proofErr w:type="spellStart"/>
            <w:r w:rsidRPr="00DE32A5">
              <w:rPr>
                <w:rFonts w:eastAsia="Times New Roman" w:cs="Segoe UI"/>
                <w:color w:val="000000"/>
                <w:lang w:eastAsia="cs-CZ"/>
              </w:rPr>
              <w:t>iii</w:t>
            </w:r>
            <w:proofErr w:type="spellEnd"/>
            <w:r w:rsidRPr="00DE32A5">
              <w:rPr>
                <w:rFonts w:eastAsia="Times New Roman" w:cs="Segoe UI"/>
                <w:color w:val="000000"/>
                <w:lang w:eastAsia="cs-CZ"/>
              </w:rPr>
              <w:t>) sanace kontaminovaných lokalit, pokud není zjištěna právnická nebo fyzická osoba, která je podle platných právních předpisů odpovědná za vzniklou škodu na životním prostředí, v souladu se zásadou „znečišťovatel platí“, jak je uvedeno v čl. 45 odst. 3;</w:t>
            </w:r>
          </w:p>
        </w:tc>
      </w:tr>
      <w:tr w:rsidR="00457729" w:rsidRPr="00D109A2" w14:paraId="12CAF739" w14:textId="77777777" w:rsidTr="00457729">
        <w:trPr>
          <w:trHeight w:val="1774"/>
        </w:trPr>
        <w:tc>
          <w:tcPr>
            <w:tcW w:w="2841" w:type="dxa"/>
            <w:vMerge/>
            <w:shd w:val="clear" w:color="D9EAD3" w:fill="D9EAD3"/>
            <w:hideMark/>
          </w:tcPr>
          <w:p w14:paraId="309057FF" w14:textId="77777777" w:rsidR="00457729" w:rsidRPr="001A199F" w:rsidRDefault="00457729" w:rsidP="009B1BC4">
            <w:pPr>
              <w:spacing w:after="0" w:line="240" w:lineRule="auto"/>
              <w:jc w:val="left"/>
              <w:rPr>
                <w:rFonts w:eastAsia="Times New Roman" w:cs="Segoe UI"/>
                <w:color w:val="000000"/>
                <w:lang w:eastAsia="cs-CZ"/>
              </w:rPr>
            </w:pPr>
          </w:p>
        </w:tc>
        <w:tc>
          <w:tcPr>
            <w:tcW w:w="2399" w:type="dxa"/>
            <w:shd w:val="clear" w:color="D9EAD3" w:fill="D9EAD3"/>
            <w:noWrap/>
            <w:hideMark/>
          </w:tcPr>
          <w:p w14:paraId="2C8CA230" w14:textId="77777777" w:rsidR="00457729" w:rsidRPr="001A199F" w:rsidRDefault="00457729" w:rsidP="009B1BC4">
            <w:pPr>
              <w:spacing w:after="0" w:line="240" w:lineRule="auto"/>
              <w:jc w:val="left"/>
              <w:rPr>
                <w:rFonts w:eastAsia="Times New Roman" w:cs="Segoe UI"/>
                <w:color w:val="000000"/>
                <w:lang w:eastAsia="cs-CZ"/>
              </w:rPr>
            </w:pPr>
            <w:r w:rsidRPr="001A199F">
              <w:rPr>
                <w:rFonts w:eastAsia="Times New Roman" w:cs="Segoe UI"/>
                <w:color w:val="000000"/>
                <w:lang w:eastAsia="cs-CZ"/>
              </w:rPr>
              <w:t>Článek 56e, odst. 8, písm.</w:t>
            </w:r>
            <w:r>
              <w:rPr>
                <w:rFonts w:eastAsia="Times New Roman" w:cs="Segoe UI"/>
                <w:color w:val="000000"/>
                <w:lang w:eastAsia="cs-CZ"/>
              </w:rPr>
              <w:t xml:space="preserve"> </w:t>
            </w:r>
            <w:r w:rsidRPr="001A199F">
              <w:rPr>
                <w:rFonts w:eastAsia="Times New Roman" w:cs="Segoe UI"/>
                <w:color w:val="000000"/>
                <w:lang w:eastAsia="cs-CZ"/>
              </w:rPr>
              <w:t>b</w:t>
            </w:r>
            <w:r>
              <w:rPr>
                <w:rFonts w:eastAsia="Times New Roman" w:cs="Segoe UI"/>
                <w:color w:val="000000"/>
                <w:lang w:eastAsia="cs-CZ"/>
              </w:rPr>
              <w:t>)</w:t>
            </w:r>
          </w:p>
        </w:tc>
        <w:tc>
          <w:tcPr>
            <w:tcW w:w="8930" w:type="dxa"/>
            <w:shd w:val="clear" w:color="D9EAD3" w:fill="D9EAD3"/>
            <w:hideMark/>
          </w:tcPr>
          <w:p w14:paraId="2A36C908" w14:textId="77777777" w:rsidR="00457729" w:rsidRPr="001A199F" w:rsidRDefault="00457729" w:rsidP="009B1BC4">
            <w:pPr>
              <w:spacing w:after="0" w:line="240" w:lineRule="auto"/>
              <w:jc w:val="left"/>
              <w:rPr>
                <w:rFonts w:eastAsia="Times New Roman" w:cs="Segoe UI"/>
                <w:color w:val="000000"/>
                <w:lang w:eastAsia="cs-CZ"/>
              </w:rPr>
            </w:pPr>
            <w:r w:rsidRPr="001A199F">
              <w:rPr>
                <w:rFonts w:eastAsia="Times New Roman" w:cs="Segoe UI"/>
                <w:b/>
                <w:bCs/>
                <w:color w:val="000000"/>
                <w:lang w:eastAsia="cs-CZ"/>
              </w:rPr>
              <w:t xml:space="preserve">Podmínky pro podporu obsaženou ve finančních produktech podporovaných z Fondu </w:t>
            </w:r>
            <w:proofErr w:type="spellStart"/>
            <w:r w:rsidRPr="001A199F">
              <w:rPr>
                <w:rFonts w:eastAsia="Times New Roman" w:cs="Segoe UI"/>
                <w:b/>
                <w:bCs/>
                <w:color w:val="000000"/>
                <w:lang w:eastAsia="cs-CZ"/>
              </w:rPr>
              <w:t>InvestEU</w:t>
            </w:r>
            <w:proofErr w:type="spellEnd"/>
            <w:r w:rsidRPr="001A199F">
              <w:rPr>
                <w:rFonts w:eastAsia="Times New Roman" w:cs="Segoe UI"/>
                <w:color w:val="000000"/>
                <w:lang w:eastAsia="cs-CZ"/>
              </w:rPr>
              <w:br/>
              <w:t>Podpory směřující na zvýšení energetické účinnosti budovy nesmí podporovat instalaci energetických zařízení využívajících fosilní paliva, včetně zemního plynu.</w:t>
            </w:r>
          </w:p>
        </w:tc>
      </w:tr>
      <w:tr w:rsidR="00457729" w:rsidRPr="00D109A2" w14:paraId="55D2E1B0" w14:textId="77777777" w:rsidTr="00457729">
        <w:trPr>
          <w:trHeight w:val="2106"/>
        </w:trPr>
        <w:tc>
          <w:tcPr>
            <w:tcW w:w="2841" w:type="dxa"/>
            <w:vMerge w:val="restart"/>
            <w:shd w:val="clear" w:color="B6D7A8" w:fill="B6D7A8"/>
            <w:hideMark/>
          </w:tcPr>
          <w:p w14:paraId="0F7B0BD8" w14:textId="77777777" w:rsidR="00457729" w:rsidRPr="007739CF" w:rsidRDefault="00457729" w:rsidP="009B1BC4">
            <w:pPr>
              <w:spacing w:after="0" w:line="240" w:lineRule="auto"/>
              <w:jc w:val="left"/>
              <w:rPr>
                <w:rFonts w:eastAsia="Times New Roman" w:cs="Segoe UI"/>
                <w:b/>
                <w:bCs/>
                <w:color w:val="000000"/>
                <w:lang w:eastAsia="cs-CZ"/>
              </w:rPr>
            </w:pPr>
            <w:hyperlink r:id="rId181" w:history="1">
              <w:r w:rsidRPr="007739CF">
                <w:rPr>
                  <w:rStyle w:val="Hypertextovodkaz"/>
                  <w:rFonts w:eastAsia="Times New Roman" w:cs="Segoe UI"/>
                  <w:b/>
                  <w:bCs/>
                  <w:lang w:eastAsia="cs-CZ"/>
                </w:rPr>
                <w:t>Pokyny ke státní podpoře na klima, ochranu životního prostředí a energetiku (CEEAG)</w:t>
              </w:r>
              <w:r w:rsidRPr="007739CF">
                <w:rPr>
                  <w:rStyle w:val="Hypertextovodkaz"/>
                  <w:rFonts w:eastAsia="Times New Roman" w:cs="Segoe UI"/>
                  <w:lang w:eastAsia="cs-CZ"/>
                </w:rPr>
                <w:br/>
                <w:t>(2022/C 80/01)</w:t>
              </w:r>
            </w:hyperlink>
          </w:p>
          <w:p w14:paraId="7E82118A" w14:textId="77777777" w:rsidR="00457729" w:rsidRPr="001A199F" w:rsidRDefault="00457729" w:rsidP="009B1BC4">
            <w:pPr>
              <w:spacing w:after="0" w:line="240" w:lineRule="auto"/>
              <w:jc w:val="left"/>
              <w:rPr>
                <w:rFonts w:eastAsia="Times New Roman" w:cs="Segoe UI"/>
                <w:color w:val="000000"/>
                <w:lang w:eastAsia="cs-CZ"/>
              </w:rPr>
            </w:pPr>
            <w:r w:rsidRPr="001A199F">
              <w:rPr>
                <w:rFonts w:eastAsia="Times New Roman" w:cs="Segoe UI"/>
                <w:b/>
                <w:bCs/>
                <w:color w:val="000000"/>
                <w:lang w:eastAsia="cs-CZ"/>
              </w:rPr>
              <w:t xml:space="preserve"> </w:t>
            </w:r>
          </w:p>
        </w:tc>
        <w:tc>
          <w:tcPr>
            <w:tcW w:w="2399" w:type="dxa"/>
            <w:shd w:val="clear" w:color="B6D7A8" w:fill="B6D7A8"/>
            <w:noWrap/>
            <w:hideMark/>
          </w:tcPr>
          <w:p w14:paraId="5EE7E48D" w14:textId="77777777" w:rsidR="00457729" w:rsidRPr="001A199F" w:rsidRDefault="00457729" w:rsidP="009B1BC4">
            <w:pPr>
              <w:spacing w:after="0" w:line="240" w:lineRule="auto"/>
              <w:jc w:val="left"/>
              <w:rPr>
                <w:rFonts w:eastAsia="Times New Roman" w:cs="Segoe UI"/>
                <w:color w:val="000000"/>
                <w:lang w:eastAsia="cs-CZ"/>
              </w:rPr>
            </w:pPr>
          </w:p>
        </w:tc>
        <w:tc>
          <w:tcPr>
            <w:tcW w:w="8930" w:type="dxa"/>
            <w:shd w:val="clear" w:color="B6D7A8" w:fill="B6D7A8"/>
            <w:hideMark/>
          </w:tcPr>
          <w:p w14:paraId="0137D429" w14:textId="77777777" w:rsidR="00457729" w:rsidRPr="001A199F" w:rsidRDefault="00457729" w:rsidP="009B1BC4">
            <w:pPr>
              <w:spacing w:after="0" w:line="240" w:lineRule="auto"/>
              <w:jc w:val="left"/>
              <w:rPr>
                <w:rFonts w:eastAsia="Times New Roman" w:cs="Segoe UI"/>
                <w:color w:val="000000"/>
                <w:lang w:eastAsia="cs-CZ"/>
              </w:rPr>
            </w:pPr>
          </w:p>
        </w:tc>
      </w:tr>
      <w:tr w:rsidR="00457729" w:rsidRPr="00D109A2" w14:paraId="1FF23A56" w14:textId="77777777" w:rsidTr="00457729">
        <w:trPr>
          <w:trHeight w:val="2541"/>
        </w:trPr>
        <w:tc>
          <w:tcPr>
            <w:tcW w:w="2841" w:type="dxa"/>
            <w:vMerge/>
            <w:shd w:val="clear" w:color="B6D7A8" w:fill="B6D7A8"/>
          </w:tcPr>
          <w:p w14:paraId="16291101" w14:textId="77777777" w:rsidR="00457729" w:rsidRPr="001A199F" w:rsidRDefault="00457729" w:rsidP="009B1BC4">
            <w:pPr>
              <w:spacing w:after="0" w:line="240" w:lineRule="auto"/>
              <w:jc w:val="left"/>
              <w:rPr>
                <w:rFonts w:eastAsia="Times New Roman" w:cs="Segoe UI"/>
                <w:color w:val="000000"/>
                <w:lang w:eastAsia="cs-CZ"/>
              </w:rPr>
            </w:pPr>
          </w:p>
        </w:tc>
        <w:tc>
          <w:tcPr>
            <w:tcW w:w="2399" w:type="dxa"/>
            <w:shd w:val="clear" w:color="B6D7A8" w:fill="B6D7A8"/>
            <w:noWrap/>
          </w:tcPr>
          <w:p w14:paraId="407E202A" w14:textId="77777777" w:rsidR="00457729" w:rsidRPr="001A199F" w:rsidRDefault="00457729" w:rsidP="009B1BC4">
            <w:pPr>
              <w:spacing w:after="0" w:line="240" w:lineRule="auto"/>
              <w:jc w:val="left"/>
              <w:rPr>
                <w:rFonts w:eastAsia="Times New Roman" w:cs="Segoe UI"/>
                <w:color w:val="000000"/>
                <w:lang w:eastAsia="cs-CZ"/>
              </w:rPr>
            </w:pPr>
            <w:r w:rsidRPr="001A199F">
              <w:rPr>
                <w:rFonts w:eastAsia="Times New Roman" w:cs="Segoe UI"/>
                <w:color w:val="000000"/>
                <w:lang w:eastAsia="cs-CZ"/>
              </w:rPr>
              <w:t>Oddíl 3.1, odst. 2</w:t>
            </w:r>
            <w:r>
              <w:rPr>
                <w:rFonts w:eastAsia="Times New Roman" w:cs="Segoe UI"/>
                <w:color w:val="000000"/>
                <w:lang w:eastAsia="cs-CZ"/>
              </w:rPr>
              <w:t>5</w:t>
            </w:r>
          </w:p>
        </w:tc>
        <w:tc>
          <w:tcPr>
            <w:tcW w:w="8930" w:type="dxa"/>
            <w:shd w:val="clear" w:color="B6D7A8" w:fill="B6D7A8"/>
          </w:tcPr>
          <w:p w14:paraId="41A4CC11" w14:textId="77777777" w:rsidR="00457729" w:rsidRPr="00CC12A6" w:rsidRDefault="00457729" w:rsidP="009B1BC4">
            <w:pPr>
              <w:spacing w:after="0" w:line="240" w:lineRule="auto"/>
              <w:jc w:val="left"/>
              <w:rPr>
                <w:rFonts w:eastAsia="Times New Roman" w:cs="Segoe UI"/>
                <w:b/>
                <w:bCs/>
                <w:color w:val="000000"/>
                <w:lang w:eastAsia="cs-CZ"/>
              </w:rPr>
            </w:pPr>
            <w:r w:rsidRPr="00CC12A6">
              <w:rPr>
                <w:rFonts w:eastAsia="Times New Roman" w:cs="Segoe UI"/>
                <w:b/>
                <w:bCs/>
                <w:color w:val="000000"/>
                <w:lang w:eastAsia="cs-CZ"/>
              </w:rPr>
              <w:t>Pozitivní podmínka: podpora musí usnadňovat rozvoj určité hospodářské činnosti</w:t>
            </w:r>
          </w:p>
          <w:p w14:paraId="6A3575B9" w14:textId="77777777" w:rsidR="00457729" w:rsidRPr="001A199F" w:rsidRDefault="00457729" w:rsidP="009B1BC4">
            <w:pPr>
              <w:spacing w:after="0" w:line="240" w:lineRule="auto"/>
              <w:jc w:val="left"/>
              <w:rPr>
                <w:rFonts w:eastAsia="Times New Roman" w:cs="Segoe UI"/>
                <w:b/>
                <w:bCs/>
                <w:color w:val="000000"/>
                <w:lang w:eastAsia="cs-CZ"/>
              </w:rPr>
            </w:pPr>
            <w:r w:rsidRPr="00CC12A6">
              <w:rPr>
                <w:rFonts w:eastAsia="Times New Roman" w:cs="Segoe UI"/>
                <w:color w:val="000000"/>
                <w:lang w:eastAsia="cs-CZ"/>
              </w:rPr>
              <w:t>Členské státy musí popsat, zda a jak podpora přispěje k dosažení cílů politiky Unie v oblasti klimatu, politiky v oblasti životního prostředí a energetické politiky, konkrétněji očekávané přínosy podpory z hlediska jejího podstatného přispění k ochraně životního prostředí včetně zmírňování změny klimatu nebo účinného fungování vnitřního trhu s energií.</w:t>
            </w:r>
          </w:p>
        </w:tc>
      </w:tr>
      <w:tr w:rsidR="00457729" w:rsidRPr="00D109A2" w14:paraId="7D95661F" w14:textId="77777777" w:rsidTr="00457729">
        <w:trPr>
          <w:trHeight w:val="2541"/>
        </w:trPr>
        <w:tc>
          <w:tcPr>
            <w:tcW w:w="2841" w:type="dxa"/>
            <w:vMerge/>
            <w:shd w:val="clear" w:color="B6D7A8" w:fill="B6D7A8"/>
            <w:hideMark/>
          </w:tcPr>
          <w:p w14:paraId="2AB4BFF3" w14:textId="77777777" w:rsidR="00457729" w:rsidRPr="001A199F" w:rsidRDefault="00457729" w:rsidP="009B1BC4">
            <w:pPr>
              <w:spacing w:after="0" w:line="240" w:lineRule="auto"/>
              <w:jc w:val="left"/>
              <w:rPr>
                <w:rFonts w:eastAsia="Times New Roman" w:cs="Segoe UI"/>
                <w:color w:val="000000"/>
                <w:lang w:eastAsia="cs-CZ"/>
              </w:rPr>
            </w:pPr>
          </w:p>
        </w:tc>
        <w:tc>
          <w:tcPr>
            <w:tcW w:w="2399" w:type="dxa"/>
            <w:shd w:val="clear" w:color="B6D7A8" w:fill="B6D7A8"/>
            <w:noWrap/>
            <w:hideMark/>
          </w:tcPr>
          <w:p w14:paraId="7334846C" w14:textId="77777777" w:rsidR="00457729" w:rsidRPr="001A199F" w:rsidRDefault="00457729" w:rsidP="009B1BC4">
            <w:pPr>
              <w:spacing w:after="0" w:line="240" w:lineRule="auto"/>
              <w:jc w:val="left"/>
              <w:rPr>
                <w:rFonts w:eastAsia="Times New Roman" w:cs="Segoe UI"/>
                <w:color w:val="000000"/>
                <w:lang w:eastAsia="cs-CZ"/>
              </w:rPr>
            </w:pPr>
            <w:r w:rsidRPr="001A199F">
              <w:rPr>
                <w:rFonts w:eastAsia="Times New Roman" w:cs="Segoe UI"/>
                <w:color w:val="000000"/>
                <w:lang w:eastAsia="cs-CZ"/>
              </w:rPr>
              <w:t>Oddíl 3.2</w:t>
            </w:r>
          </w:p>
        </w:tc>
        <w:tc>
          <w:tcPr>
            <w:tcW w:w="8930" w:type="dxa"/>
            <w:shd w:val="clear" w:color="B6D7A8" w:fill="B6D7A8"/>
            <w:hideMark/>
          </w:tcPr>
          <w:p w14:paraId="40C91773" w14:textId="77777777" w:rsidR="00457729" w:rsidRPr="001A199F" w:rsidRDefault="00457729" w:rsidP="009B1BC4">
            <w:pPr>
              <w:spacing w:after="0" w:line="240" w:lineRule="auto"/>
              <w:jc w:val="left"/>
              <w:rPr>
                <w:rFonts w:eastAsia="Times New Roman" w:cs="Segoe UI"/>
                <w:color w:val="000000"/>
                <w:lang w:eastAsia="cs-CZ"/>
              </w:rPr>
            </w:pPr>
            <w:r w:rsidRPr="001A199F">
              <w:rPr>
                <w:rFonts w:eastAsia="Times New Roman" w:cs="Segoe UI"/>
                <w:b/>
                <w:bCs/>
                <w:color w:val="000000"/>
                <w:lang w:eastAsia="cs-CZ"/>
              </w:rPr>
              <w:t>Negativní podmínka: opatření podpory nesmí nadměrně ovlivňovat podmínky obchodu v takové míře, jež by byla v rozporu se společným zájmem</w:t>
            </w:r>
            <w:r w:rsidRPr="001A199F">
              <w:rPr>
                <w:rFonts w:eastAsia="Times New Roman" w:cs="Segoe UI"/>
                <w:color w:val="000000"/>
                <w:lang w:eastAsia="cs-CZ"/>
              </w:rPr>
              <w:br/>
              <w:t>Daný členský stát by měl identifikovat selhání trhu, která brání dosažení dostatečné úrovně ochrany životního prostředí nebo účinnému fungování vnitřního trhu s energií. Upřesňuje hlavní selhání trhu týkající se ochrany životního prostředí a energetiky, která mohou zabránit optimálnímu výsledku a mohou vyvolat i výsledek neúčinný.</w:t>
            </w:r>
          </w:p>
        </w:tc>
      </w:tr>
      <w:tr w:rsidR="00457729" w:rsidRPr="00D109A2" w14:paraId="36FBDDD0" w14:textId="77777777" w:rsidTr="00457729">
        <w:trPr>
          <w:trHeight w:val="2614"/>
        </w:trPr>
        <w:tc>
          <w:tcPr>
            <w:tcW w:w="2841" w:type="dxa"/>
            <w:vMerge/>
            <w:shd w:val="clear" w:color="B6D7A8" w:fill="B6D7A8"/>
            <w:hideMark/>
          </w:tcPr>
          <w:p w14:paraId="677BC12D" w14:textId="77777777" w:rsidR="00457729" w:rsidRPr="001A199F" w:rsidRDefault="00457729" w:rsidP="009B1BC4">
            <w:pPr>
              <w:spacing w:after="0" w:line="240" w:lineRule="auto"/>
              <w:jc w:val="left"/>
              <w:rPr>
                <w:rFonts w:eastAsia="Times New Roman" w:cs="Segoe UI"/>
                <w:color w:val="000000"/>
                <w:lang w:eastAsia="cs-CZ"/>
              </w:rPr>
            </w:pPr>
          </w:p>
        </w:tc>
        <w:tc>
          <w:tcPr>
            <w:tcW w:w="2399" w:type="dxa"/>
            <w:shd w:val="clear" w:color="B6D7A8" w:fill="B6D7A8"/>
            <w:noWrap/>
            <w:hideMark/>
          </w:tcPr>
          <w:p w14:paraId="11AEB664" w14:textId="77777777" w:rsidR="00457729" w:rsidRPr="001A199F" w:rsidRDefault="00457729" w:rsidP="009B1BC4">
            <w:pPr>
              <w:spacing w:after="0" w:line="240" w:lineRule="auto"/>
              <w:jc w:val="left"/>
              <w:rPr>
                <w:rFonts w:eastAsia="Times New Roman" w:cs="Segoe UI"/>
                <w:color w:val="000000"/>
                <w:lang w:eastAsia="cs-CZ"/>
              </w:rPr>
            </w:pPr>
            <w:r w:rsidRPr="001A199F">
              <w:rPr>
                <w:rFonts w:eastAsia="Times New Roman" w:cs="Segoe UI"/>
                <w:color w:val="000000"/>
                <w:lang w:eastAsia="cs-CZ"/>
              </w:rPr>
              <w:t>Oddíl 3.2, pododdíl 3.2.2., odst. 67 a 69</w:t>
            </w:r>
          </w:p>
        </w:tc>
        <w:tc>
          <w:tcPr>
            <w:tcW w:w="8930" w:type="dxa"/>
            <w:shd w:val="clear" w:color="B6D7A8" w:fill="B6D7A8"/>
            <w:hideMark/>
          </w:tcPr>
          <w:p w14:paraId="7697C20A" w14:textId="77777777" w:rsidR="00457729" w:rsidRPr="001A199F" w:rsidRDefault="00457729" w:rsidP="009B1BC4">
            <w:pPr>
              <w:spacing w:after="0" w:line="240" w:lineRule="auto"/>
              <w:jc w:val="left"/>
              <w:rPr>
                <w:rFonts w:eastAsia="Times New Roman" w:cs="Segoe UI"/>
                <w:color w:val="000000"/>
                <w:lang w:eastAsia="cs-CZ"/>
              </w:rPr>
            </w:pPr>
            <w:r w:rsidRPr="001A199F">
              <w:rPr>
                <w:rFonts w:eastAsia="Times New Roman" w:cs="Segoe UI"/>
                <w:b/>
                <w:bCs/>
                <w:color w:val="000000"/>
                <w:lang w:eastAsia="cs-CZ"/>
              </w:rPr>
              <w:t>Zamezení nežádoucím negativním účinkům na hospodářskou soutěž a obchod</w:t>
            </w:r>
            <w:r w:rsidRPr="001A199F">
              <w:rPr>
                <w:rFonts w:eastAsia="Times New Roman" w:cs="Segoe UI"/>
                <w:b/>
                <w:bCs/>
                <w:color w:val="000000"/>
                <w:lang w:eastAsia="cs-CZ"/>
              </w:rPr>
              <w:br/>
            </w:r>
            <w:r w:rsidRPr="001A199F">
              <w:rPr>
                <w:rFonts w:eastAsia="Times New Roman" w:cs="Segoe UI"/>
                <w:color w:val="000000"/>
                <w:lang w:eastAsia="cs-CZ"/>
              </w:rPr>
              <w:t>Zabývá se možným narušováním výrobkových trhů podporou, která bude směřovat méně efektivním a méně inovativním výrobcům a tím bude oslabovat ty více inovativní, kteří by v dlouhodobém hledisku mohli mít svými aktivitami větší pozitivní dopad na životní prostředí. Může mít také dopad na obchod a volbu umístění. Podpora, která má zachovat hospodářskou činnost v jednom regionu nebo ji odlákat z jiných regionů v rámci vnitřního trhu, může přesunout činnosti nebo investice z jednoho regionu do druhého, aniž by měla jakýkoli čistý dopad na životní prostředí. Komise ověří, zda podpora nemá zjevně negativní účinky na hospodářskou soutěž a obchod. Za slučitelnou s vnitřním trhem nebude například považována podpora na dosažení cílů v oblasti životního prostředí a energetiky, která vede k pouhé změně umístění hospodářské činnosti, aniž by zvyšovala stávající úroveň ochrany životního prostředí v členských státech.</w:t>
            </w:r>
          </w:p>
        </w:tc>
      </w:tr>
      <w:tr w:rsidR="00457729" w:rsidRPr="00D109A2" w14:paraId="6FA20C9B" w14:textId="77777777" w:rsidTr="00457729">
        <w:trPr>
          <w:trHeight w:val="4255"/>
        </w:trPr>
        <w:tc>
          <w:tcPr>
            <w:tcW w:w="2841" w:type="dxa"/>
            <w:vMerge/>
            <w:shd w:val="clear" w:color="B6D7A8" w:fill="B6D7A8"/>
            <w:hideMark/>
          </w:tcPr>
          <w:p w14:paraId="777948DB" w14:textId="77777777" w:rsidR="00457729" w:rsidRPr="001A199F" w:rsidRDefault="00457729" w:rsidP="009B1BC4">
            <w:pPr>
              <w:spacing w:after="0" w:line="240" w:lineRule="auto"/>
              <w:jc w:val="left"/>
              <w:rPr>
                <w:rFonts w:eastAsia="Times New Roman" w:cs="Segoe UI"/>
                <w:color w:val="000000"/>
                <w:lang w:eastAsia="cs-CZ"/>
              </w:rPr>
            </w:pPr>
          </w:p>
        </w:tc>
        <w:tc>
          <w:tcPr>
            <w:tcW w:w="2399" w:type="dxa"/>
            <w:shd w:val="clear" w:color="B6D7A8" w:fill="B6D7A8"/>
            <w:hideMark/>
          </w:tcPr>
          <w:p w14:paraId="02ECE0AA" w14:textId="77777777" w:rsidR="00457729" w:rsidRPr="001A199F" w:rsidRDefault="00457729" w:rsidP="009B1BC4">
            <w:pPr>
              <w:spacing w:after="0" w:line="240" w:lineRule="auto"/>
              <w:jc w:val="left"/>
              <w:rPr>
                <w:rFonts w:eastAsia="Times New Roman" w:cs="Segoe UI"/>
                <w:color w:val="000000"/>
                <w:lang w:eastAsia="cs-CZ"/>
              </w:rPr>
            </w:pPr>
            <w:r w:rsidRPr="001A199F">
              <w:rPr>
                <w:rFonts w:eastAsia="Times New Roman" w:cs="Segoe UI"/>
                <w:color w:val="000000"/>
                <w:lang w:eastAsia="cs-CZ"/>
              </w:rPr>
              <w:t>Oddíl 3.3, odst. 71</w:t>
            </w:r>
          </w:p>
        </w:tc>
        <w:tc>
          <w:tcPr>
            <w:tcW w:w="8930" w:type="dxa"/>
            <w:shd w:val="clear" w:color="B6D7A8" w:fill="B6D7A8"/>
            <w:hideMark/>
          </w:tcPr>
          <w:p w14:paraId="54738AD6" w14:textId="77777777" w:rsidR="00457729" w:rsidRPr="001A199F" w:rsidRDefault="00457729" w:rsidP="009B1BC4">
            <w:pPr>
              <w:spacing w:after="0" w:line="240" w:lineRule="auto"/>
              <w:jc w:val="left"/>
              <w:rPr>
                <w:rFonts w:eastAsia="Times New Roman" w:cs="Segoe UI"/>
                <w:color w:val="000000"/>
                <w:lang w:eastAsia="cs-CZ"/>
              </w:rPr>
            </w:pPr>
            <w:r w:rsidRPr="001A199F">
              <w:rPr>
                <w:rFonts w:eastAsia="Times New Roman" w:cs="Segoe UI"/>
                <w:b/>
                <w:bCs/>
                <w:color w:val="000000"/>
                <w:lang w:eastAsia="cs-CZ"/>
              </w:rPr>
              <w:t>Zvažování pozitivních účinků podpory oproti negativním účinkům na hospodářskou soutěž a obchod</w:t>
            </w:r>
            <w:r w:rsidRPr="001A199F">
              <w:rPr>
                <w:rFonts w:eastAsia="Times New Roman" w:cs="Segoe UI"/>
                <w:color w:val="000000"/>
                <w:lang w:eastAsia="cs-CZ"/>
              </w:rPr>
              <w:br/>
            </w:r>
            <w:r w:rsidRPr="009453C4">
              <w:rPr>
                <w:rFonts w:eastAsia="Times New Roman" w:cs="Segoe UI"/>
                <w:color w:val="000000"/>
                <w:lang w:eastAsia="cs-CZ"/>
              </w:rPr>
              <w:t>Komise porovná zjištěné negativní účinky opatření podpory na podmínky hospodářské soutěže a obchodu s pozitivními účinky plánované podpory na podporované hospodářské činnosti, včetně příspěvku podpory k ochraně životního prostředí a cílům energetické politiky a konkrétněji přechodu k činnostem, které jsou udržitelné z hlediska životního prostředí, a k dosažení právně závazných cílů evropského právního rámce pro klima a cílů Unie v oblasti energie a klimatu pro rok 2030.</w:t>
            </w:r>
          </w:p>
        </w:tc>
      </w:tr>
      <w:tr w:rsidR="00457729" w:rsidRPr="00D109A2" w14:paraId="0E52D473" w14:textId="77777777" w:rsidTr="00457729">
        <w:trPr>
          <w:trHeight w:val="3589"/>
        </w:trPr>
        <w:tc>
          <w:tcPr>
            <w:tcW w:w="2841" w:type="dxa"/>
            <w:vMerge/>
            <w:shd w:val="clear" w:color="B6D7A8" w:fill="B6D7A8"/>
          </w:tcPr>
          <w:p w14:paraId="36CA977C" w14:textId="77777777" w:rsidR="00457729" w:rsidRPr="001A199F" w:rsidRDefault="00457729" w:rsidP="009B1BC4">
            <w:pPr>
              <w:spacing w:after="0" w:line="240" w:lineRule="auto"/>
              <w:jc w:val="left"/>
              <w:rPr>
                <w:rFonts w:eastAsia="Times New Roman" w:cs="Segoe UI"/>
                <w:color w:val="000000"/>
                <w:lang w:eastAsia="cs-CZ"/>
              </w:rPr>
            </w:pPr>
          </w:p>
        </w:tc>
        <w:tc>
          <w:tcPr>
            <w:tcW w:w="2399" w:type="dxa"/>
            <w:shd w:val="clear" w:color="B6D7A8" w:fill="B6D7A8"/>
            <w:noWrap/>
          </w:tcPr>
          <w:p w14:paraId="15224F95" w14:textId="77777777" w:rsidR="00457729" w:rsidRPr="001A199F" w:rsidRDefault="00457729" w:rsidP="009B1BC4">
            <w:pPr>
              <w:spacing w:after="0" w:line="240" w:lineRule="auto"/>
              <w:jc w:val="left"/>
              <w:rPr>
                <w:rFonts w:eastAsia="Times New Roman" w:cs="Segoe UI"/>
                <w:color w:val="000000"/>
                <w:lang w:eastAsia="cs-CZ"/>
              </w:rPr>
            </w:pPr>
            <w:r w:rsidRPr="001A199F">
              <w:rPr>
                <w:rFonts w:eastAsia="Times New Roman" w:cs="Segoe UI"/>
                <w:color w:val="000000"/>
                <w:lang w:eastAsia="cs-CZ"/>
              </w:rPr>
              <w:t>Oddíl 3.3, odst. 7</w:t>
            </w:r>
            <w:r>
              <w:rPr>
                <w:rFonts w:eastAsia="Times New Roman" w:cs="Segoe UI"/>
                <w:color w:val="000000"/>
                <w:lang w:eastAsia="cs-CZ"/>
              </w:rPr>
              <w:t>2</w:t>
            </w:r>
          </w:p>
        </w:tc>
        <w:tc>
          <w:tcPr>
            <w:tcW w:w="8930" w:type="dxa"/>
            <w:shd w:val="clear" w:color="B6D7A8" w:fill="B6D7A8"/>
          </w:tcPr>
          <w:p w14:paraId="6053D14E" w14:textId="77777777" w:rsidR="00457729" w:rsidRPr="009453C4" w:rsidRDefault="00457729" w:rsidP="009B1BC4">
            <w:pPr>
              <w:spacing w:after="0" w:line="240" w:lineRule="auto"/>
              <w:jc w:val="left"/>
              <w:rPr>
                <w:rFonts w:eastAsia="Times New Roman" w:cs="Segoe UI"/>
                <w:b/>
                <w:bCs/>
                <w:color w:val="000000"/>
                <w:lang w:eastAsia="cs-CZ"/>
              </w:rPr>
            </w:pPr>
            <w:r w:rsidRPr="001A199F">
              <w:rPr>
                <w:rFonts w:eastAsia="Times New Roman" w:cs="Segoe UI"/>
                <w:b/>
                <w:bCs/>
                <w:color w:val="000000"/>
                <w:lang w:eastAsia="cs-CZ"/>
              </w:rPr>
              <w:t>Zvažování pozitivních účinků podpory oproti negativním účinkům na hospodářskou soutěž a obchod</w:t>
            </w:r>
          </w:p>
          <w:p w14:paraId="0A9196CC" w14:textId="77777777" w:rsidR="00457729" w:rsidRPr="009453C4" w:rsidRDefault="00457729" w:rsidP="009B1BC4">
            <w:pPr>
              <w:spacing w:after="0" w:line="240" w:lineRule="auto"/>
              <w:jc w:val="left"/>
              <w:rPr>
                <w:rFonts w:eastAsia="Times New Roman" w:cs="Segoe UI"/>
                <w:color w:val="000000"/>
                <w:lang w:eastAsia="cs-CZ"/>
              </w:rPr>
            </w:pPr>
            <w:r w:rsidRPr="009453C4">
              <w:rPr>
                <w:rFonts w:eastAsia="Times New Roman" w:cs="Segoe UI"/>
                <w:color w:val="000000"/>
                <w:lang w:eastAsia="cs-CZ"/>
              </w:rPr>
              <w:t>Komise bude při tomto posuzování věnovat zvláštní pozornost článku 3 nařízení (EU) 2020/852 včetně zásady „významně nepoškozovat“ nebo jiným srovnatelným metodikám. Komise při posuzování negativních účinků na hospodářskou soutěž a obchod rovněž v příslušných případech zohlední negativní externality podporované činnosti, pokud takové externality nepříznivě narušují hospodářskou soutěž a obchod mezi členskými státy v míře, která je v rozporu se společným zájmem, tím, že vytvářejí nebo zhoršují neefektivnost trhu, a to především takové externality, které mohou ohrozit dosažení klimatických cílů stanovených v právu Unie.</w:t>
            </w:r>
          </w:p>
        </w:tc>
      </w:tr>
      <w:tr w:rsidR="00457729" w:rsidRPr="00D109A2" w14:paraId="0F74DCB2" w14:textId="77777777" w:rsidTr="00457729">
        <w:trPr>
          <w:trHeight w:val="2820"/>
        </w:trPr>
        <w:tc>
          <w:tcPr>
            <w:tcW w:w="2841" w:type="dxa"/>
            <w:vMerge/>
            <w:shd w:val="clear" w:color="B6D7A8" w:fill="B6D7A8"/>
          </w:tcPr>
          <w:p w14:paraId="1AACE611" w14:textId="77777777" w:rsidR="00457729" w:rsidRPr="001A199F" w:rsidRDefault="00457729" w:rsidP="009B1BC4">
            <w:pPr>
              <w:spacing w:after="0" w:line="240" w:lineRule="auto"/>
              <w:jc w:val="left"/>
              <w:rPr>
                <w:rFonts w:eastAsia="Times New Roman" w:cs="Segoe UI"/>
                <w:color w:val="000000"/>
                <w:lang w:eastAsia="cs-CZ"/>
              </w:rPr>
            </w:pPr>
          </w:p>
        </w:tc>
        <w:tc>
          <w:tcPr>
            <w:tcW w:w="2399" w:type="dxa"/>
            <w:shd w:val="clear" w:color="B6D7A8" w:fill="B6D7A8"/>
            <w:noWrap/>
          </w:tcPr>
          <w:p w14:paraId="7602ED0B" w14:textId="77777777" w:rsidR="00457729" w:rsidRPr="001A199F" w:rsidRDefault="00457729" w:rsidP="009B1BC4">
            <w:pPr>
              <w:spacing w:after="0" w:line="240" w:lineRule="auto"/>
              <w:jc w:val="left"/>
              <w:rPr>
                <w:rFonts w:eastAsia="Times New Roman" w:cs="Segoe UI"/>
                <w:color w:val="000000"/>
                <w:lang w:eastAsia="cs-CZ"/>
              </w:rPr>
            </w:pPr>
            <w:r w:rsidRPr="001A199F">
              <w:rPr>
                <w:rFonts w:eastAsia="Times New Roman" w:cs="Segoe UI"/>
                <w:color w:val="000000"/>
                <w:lang w:eastAsia="cs-CZ"/>
              </w:rPr>
              <w:t>Oddíl 3.3, odst. 73</w:t>
            </w:r>
          </w:p>
        </w:tc>
        <w:tc>
          <w:tcPr>
            <w:tcW w:w="8930" w:type="dxa"/>
            <w:shd w:val="clear" w:color="B6D7A8" w:fill="B6D7A8"/>
          </w:tcPr>
          <w:p w14:paraId="694CBB26" w14:textId="77777777" w:rsidR="00457729" w:rsidRPr="009453C4" w:rsidRDefault="00457729" w:rsidP="009B1BC4">
            <w:pPr>
              <w:spacing w:after="0" w:line="240" w:lineRule="auto"/>
              <w:jc w:val="left"/>
              <w:rPr>
                <w:rFonts w:eastAsia="Times New Roman" w:cs="Segoe UI"/>
                <w:b/>
                <w:bCs/>
                <w:color w:val="000000"/>
                <w:lang w:eastAsia="cs-CZ"/>
              </w:rPr>
            </w:pPr>
            <w:r w:rsidRPr="001A199F">
              <w:rPr>
                <w:rFonts w:eastAsia="Times New Roman" w:cs="Segoe UI"/>
                <w:b/>
                <w:bCs/>
                <w:color w:val="000000"/>
                <w:lang w:eastAsia="cs-CZ"/>
              </w:rPr>
              <w:t>Zvažování pozitivních účinků podpory oproti negativním účinkům na hospodářskou soutěž a obchod</w:t>
            </w:r>
          </w:p>
          <w:p w14:paraId="3FB4A042" w14:textId="77777777" w:rsidR="00457729" w:rsidRPr="009453C4" w:rsidRDefault="00457729" w:rsidP="009B1BC4">
            <w:pPr>
              <w:spacing w:after="0" w:line="240" w:lineRule="auto"/>
              <w:jc w:val="left"/>
              <w:rPr>
                <w:rFonts w:eastAsia="Times New Roman" w:cs="Segoe UI"/>
                <w:color w:val="000000"/>
                <w:lang w:eastAsia="cs-CZ"/>
              </w:rPr>
            </w:pPr>
            <w:r w:rsidRPr="009453C4">
              <w:rPr>
                <w:rFonts w:eastAsia="Times New Roman" w:cs="Segoe UI"/>
                <w:color w:val="000000"/>
                <w:lang w:eastAsia="cs-CZ"/>
              </w:rPr>
              <w:t>Komise bude považovat opatření podpory za slučitelné s vnitřním trhem pouze tehdy, převáží-li pozitivní účinky nad účinky negativními. V případech, kdy navrhované opatření podpory neřeší dobře identifikované selhání trhu vhodným a přiměřeným způsobem, například proto, že přínos je přechodný, zatímco vzniklé narušení je dlouhodobé, jak je uvedeno v bodě 67, negativní rušivé účinky na hospodářskou soutěž většinou převáží nad pozitivními účinky daného opatření. Komise proto pravděpodobně dospěje k závěru, že navrhované opatření podpory je neslučitelné.</w:t>
            </w:r>
          </w:p>
        </w:tc>
      </w:tr>
      <w:tr w:rsidR="00457729" w:rsidRPr="00D109A2" w14:paraId="1B2FDECB" w14:textId="77777777" w:rsidTr="00457729">
        <w:trPr>
          <w:trHeight w:val="3589"/>
        </w:trPr>
        <w:tc>
          <w:tcPr>
            <w:tcW w:w="2841" w:type="dxa"/>
            <w:vMerge/>
            <w:shd w:val="clear" w:color="B6D7A8" w:fill="B6D7A8"/>
            <w:hideMark/>
          </w:tcPr>
          <w:p w14:paraId="11434E8A" w14:textId="77777777" w:rsidR="00457729" w:rsidRPr="001A199F" w:rsidRDefault="00457729" w:rsidP="009B1BC4">
            <w:pPr>
              <w:spacing w:after="0" w:line="240" w:lineRule="auto"/>
              <w:jc w:val="left"/>
              <w:rPr>
                <w:rFonts w:eastAsia="Times New Roman" w:cs="Segoe UI"/>
                <w:color w:val="000000"/>
                <w:lang w:eastAsia="cs-CZ"/>
              </w:rPr>
            </w:pPr>
          </w:p>
        </w:tc>
        <w:tc>
          <w:tcPr>
            <w:tcW w:w="2399" w:type="dxa"/>
            <w:shd w:val="clear" w:color="B6D7A8" w:fill="B6D7A8"/>
            <w:noWrap/>
            <w:hideMark/>
          </w:tcPr>
          <w:p w14:paraId="5E28CE9C" w14:textId="77777777" w:rsidR="00457729" w:rsidRPr="001A199F" w:rsidRDefault="00457729" w:rsidP="009B1BC4">
            <w:pPr>
              <w:spacing w:after="0" w:line="240" w:lineRule="auto"/>
              <w:jc w:val="left"/>
              <w:rPr>
                <w:rFonts w:eastAsia="Times New Roman" w:cs="Segoe UI"/>
                <w:color w:val="000000"/>
                <w:lang w:eastAsia="cs-CZ"/>
              </w:rPr>
            </w:pPr>
            <w:r w:rsidRPr="001A199F">
              <w:rPr>
                <w:rFonts w:eastAsia="Times New Roman" w:cs="Segoe UI"/>
                <w:color w:val="000000"/>
                <w:lang w:eastAsia="cs-CZ"/>
              </w:rPr>
              <w:t>Oddíl 3.3, odst. 74</w:t>
            </w:r>
          </w:p>
        </w:tc>
        <w:tc>
          <w:tcPr>
            <w:tcW w:w="8930" w:type="dxa"/>
            <w:shd w:val="clear" w:color="B6D7A8" w:fill="B6D7A8"/>
            <w:hideMark/>
          </w:tcPr>
          <w:p w14:paraId="5E8B25A4" w14:textId="77777777" w:rsidR="00457729" w:rsidRPr="001A199F" w:rsidRDefault="00457729" w:rsidP="009B1BC4">
            <w:pPr>
              <w:spacing w:after="0" w:line="240" w:lineRule="auto"/>
              <w:jc w:val="left"/>
              <w:rPr>
                <w:rFonts w:eastAsia="Times New Roman" w:cs="Segoe UI"/>
                <w:color w:val="000000"/>
                <w:lang w:eastAsia="cs-CZ"/>
              </w:rPr>
            </w:pPr>
            <w:r w:rsidRPr="001A199F">
              <w:rPr>
                <w:rFonts w:eastAsia="Times New Roman" w:cs="Segoe UI"/>
                <w:b/>
                <w:bCs/>
                <w:color w:val="000000"/>
                <w:lang w:eastAsia="cs-CZ"/>
              </w:rPr>
              <w:t>Fosilní paliva a zemní plyn</w:t>
            </w:r>
            <w:r w:rsidRPr="001A199F">
              <w:rPr>
                <w:rFonts w:eastAsia="Times New Roman" w:cs="Segoe UI"/>
                <w:b/>
                <w:bCs/>
                <w:color w:val="000000"/>
                <w:lang w:eastAsia="cs-CZ"/>
              </w:rPr>
              <w:br/>
            </w:r>
            <w:r w:rsidRPr="001A199F">
              <w:rPr>
                <w:rFonts w:eastAsia="Times New Roman" w:cs="Segoe UI"/>
                <w:color w:val="000000"/>
                <w:lang w:eastAsia="cs-CZ"/>
              </w:rPr>
              <w:t>Opatření, která přímo nebo nepřímo zahrnují podporu fosilních paliv, zejména nejvíce znečišťujících fosilních paliv, pravděpodobně nebudou mít pozitivní účinky na životní prostředí a často mají významné negativní účinky, protože mohou zvýšit negativní environmentální externality na trhu. Totéž platí pro opatření, která zahrnují nové investice do zemního plynu, není-li prokázáno, že dané opatření nevede k ustrnutí na současných technologiích. Obecně je tedy nepravděpodobné, že by při posouzení účinků daného opatření převažovaly pozitivní účinky.</w:t>
            </w:r>
          </w:p>
        </w:tc>
      </w:tr>
      <w:tr w:rsidR="00457729" w:rsidRPr="00D109A2" w14:paraId="40EA25E6" w14:textId="77777777" w:rsidTr="00457729">
        <w:trPr>
          <w:trHeight w:val="2735"/>
        </w:trPr>
        <w:tc>
          <w:tcPr>
            <w:tcW w:w="2841" w:type="dxa"/>
            <w:vMerge/>
            <w:shd w:val="clear" w:color="B6D7A8" w:fill="B6D7A8"/>
            <w:hideMark/>
          </w:tcPr>
          <w:p w14:paraId="1682DFE6" w14:textId="77777777" w:rsidR="00457729" w:rsidRPr="001A199F" w:rsidRDefault="00457729" w:rsidP="009B1BC4">
            <w:pPr>
              <w:spacing w:after="0" w:line="240" w:lineRule="auto"/>
              <w:jc w:val="left"/>
              <w:rPr>
                <w:rFonts w:eastAsia="Times New Roman" w:cs="Segoe UI"/>
                <w:color w:val="000000"/>
                <w:lang w:eastAsia="cs-CZ"/>
              </w:rPr>
            </w:pPr>
          </w:p>
        </w:tc>
        <w:tc>
          <w:tcPr>
            <w:tcW w:w="2399" w:type="dxa"/>
            <w:shd w:val="clear" w:color="B6D7A8" w:fill="B6D7A8"/>
            <w:noWrap/>
            <w:hideMark/>
          </w:tcPr>
          <w:p w14:paraId="35D43F57" w14:textId="77777777" w:rsidR="00457729" w:rsidRPr="001A199F" w:rsidRDefault="00457729" w:rsidP="009B1BC4">
            <w:pPr>
              <w:spacing w:after="0" w:line="240" w:lineRule="auto"/>
              <w:jc w:val="left"/>
              <w:rPr>
                <w:rFonts w:eastAsia="Times New Roman" w:cs="Segoe UI"/>
                <w:color w:val="000000"/>
                <w:lang w:eastAsia="cs-CZ"/>
              </w:rPr>
            </w:pPr>
            <w:r w:rsidRPr="001A199F">
              <w:rPr>
                <w:rFonts w:eastAsia="Times New Roman" w:cs="Segoe UI"/>
                <w:color w:val="000000"/>
                <w:lang w:eastAsia="cs-CZ"/>
              </w:rPr>
              <w:t>Oddíl 4.1, odst. 126-127</w:t>
            </w:r>
          </w:p>
        </w:tc>
        <w:tc>
          <w:tcPr>
            <w:tcW w:w="8930" w:type="dxa"/>
            <w:shd w:val="clear" w:color="B6D7A8" w:fill="B6D7A8"/>
            <w:hideMark/>
          </w:tcPr>
          <w:p w14:paraId="2A8EBCB5" w14:textId="77777777" w:rsidR="00457729" w:rsidRPr="001A199F" w:rsidRDefault="00457729" w:rsidP="009B1BC4">
            <w:pPr>
              <w:spacing w:after="0" w:line="240" w:lineRule="auto"/>
              <w:jc w:val="left"/>
              <w:rPr>
                <w:rFonts w:eastAsia="Times New Roman" w:cs="Segoe UI"/>
                <w:color w:val="000000"/>
                <w:lang w:eastAsia="cs-CZ"/>
              </w:rPr>
            </w:pPr>
            <w:r w:rsidRPr="001A199F">
              <w:rPr>
                <w:rFonts w:eastAsia="Times New Roman" w:cs="Segoe UI"/>
                <w:b/>
                <w:bCs/>
                <w:color w:val="000000"/>
                <w:lang w:eastAsia="cs-CZ"/>
              </w:rPr>
              <w:t>Podpora na snižování a pohlcování emisí skleníkových plynů, včetně podpory obnovitelných energií a energetické účinnosti</w:t>
            </w:r>
            <w:r w:rsidRPr="001A199F">
              <w:rPr>
                <w:rFonts w:eastAsia="Times New Roman" w:cs="Segoe UI"/>
                <w:color w:val="000000"/>
                <w:lang w:eastAsia="cs-CZ"/>
              </w:rPr>
              <w:br/>
              <w:t>Nesmí být poskytovány pobídky pro výrobu energie, která by vytlačila méně znečišťující formy energie. Například pokud je podporována kombinovaná výroba tepla a elektřiny založená na neobnovitelných zdrojích energie, případně je-li podporována výroba energie z biomasy, nesmí u nich být</w:t>
            </w:r>
            <w:r>
              <w:rPr>
                <w:rFonts w:eastAsia="Times New Roman" w:cs="Segoe UI"/>
                <w:color w:val="000000"/>
                <w:lang w:eastAsia="cs-CZ"/>
              </w:rPr>
              <w:t>,</w:t>
            </w:r>
            <w:r w:rsidRPr="001A199F">
              <w:rPr>
                <w:rFonts w:eastAsia="Times New Roman" w:cs="Segoe UI"/>
                <w:color w:val="000000"/>
                <w:lang w:eastAsia="cs-CZ"/>
              </w:rPr>
              <w:t xml:space="preserve"> pokud možno poskytovány pobídky na výrobu elektřiny nebo tepla v době, kdy by to znamenalo omezení obnovitelných zdrojů energie s nulovým znečištěním vzduchu.</w:t>
            </w:r>
          </w:p>
        </w:tc>
      </w:tr>
      <w:tr w:rsidR="00457729" w:rsidRPr="00D109A2" w14:paraId="2CD92A86" w14:textId="77777777" w:rsidTr="00457729">
        <w:trPr>
          <w:trHeight w:val="2151"/>
        </w:trPr>
        <w:tc>
          <w:tcPr>
            <w:tcW w:w="2841" w:type="dxa"/>
            <w:vMerge/>
            <w:shd w:val="clear" w:color="B6D7A8" w:fill="B6D7A8"/>
            <w:hideMark/>
          </w:tcPr>
          <w:p w14:paraId="71BCC098" w14:textId="77777777" w:rsidR="00457729" w:rsidRPr="001A199F" w:rsidRDefault="00457729" w:rsidP="009B1BC4">
            <w:pPr>
              <w:spacing w:after="0" w:line="240" w:lineRule="auto"/>
              <w:jc w:val="left"/>
              <w:rPr>
                <w:rFonts w:eastAsia="Times New Roman" w:cs="Segoe UI"/>
                <w:color w:val="000000"/>
                <w:lang w:eastAsia="cs-CZ"/>
              </w:rPr>
            </w:pPr>
          </w:p>
        </w:tc>
        <w:tc>
          <w:tcPr>
            <w:tcW w:w="2399" w:type="dxa"/>
            <w:shd w:val="clear" w:color="B6D7A8" w:fill="B6D7A8"/>
            <w:noWrap/>
            <w:hideMark/>
          </w:tcPr>
          <w:p w14:paraId="71357177" w14:textId="77777777" w:rsidR="00457729" w:rsidRPr="001A199F" w:rsidRDefault="00457729" w:rsidP="009B1BC4">
            <w:pPr>
              <w:spacing w:after="0" w:line="240" w:lineRule="auto"/>
              <w:jc w:val="left"/>
              <w:rPr>
                <w:rFonts w:eastAsia="Times New Roman" w:cs="Segoe UI"/>
                <w:color w:val="000000"/>
                <w:lang w:eastAsia="cs-CZ"/>
              </w:rPr>
            </w:pPr>
            <w:r w:rsidRPr="001A199F">
              <w:rPr>
                <w:rFonts w:eastAsia="Times New Roman" w:cs="Segoe UI"/>
                <w:color w:val="000000"/>
                <w:lang w:eastAsia="cs-CZ"/>
              </w:rPr>
              <w:t>Oddíl 4.1, odst. 128</w:t>
            </w:r>
          </w:p>
        </w:tc>
        <w:tc>
          <w:tcPr>
            <w:tcW w:w="8930" w:type="dxa"/>
            <w:shd w:val="clear" w:color="B6D7A8" w:fill="B6D7A8"/>
            <w:hideMark/>
          </w:tcPr>
          <w:p w14:paraId="2A4ED1F3" w14:textId="77777777" w:rsidR="00457729" w:rsidRPr="001A199F" w:rsidRDefault="00457729" w:rsidP="009B1BC4">
            <w:pPr>
              <w:spacing w:after="0" w:line="240" w:lineRule="auto"/>
              <w:jc w:val="left"/>
              <w:rPr>
                <w:rFonts w:eastAsia="Times New Roman" w:cs="Segoe UI"/>
                <w:color w:val="000000"/>
                <w:lang w:eastAsia="cs-CZ"/>
              </w:rPr>
            </w:pPr>
            <w:r w:rsidRPr="001A199F">
              <w:rPr>
                <w:rFonts w:eastAsia="Times New Roman" w:cs="Segoe UI"/>
                <w:b/>
                <w:bCs/>
                <w:color w:val="000000"/>
                <w:lang w:eastAsia="cs-CZ"/>
              </w:rPr>
              <w:t>Podpora na snižování a pohlcování emisí skleníkových plynů, včetně podpory obnovitelných energ</w:t>
            </w:r>
            <w:r w:rsidRPr="001A199F">
              <w:rPr>
                <w:rFonts w:eastAsia="Times New Roman" w:cs="Segoe UI"/>
                <w:color w:val="000000"/>
                <w:lang w:eastAsia="cs-CZ"/>
              </w:rPr>
              <w:t>ií</w:t>
            </w:r>
            <w:r w:rsidRPr="001A199F">
              <w:rPr>
                <w:rFonts w:eastAsia="Times New Roman" w:cs="Segoe UI"/>
                <w:b/>
                <w:bCs/>
                <w:color w:val="000000"/>
                <w:lang w:eastAsia="cs-CZ"/>
              </w:rPr>
              <w:t xml:space="preserve"> a energetické účinnosti</w:t>
            </w:r>
            <w:r w:rsidRPr="001A199F">
              <w:rPr>
                <w:rFonts w:eastAsia="Times New Roman" w:cs="Segoe UI"/>
                <w:color w:val="000000"/>
                <w:lang w:eastAsia="cs-CZ"/>
              </w:rPr>
              <w:br/>
              <w:t>Jako negativní jsou vnímána opatření, která podněcují nové investice do energetické nebo průmyslové výroby založené na fosilních palivech způsobujících největší znečištění, jako je uhlí, motorová nafta, lignit, ropa, rašelina a roponosná břidlice, zvyšují negativní environmentální externality na trhu.</w:t>
            </w:r>
          </w:p>
        </w:tc>
      </w:tr>
      <w:tr w:rsidR="00457729" w:rsidRPr="00D109A2" w14:paraId="5BDE71B8" w14:textId="77777777" w:rsidTr="00457729">
        <w:trPr>
          <w:trHeight w:val="2190"/>
        </w:trPr>
        <w:tc>
          <w:tcPr>
            <w:tcW w:w="2841" w:type="dxa"/>
            <w:vMerge/>
            <w:shd w:val="clear" w:color="B6D7A8" w:fill="B6D7A8"/>
            <w:hideMark/>
          </w:tcPr>
          <w:p w14:paraId="224128F4" w14:textId="77777777" w:rsidR="00457729" w:rsidRPr="001A199F" w:rsidRDefault="00457729" w:rsidP="009B1BC4">
            <w:pPr>
              <w:spacing w:after="0" w:line="240" w:lineRule="auto"/>
              <w:jc w:val="left"/>
              <w:rPr>
                <w:rFonts w:eastAsia="Times New Roman" w:cs="Segoe UI"/>
                <w:color w:val="000000"/>
                <w:lang w:eastAsia="cs-CZ"/>
              </w:rPr>
            </w:pPr>
          </w:p>
        </w:tc>
        <w:tc>
          <w:tcPr>
            <w:tcW w:w="2399" w:type="dxa"/>
            <w:shd w:val="clear" w:color="B6D7A8" w:fill="B6D7A8"/>
            <w:noWrap/>
            <w:hideMark/>
          </w:tcPr>
          <w:p w14:paraId="38CCDD0D" w14:textId="77777777" w:rsidR="00457729" w:rsidRPr="001A199F" w:rsidRDefault="00457729" w:rsidP="009B1BC4">
            <w:pPr>
              <w:spacing w:after="0" w:line="240" w:lineRule="auto"/>
              <w:jc w:val="left"/>
              <w:rPr>
                <w:rFonts w:eastAsia="Times New Roman" w:cs="Segoe UI"/>
                <w:color w:val="000000"/>
                <w:lang w:eastAsia="cs-CZ"/>
              </w:rPr>
            </w:pPr>
            <w:r w:rsidRPr="001A199F">
              <w:rPr>
                <w:rFonts w:eastAsia="Times New Roman" w:cs="Segoe UI"/>
                <w:color w:val="000000"/>
                <w:lang w:eastAsia="cs-CZ"/>
              </w:rPr>
              <w:t>Oddíl 4.1, odst. 129</w:t>
            </w:r>
          </w:p>
        </w:tc>
        <w:tc>
          <w:tcPr>
            <w:tcW w:w="8930" w:type="dxa"/>
            <w:shd w:val="clear" w:color="B6D7A8" w:fill="B6D7A8"/>
            <w:hideMark/>
          </w:tcPr>
          <w:p w14:paraId="26490F58" w14:textId="77777777" w:rsidR="00457729" w:rsidRPr="001A199F" w:rsidRDefault="00457729" w:rsidP="009B1BC4">
            <w:pPr>
              <w:spacing w:after="0" w:line="240" w:lineRule="auto"/>
              <w:jc w:val="left"/>
              <w:rPr>
                <w:rFonts w:eastAsia="Times New Roman" w:cs="Segoe UI"/>
                <w:color w:val="000000"/>
                <w:lang w:eastAsia="cs-CZ"/>
              </w:rPr>
            </w:pPr>
            <w:r w:rsidRPr="001A199F">
              <w:rPr>
                <w:rFonts w:eastAsia="Times New Roman" w:cs="Segoe UI"/>
                <w:b/>
                <w:bCs/>
                <w:color w:val="000000"/>
                <w:lang w:eastAsia="cs-CZ"/>
              </w:rPr>
              <w:t>Podpora na snižování a pohlcování emisí skleníkových plynů, včetně podpory obnovitelných energií a energetické účinnosti</w:t>
            </w:r>
            <w:r w:rsidRPr="001A199F">
              <w:rPr>
                <w:rFonts w:eastAsia="Times New Roman" w:cs="Segoe UI"/>
                <w:color w:val="000000"/>
                <w:lang w:eastAsia="cs-CZ"/>
              </w:rPr>
              <w:br/>
              <w:t>Upozorňuje na potřebu vzít v úvahu negativní vlivy využívání zemního plynu z dlouhodobého hlediska.</w:t>
            </w:r>
          </w:p>
        </w:tc>
      </w:tr>
      <w:tr w:rsidR="00457729" w:rsidRPr="00D109A2" w14:paraId="3995D9F4" w14:textId="77777777" w:rsidTr="00457729">
        <w:trPr>
          <w:trHeight w:val="1452"/>
        </w:trPr>
        <w:tc>
          <w:tcPr>
            <w:tcW w:w="2841" w:type="dxa"/>
            <w:vMerge/>
            <w:shd w:val="clear" w:color="B6D7A8" w:fill="B6D7A8"/>
            <w:hideMark/>
          </w:tcPr>
          <w:p w14:paraId="7FBD7602" w14:textId="77777777" w:rsidR="00457729" w:rsidRPr="001A199F" w:rsidRDefault="00457729" w:rsidP="009B1BC4">
            <w:pPr>
              <w:spacing w:after="0" w:line="240" w:lineRule="auto"/>
              <w:jc w:val="left"/>
              <w:rPr>
                <w:rFonts w:eastAsia="Times New Roman" w:cs="Segoe UI"/>
                <w:color w:val="000000"/>
                <w:lang w:eastAsia="cs-CZ"/>
              </w:rPr>
            </w:pPr>
          </w:p>
        </w:tc>
        <w:tc>
          <w:tcPr>
            <w:tcW w:w="2399" w:type="dxa"/>
            <w:shd w:val="clear" w:color="B6D7A8" w:fill="B6D7A8"/>
            <w:noWrap/>
            <w:hideMark/>
          </w:tcPr>
          <w:p w14:paraId="22652696" w14:textId="77777777" w:rsidR="00457729" w:rsidRPr="001A199F" w:rsidRDefault="00457729" w:rsidP="009B1BC4">
            <w:pPr>
              <w:spacing w:after="0" w:line="240" w:lineRule="auto"/>
              <w:jc w:val="left"/>
              <w:rPr>
                <w:rFonts w:eastAsia="Times New Roman" w:cs="Segoe UI"/>
                <w:color w:val="000000"/>
                <w:lang w:eastAsia="cs-CZ"/>
              </w:rPr>
            </w:pPr>
            <w:r w:rsidRPr="001A199F">
              <w:rPr>
                <w:rFonts w:eastAsia="Times New Roman" w:cs="Segoe UI"/>
                <w:color w:val="000000"/>
                <w:lang w:eastAsia="cs-CZ"/>
              </w:rPr>
              <w:t>Oddíl 4.1, odst. 130</w:t>
            </w:r>
          </w:p>
        </w:tc>
        <w:tc>
          <w:tcPr>
            <w:tcW w:w="8930" w:type="dxa"/>
            <w:shd w:val="clear" w:color="B6D7A8" w:fill="B6D7A8"/>
            <w:hideMark/>
          </w:tcPr>
          <w:p w14:paraId="1D8605B6" w14:textId="77777777" w:rsidR="00457729" w:rsidRPr="001A199F" w:rsidRDefault="00457729" w:rsidP="009B1BC4">
            <w:pPr>
              <w:spacing w:after="0" w:line="240" w:lineRule="auto"/>
              <w:jc w:val="left"/>
              <w:rPr>
                <w:rFonts w:eastAsia="Times New Roman" w:cs="Segoe UI"/>
                <w:color w:val="000000"/>
                <w:lang w:eastAsia="cs-CZ"/>
              </w:rPr>
            </w:pPr>
            <w:r w:rsidRPr="001A199F">
              <w:rPr>
                <w:rFonts w:eastAsia="Times New Roman" w:cs="Segoe UI"/>
                <w:b/>
                <w:bCs/>
                <w:color w:val="000000"/>
                <w:lang w:eastAsia="cs-CZ"/>
              </w:rPr>
              <w:t>Podpora na snižování a pohlcování emisí skleníkových plynů, včetně podpory obnovitelných energií a energetické účinnosti</w:t>
            </w:r>
            <w:r w:rsidRPr="001A199F">
              <w:rPr>
                <w:rFonts w:eastAsia="Times New Roman" w:cs="Segoe UI"/>
                <w:b/>
                <w:bCs/>
                <w:color w:val="000000"/>
                <w:lang w:eastAsia="cs-CZ"/>
              </w:rPr>
              <w:br/>
            </w:r>
            <w:r w:rsidRPr="001A199F">
              <w:rPr>
                <w:rFonts w:eastAsia="Times New Roman" w:cs="Segoe UI"/>
                <w:color w:val="000000"/>
                <w:lang w:eastAsia="cs-CZ"/>
              </w:rPr>
              <w:t>Výroba biopaliv z potravinářských a krmných plodin může vytvořit dodatečnou poptávku po půdě a vést k roz</w:t>
            </w:r>
            <w:r w:rsidRPr="001A199F">
              <w:rPr>
                <w:rFonts w:eastAsia="Times New Roman" w:cs="Segoe UI"/>
                <w:color w:val="000000"/>
                <w:lang w:eastAsia="cs-CZ"/>
              </w:rPr>
              <w:softHyphen/>
              <w:t xml:space="preserve">šíření zemědělské půdy do oblastí s velkou zásobou uhlíku, jako jsou lesy, mokřady a rašeliniště, což zapříčiní další emise skleníkových plynů. Z tohoto důvodu se omezuje množství biopaliv, </w:t>
            </w:r>
            <w:proofErr w:type="spellStart"/>
            <w:r w:rsidRPr="001A199F">
              <w:rPr>
                <w:rFonts w:eastAsia="Times New Roman" w:cs="Segoe UI"/>
                <w:color w:val="000000"/>
                <w:lang w:eastAsia="cs-CZ"/>
              </w:rPr>
              <w:t>biokapalin</w:t>
            </w:r>
            <w:proofErr w:type="spellEnd"/>
            <w:r w:rsidRPr="001A199F">
              <w:rPr>
                <w:rFonts w:eastAsia="Times New Roman" w:cs="Segoe UI"/>
                <w:color w:val="000000"/>
                <w:lang w:eastAsia="cs-CZ"/>
              </w:rPr>
              <w:t xml:space="preserve"> a paliva z biomasy na bázi potravinářských a krmných plodin, které se započítává do cílů v oblasti energie z obnovitelných zdrojů. Komise má za to, že některá opatření podpory mohou zhoršit nepřímé negativní exter</w:t>
            </w:r>
            <w:r w:rsidRPr="001A199F">
              <w:rPr>
                <w:rFonts w:eastAsia="Times New Roman" w:cs="Segoe UI"/>
                <w:color w:val="000000"/>
                <w:lang w:eastAsia="cs-CZ"/>
              </w:rPr>
              <w:softHyphen/>
              <w:t xml:space="preserve">nality. </w:t>
            </w:r>
          </w:p>
        </w:tc>
      </w:tr>
      <w:tr w:rsidR="00457729" w:rsidRPr="00D109A2" w14:paraId="15EE5370" w14:textId="77777777" w:rsidTr="00457729">
        <w:trPr>
          <w:trHeight w:val="1737"/>
        </w:trPr>
        <w:tc>
          <w:tcPr>
            <w:tcW w:w="2841" w:type="dxa"/>
            <w:vMerge/>
            <w:shd w:val="clear" w:color="B6D7A8" w:fill="B6D7A8"/>
            <w:hideMark/>
          </w:tcPr>
          <w:p w14:paraId="44D74061" w14:textId="77777777" w:rsidR="00457729" w:rsidRPr="001A199F" w:rsidRDefault="00457729" w:rsidP="009B1BC4">
            <w:pPr>
              <w:spacing w:after="0" w:line="240" w:lineRule="auto"/>
              <w:jc w:val="left"/>
              <w:rPr>
                <w:rFonts w:eastAsia="Times New Roman" w:cs="Segoe UI"/>
                <w:color w:val="000000"/>
                <w:lang w:eastAsia="cs-CZ"/>
              </w:rPr>
            </w:pPr>
          </w:p>
        </w:tc>
        <w:tc>
          <w:tcPr>
            <w:tcW w:w="2399" w:type="dxa"/>
            <w:shd w:val="clear" w:color="B6D7A8" w:fill="B6D7A8"/>
            <w:noWrap/>
            <w:hideMark/>
          </w:tcPr>
          <w:p w14:paraId="10CDA1CF" w14:textId="77777777" w:rsidR="00457729" w:rsidRPr="001A199F" w:rsidRDefault="00457729" w:rsidP="009B1BC4">
            <w:pPr>
              <w:spacing w:after="0" w:line="240" w:lineRule="auto"/>
              <w:jc w:val="left"/>
              <w:rPr>
                <w:rFonts w:eastAsia="Times New Roman" w:cs="Segoe UI"/>
                <w:color w:val="000000"/>
                <w:lang w:eastAsia="cs-CZ"/>
              </w:rPr>
            </w:pPr>
            <w:r w:rsidRPr="001A199F">
              <w:rPr>
                <w:rFonts w:eastAsia="Times New Roman" w:cs="Segoe UI"/>
                <w:color w:val="000000"/>
                <w:lang w:eastAsia="cs-CZ"/>
              </w:rPr>
              <w:t>Oddíl 4.2, odst. 155</w:t>
            </w:r>
          </w:p>
        </w:tc>
        <w:tc>
          <w:tcPr>
            <w:tcW w:w="8930" w:type="dxa"/>
            <w:shd w:val="clear" w:color="B6D7A8" w:fill="B6D7A8"/>
            <w:hideMark/>
          </w:tcPr>
          <w:p w14:paraId="3BC52A23" w14:textId="77777777" w:rsidR="00457729" w:rsidRPr="001A199F" w:rsidRDefault="00457729" w:rsidP="009B1BC4">
            <w:pPr>
              <w:spacing w:after="0" w:line="240" w:lineRule="auto"/>
              <w:jc w:val="left"/>
              <w:rPr>
                <w:rFonts w:eastAsia="Times New Roman" w:cs="Segoe UI"/>
                <w:color w:val="000000"/>
                <w:lang w:eastAsia="cs-CZ"/>
              </w:rPr>
            </w:pPr>
            <w:r w:rsidRPr="001A199F">
              <w:rPr>
                <w:rFonts w:eastAsia="Times New Roman" w:cs="Segoe UI"/>
                <w:b/>
                <w:bCs/>
                <w:color w:val="000000"/>
                <w:lang w:eastAsia="cs-CZ"/>
              </w:rPr>
              <w:t>Podpora na zlepšení energetické náročnosti a environmentální výkonnosti budov</w:t>
            </w:r>
            <w:r w:rsidRPr="001A199F">
              <w:rPr>
                <w:rFonts w:eastAsia="Times New Roman" w:cs="Segoe UI"/>
                <w:color w:val="000000"/>
                <w:lang w:eastAsia="cs-CZ"/>
              </w:rPr>
              <w:br/>
              <w:t>Upozorňuje na potřebu vzít v úvahu negativní vlivy využívání zemního plynu z dlouhodobého hlediska. Komise v rámci svého posouzení zohlední, zda dané zařízení používající zemní plyn nahrazuje energetická zařízení používající nejvíce znečišťující fosilní paliva, jako jsou ropa a uhlí.</w:t>
            </w:r>
          </w:p>
        </w:tc>
      </w:tr>
      <w:tr w:rsidR="00457729" w:rsidRPr="00D109A2" w14:paraId="61713263" w14:textId="77777777" w:rsidTr="00457729">
        <w:trPr>
          <w:trHeight w:val="2106"/>
        </w:trPr>
        <w:tc>
          <w:tcPr>
            <w:tcW w:w="2841" w:type="dxa"/>
            <w:vMerge/>
            <w:shd w:val="clear" w:color="B6D7A8" w:fill="B6D7A8"/>
            <w:hideMark/>
          </w:tcPr>
          <w:p w14:paraId="7303B78A" w14:textId="77777777" w:rsidR="00457729" w:rsidRPr="001A199F" w:rsidRDefault="00457729" w:rsidP="009B1BC4">
            <w:pPr>
              <w:spacing w:after="0" w:line="240" w:lineRule="auto"/>
              <w:jc w:val="left"/>
              <w:rPr>
                <w:rFonts w:eastAsia="Times New Roman" w:cs="Segoe UI"/>
                <w:color w:val="000000"/>
                <w:lang w:eastAsia="cs-CZ"/>
              </w:rPr>
            </w:pPr>
          </w:p>
        </w:tc>
        <w:tc>
          <w:tcPr>
            <w:tcW w:w="2399" w:type="dxa"/>
            <w:shd w:val="clear" w:color="B6D7A8" w:fill="B6D7A8"/>
            <w:noWrap/>
            <w:hideMark/>
          </w:tcPr>
          <w:p w14:paraId="70A530C0" w14:textId="77777777" w:rsidR="00457729" w:rsidRPr="001A199F" w:rsidRDefault="00457729" w:rsidP="009B1BC4">
            <w:pPr>
              <w:spacing w:after="0" w:line="240" w:lineRule="auto"/>
              <w:jc w:val="left"/>
              <w:rPr>
                <w:rFonts w:eastAsia="Times New Roman" w:cs="Segoe UI"/>
                <w:color w:val="000000"/>
                <w:lang w:eastAsia="cs-CZ"/>
              </w:rPr>
            </w:pPr>
            <w:r w:rsidRPr="001A199F">
              <w:rPr>
                <w:rFonts w:eastAsia="Times New Roman" w:cs="Segoe UI"/>
                <w:color w:val="000000"/>
                <w:lang w:eastAsia="cs-CZ"/>
              </w:rPr>
              <w:t>Oddíl 4.4, odst. 249-250</w:t>
            </w:r>
          </w:p>
        </w:tc>
        <w:tc>
          <w:tcPr>
            <w:tcW w:w="8930" w:type="dxa"/>
            <w:shd w:val="clear" w:color="B6D7A8" w:fill="B6D7A8"/>
            <w:hideMark/>
          </w:tcPr>
          <w:p w14:paraId="0C4C2D44" w14:textId="77777777" w:rsidR="00457729" w:rsidRPr="001A199F" w:rsidRDefault="00457729" w:rsidP="009B1BC4">
            <w:pPr>
              <w:spacing w:after="0" w:line="240" w:lineRule="auto"/>
              <w:jc w:val="left"/>
              <w:rPr>
                <w:rFonts w:eastAsia="Times New Roman" w:cs="Segoe UI"/>
                <w:color w:val="000000"/>
                <w:lang w:eastAsia="cs-CZ"/>
              </w:rPr>
            </w:pPr>
            <w:r w:rsidRPr="001A199F">
              <w:rPr>
                <w:rFonts w:eastAsia="Times New Roman" w:cs="Segoe UI"/>
                <w:b/>
                <w:bCs/>
                <w:color w:val="000000"/>
                <w:lang w:eastAsia="cs-CZ"/>
              </w:rPr>
              <w:t>Podpora na účinné využívání zdrojů a přechod k oběhovému hospodářství</w:t>
            </w:r>
            <w:r w:rsidRPr="001A199F">
              <w:rPr>
                <w:rFonts w:eastAsia="Times New Roman" w:cs="Segoe UI"/>
                <w:b/>
                <w:bCs/>
                <w:color w:val="000000"/>
                <w:lang w:eastAsia="cs-CZ"/>
              </w:rPr>
              <w:br/>
            </w:r>
            <w:r w:rsidRPr="001A199F">
              <w:rPr>
                <w:rFonts w:eastAsia="Times New Roman" w:cs="Segoe UI"/>
                <w:color w:val="000000"/>
                <w:lang w:eastAsia="cs-CZ"/>
              </w:rPr>
              <w:t>Podpora nesmí stimulovat tvorbu odpadů ani zvýšené využívání zdrojů.</w:t>
            </w:r>
            <w:r w:rsidRPr="001A199F">
              <w:rPr>
                <w:rFonts w:eastAsia="Times New Roman" w:cs="Segoe UI"/>
                <w:color w:val="000000"/>
                <w:lang w:eastAsia="cs-CZ"/>
              </w:rPr>
              <w:br/>
              <w:t>Podpora nesmí pouze zvyšovat poptávku po odpadech nebo jiných materiálech a zdrojích určených k opětovnému použití, recyklaci nebo zpracování k dalšímu využití, aniž by zvýšila sběr těchto materiálů.</w:t>
            </w:r>
          </w:p>
        </w:tc>
      </w:tr>
      <w:tr w:rsidR="00457729" w:rsidRPr="00D109A2" w14:paraId="0FAB9E1F" w14:textId="77777777" w:rsidTr="00457729">
        <w:trPr>
          <w:trHeight w:val="1754"/>
        </w:trPr>
        <w:tc>
          <w:tcPr>
            <w:tcW w:w="2841" w:type="dxa"/>
            <w:vMerge/>
            <w:shd w:val="clear" w:color="B6D7A8" w:fill="B6D7A8"/>
            <w:hideMark/>
          </w:tcPr>
          <w:p w14:paraId="4EA6F201" w14:textId="77777777" w:rsidR="00457729" w:rsidRPr="001A199F" w:rsidRDefault="00457729" w:rsidP="009B1BC4">
            <w:pPr>
              <w:spacing w:after="0" w:line="240" w:lineRule="auto"/>
              <w:jc w:val="left"/>
              <w:rPr>
                <w:rFonts w:eastAsia="Times New Roman" w:cs="Segoe UI"/>
                <w:color w:val="000000"/>
                <w:lang w:eastAsia="cs-CZ"/>
              </w:rPr>
            </w:pPr>
          </w:p>
        </w:tc>
        <w:tc>
          <w:tcPr>
            <w:tcW w:w="2399" w:type="dxa"/>
            <w:shd w:val="clear" w:color="B6D7A8" w:fill="B6D7A8"/>
            <w:noWrap/>
            <w:hideMark/>
          </w:tcPr>
          <w:p w14:paraId="759EFBBC" w14:textId="77777777" w:rsidR="00457729" w:rsidRPr="001A199F" w:rsidRDefault="00457729" w:rsidP="009B1BC4">
            <w:pPr>
              <w:spacing w:after="0" w:line="240" w:lineRule="auto"/>
              <w:jc w:val="left"/>
              <w:rPr>
                <w:rFonts w:eastAsia="Times New Roman" w:cs="Segoe UI"/>
                <w:color w:val="000000"/>
                <w:lang w:eastAsia="cs-CZ"/>
              </w:rPr>
            </w:pPr>
            <w:r w:rsidRPr="001A199F">
              <w:rPr>
                <w:rFonts w:eastAsia="Times New Roman" w:cs="Segoe UI"/>
                <w:color w:val="000000"/>
                <w:lang w:eastAsia="cs-CZ"/>
              </w:rPr>
              <w:t>Oddíl 4.5, odst. 257-258</w:t>
            </w:r>
          </w:p>
        </w:tc>
        <w:tc>
          <w:tcPr>
            <w:tcW w:w="8930" w:type="dxa"/>
            <w:shd w:val="clear" w:color="B6D7A8" w:fill="B6D7A8"/>
            <w:hideMark/>
          </w:tcPr>
          <w:p w14:paraId="6F2C404C" w14:textId="77777777" w:rsidR="00457729" w:rsidRPr="001A199F" w:rsidRDefault="00457729" w:rsidP="009B1BC4">
            <w:pPr>
              <w:spacing w:after="0" w:line="240" w:lineRule="auto"/>
              <w:jc w:val="left"/>
              <w:rPr>
                <w:rFonts w:eastAsia="Times New Roman" w:cs="Segoe UI"/>
                <w:color w:val="000000"/>
                <w:lang w:eastAsia="cs-CZ"/>
              </w:rPr>
            </w:pPr>
            <w:r w:rsidRPr="001A199F">
              <w:rPr>
                <w:rFonts w:eastAsia="Times New Roman" w:cs="Segoe UI"/>
                <w:b/>
                <w:bCs/>
                <w:color w:val="000000"/>
                <w:lang w:eastAsia="cs-CZ"/>
              </w:rPr>
              <w:t>Podpora na prevenci nebo snižování znečištění jiného než znečištění ze skleníkových plynů</w:t>
            </w:r>
            <w:r w:rsidRPr="001A199F">
              <w:rPr>
                <w:rFonts w:eastAsia="Times New Roman" w:cs="Segoe UI"/>
                <w:color w:val="000000"/>
                <w:lang w:eastAsia="cs-CZ"/>
              </w:rPr>
              <w:br/>
              <w:t>Podpora nesmí pouze přesunovat znečištění z jednoho odvětví do jiného nebo z jedné složky životního prostředí do jiné (například z ovzduší do vody). Pokud je podpora zaměřena na snižování znečištění, musí dosáhnout celkového snížení znečištění.</w:t>
            </w:r>
          </w:p>
        </w:tc>
      </w:tr>
      <w:tr w:rsidR="00457729" w:rsidRPr="00D109A2" w14:paraId="67EA1BAB" w14:textId="77777777" w:rsidTr="00457729">
        <w:trPr>
          <w:trHeight w:val="1512"/>
        </w:trPr>
        <w:tc>
          <w:tcPr>
            <w:tcW w:w="2841" w:type="dxa"/>
            <w:shd w:val="clear" w:color="6AA84F" w:fill="6AA84F"/>
            <w:hideMark/>
          </w:tcPr>
          <w:p w14:paraId="45DDBE23" w14:textId="77777777" w:rsidR="00457729" w:rsidRPr="001A199F" w:rsidRDefault="00457729" w:rsidP="009B1BC4">
            <w:pPr>
              <w:spacing w:after="0" w:line="240" w:lineRule="auto"/>
              <w:jc w:val="left"/>
              <w:rPr>
                <w:rFonts w:eastAsia="Times New Roman" w:cs="Segoe UI"/>
                <w:color w:val="000000"/>
                <w:lang w:eastAsia="cs-CZ"/>
              </w:rPr>
            </w:pPr>
            <w:hyperlink r:id="rId182" w:history="1">
              <w:r w:rsidRPr="007739CF">
                <w:rPr>
                  <w:rStyle w:val="Hypertextovodkaz"/>
                  <w:rFonts w:eastAsia="Times New Roman" w:cs="Segoe UI"/>
                  <w:lang w:eastAsia="cs-CZ"/>
                </w:rPr>
                <w:t xml:space="preserve">Sdělení Komise </w:t>
              </w:r>
              <w:r w:rsidRPr="007739CF">
                <w:rPr>
                  <w:rStyle w:val="Hypertextovodkaz"/>
                  <w:rFonts w:eastAsia="Times New Roman" w:cs="Segoe UI"/>
                  <w:b/>
                  <w:bCs/>
                  <w:lang w:eastAsia="cs-CZ"/>
                </w:rPr>
                <w:t>Pokyny k regionální státní podpoře</w:t>
              </w:r>
              <w:r w:rsidRPr="007739CF">
                <w:rPr>
                  <w:rStyle w:val="Hypertextovodkaz"/>
                  <w:rFonts w:eastAsia="Times New Roman" w:cs="Segoe UI"/>
                  <w:lang w:eastAsia="cs-CZ"/>
                </w:rPr>
                <w:t xml:space="preserve"> (2021/C 153/01)</w:t>
              </w:r>
            </w:hyperlink>
          </w:p>
        </w:tc>
        <w:tc>
          <w:tcPr>
            <w:tcW w:w="2399" w:type="dxa"/>
            <w:shd w:val="clear" w:color="6AA84F" w:fill="6AA84F"/>
            <w:noWrap/>
            <w:hideMark/>
          </w:tcPr>
          <w:p w14:paraId="66D42B5D" w14:textId="77777777" w:rsidR="00457729" w:rsidRPr="001A199F" w:rsidRDefault="00457729" w:rsidP="009B1BC4">
            <w:pPr>
              <w:spacing w:after="0" w:line="240" w:lineRule="auto"/>
              <w:jc w:val="left"/>
              <w:rPr>
                <w:rFonts w:eastAsia="Times New Roman" w:cs="Segoe UI"/>
                <w:color w:val="000000"/>
                <w:lang w:eastAsia="cs-CZ"/>
              </w:rPr>
            </w:pPr>
            <w:r w:rsidRPr="001A199F">
              <w:rPr>
                <w:rFonts w:eastAsia="Times New Roman" w:cs="Segoe UI"/>
                <w:color w:val="000000"/>
                <w:lang w:eastAsia="cs-CZ"/>
              </w:rPr>
              <w:t>Oddíl 5.6, odst</w:t>
            </w:r>
            <w:r>
              <w:rPr>
                <w:rFonts w:eastAsia="Times New Roman" w:cs="Segoe UI"/>
                <w:color w:val="000000"/>
                <w:lang w:eastAsia="cs-CZ"/>
              </w:rPr>
              <w:t>.</w:t>
            </w:r>
            <w:r w:rsidRPr="001A199F">
              <w:rPr>
                <w:rFonts w:eastAsia="Times New Roman" w:cs="Segoe UI"/>
                <w:color w:val="000000"/>
                <w:lang w:eastAsia="cs-CZ"/>
              </w:rPr>
              <w:t xml:space="preserve"> 105</w:t>
            </w:r>
          </w:p>
        </w:tc>
        <w:tc>
          <w:tcPr>
            <w:tcW w:w="8930" w:type="dxa"/>
            <w:shd w:val="clear" w:color="6AA84F" w:fill="6AA84F"/>
            <w:hideMark/>
          </w:tcPr>
          <w:p w14:paraId="74908924" w14:textId="77777777" w:rsidR="00457729" w:rsidRPr="001A199F" w:rsidRDefault="00457729" w:rsidP="009B1BC4">
            <w:pPr>
              <w:spacing w:after="0" w:line="240" w:lineRule="auto"/>
              <w:jc w:val="left"/>
              <w:rPr>
                <w:rFonts w:eastAsia="Times New Roman" w:cs="Segoe UI"/>
                <w:color w:val="000000"/>
                <w:lang w:eastAsia="cs-CZ"/>
              </w:rPr>
            </w:pPr>
            <w:r w:rsidRPr="001A199F">
              <w:rPr>
                <w:rFonts w:eastAsia="Times New Roman" w:cs="Segoe UI"/>
                <w:b/>
                <w:bCs/>
                <w:color w:val="000000"/>
                <w:lang w:eastAsia="cs-CZ"/>
              </w:rPr>
              <w:t>Zamezení nežádoucím negativním účinkům na hospodářskou soutěž a obchod</w:t>
            </w:r>
            <w:r w:rsidRPr="001A199F">
              <w:rPr>
                <w:rFonts w:eastAsia="Times New Roman" w:cs="Segoe UI"/>
                <w:color w:val="000000"/>
                <w:lang w:eastAsia="cs-CZ"/>
              </w:rPr>
              <w:br/>
            </w:r>
            <w:r w:rsidRPr="000725A9">
              <w:rPr>
                <w:rFonts w:eastAsia="Times New Roman" w:cs="Segoe UI"/>
                <w:color w:val="000000"/>
                <w:lang w:eastAsia="cs-CZ"/>
              </w:rPr>
              <w:t>Při celkovém porovnávání pozitivních účinků podpory (oddíl 5.1) s jejími negativními účinky na hospodářskou soutěž a obchod může Komise v relevantních případech zohlednit okolnost, že kromě přispění k regionálnímu rozvoji a soudržnosti má podpora i další pozitivní účinky. Může tomu tak být například v případě, kdy lze konstatovat, že počáteční investice kromě vytváření místních pracovních míst, zavádění nových činností a/nebo vytváření místních příjmů významně přispívá zejména k digitální transformaci nebo přechodu na činnosti udržitelné z hlediska životního prostředí, včetně činností s nízkými emisemi uhlíku, činností, které jsou klimaticky neutrální nebo činností odolných vůči změně klimatu. Komise bude věnovat zvláštní pozornost článku 3 nařízení Evropského parlamentu a Rady (EU) 2020/852 o taxonomii, včetně zásady „významně nepoškozovat“, nebo jiným srovnatelným metodikám.</w:t>
            </w:r>
          </w:p>
        </w:tc>
      </w:tr>
      <w:tr w:rsidR="00457729" w:rsidRPr="00D109A2" w14:paraId="4DFFBE86" w14:textId="77777777" w:rsidTr="00457729">
        <w:trPr>
          <w:trHeight w:val="2560"/>
        </w:trPr>
        <w:tc>
          <w:tcPr>
            <w:tcW w:w="2841" w:type="dxa"/>
            <w:shd w:val="clear" w:color="93C47D" w:fill="93C47D"/>
            <w:hideMark/>
          </w:tcPr>
          <w:p w14:paraId="1B34570D" w14:textId="77777777" w:rsidR="00457729" w:rsidRPr="001A199F" w:rsidRDefault="00457729" w:rsidP="009B1BC4">
            <w:pPr>
              <w:spacing w:after="0" w:line="240" w:lineRule="auto"/>
              <w:jc w:val="left"/>
              <w:rPr>
                <w:rFonts w:eastAsia="Times New Roman" w:cs="Segoe UI"/>
                <w:color w:val="000000"/>
                <w:lang w:eastAsia="cs-CZ"/>
              </w:rPr>
            </w:pPr>
            <w:hyperlink r:id="rId183" w:history="1">
              <w:r w:rsidRPr="007739CF">
                <w:rPr>
                  <w:rStyle w:val="Hypertextovodkaz"/>
                  <w:rFonts w:eastAsia="Times New Roman" w:cs="Segoe UI"/>
                  <w:b/>
                  <w:bCs/>
                  <w:lang w:eastAsia="cs-CZ"/>
                </w:rPr>
                <w:t>Nařízení Komise (EU) 2022/2472 ze dne 14. prosince 2022, kterým se v souladu s články 107 a 108 Smlouvy o fungování Evropské unie prohlašují určité kategorie podpory v odvětvích zemědělství a lesnictví a ve venkovských oblastech za slučitelné s vnitřním trhem</w:t>
              </w:r>
              <w:r w:rsidRPr="007739CF">
                <w:rPr>
                  <w:rStyle w:val="Hypertextovodkaz"/>
                  <w:rFonts w:eastAsia="Times New Roman" w:cs="Segoe UI"/>
                  <w:lang w:eastAsia="cs-CZ"/>
                </w:rPr>
                <w:t xml:space="preserve"> (ABER)</w:t>
              </w:r>
            </w:hyperlink>
          </w:p>
        </w:tc>
        <w:tc>
          <w:tcPr>
            <w:tcW w:w="2399" w:type="dxa"/>
            <w:shd w:val="clear" w:color="93C47D" w:fill="93C47D"/>
            <w:noWrap/>
          </w:tcPr>
          <w:p w14:paraId="41FC3EBA" w14:textId="77777777" w:rsidR="00457729" w:rsidRPr="001A199F" w:rsidRDefault="00457729" w:rsidP="009B1BC4">
            <w:pPr>
              <w:spacing w:after="0" w:line="240" w:lineRule="auto"/>
              <w:jc w:val="left"/>
              <w:rPr>
                <w:rFonts w:eastAsia="Times New Roman" w:cs="Segoe UI"/>
                <w:color w:val="000000"/>
                <w:lang w:eastAsia="cs-CZ"/>
              </w:rPr>
            </w:pPr>
            <w:r w:rsidRPr="001A199F">
              <w:rPr>
                <w:rFonts w:eastAsia="Times New Roman" w:cs="Segoe UI"/>
                <w:color w:val="000000"/>
                <w:lang w:eastAsia="cs-CZ"/>
              </w:rPr>
              <w:t>Článek 41, odst. 7-12</w:t>
            </w:r>
          </w:p>
        </w:tc>
        <w:tc>
          <w:tcPr>
            <w:tcW w:w="8930" w:type="dxa"/>
            <w:shd w:val="clear" w:color="93C47D" w:fill="93C47D"/>
          </w:tcPr>
          <w:p w14:paraId="04FF3779" w14:textId="77777777" w:rsidR="00457729" w:rsidRPr="001A199F" w:rsidRDefault="00457729" w:rsidP="009B1BC4">
            <w:pPr>
              <w:spacing w:after="0" w:line="240" w:lineRule="auto"/>
              <w:jc w:val="left"/>
              <w:rPr>
                <w:rFonts w:eastAsia="Times New Roman" w:cs="Segoe UI"/>
                <w:color w:val="000000"/>
                <w:lang w:eastAsia="cs-CZ"/>
              </w:rPr>
            </w:pPr>
            <w:r w:rsidRPr="001A199F">
              <w:rPr>
                <w:rFonts w:eastAsia="Times New Roman" w:cs="Segoe UI"/>
                <w:b/>
                <w:bCs/>
                <w:color w:val="000000"/>
                <w:lang w:eastAsia="cs-CZ"/>
              </w:rPr>
              <w:t>Podpora na zalesňování a zakládání lesů</w:t>
            </w:r>
            <w:r w:rsidRPr="001A199F">
              <w:rPr>
                <w:rFonts w:eastAsia="Times New Roman" w:cs="Segoe UI"/>
                <w:color w:val="000000"/>
                <w:lang w:eastAsia="cs-CZ"/>
              </w:rPr>
              <w:br/>
              <w:t>Definuje, kdy se podpora neposkytne na výsadbu stromů a na zalesňování. Jedná se např. o výsadbu stromů nepůvodních, vánočních, rychle rostoucích pro energetické využití, nevhodných pro dané stanoviště.</w:t>
            </w:r>
          </w:p>
        </w:tc>
      </w:tr>
    </w:tbl>
    <w:p w14:paraId="5B1C7A74" w14:textId="77777777" w:rsidR="009E22EA" w:rsidRDefault="009E22EA" w:rsidP="000F5C0D">
      <w:pPr>
        <w:sectPr w:rsidR="009E22EA" w:rsidSect="008E59D0">
          <w:pgSz w:w="16838" w:h="11906" w:orient="landscape"/>
          <w:pgMar w:top="1418" w:right="1418" w:bottom="1418" w:left="1418" w:header="709" w:footer="709" w:gutter="0"/>
          <w:cols w:space="708"/>
        </w:sectPr>
      </w:pPr>
    </w:p>
    <w:p w14:paraId="4BC70647" w14:textId="0B18DE38" w:rsidR="00275D08" w:rsidRPr="00275D08" w:rsidRDefault="00275D08" w:rsidP="000F5C0D"/>
    <w:p w14:paraId="31A73EBC" w14:textId="693F9BD4" w:rsidR="009E22EA" w:rsidRDefault="009E22EA">
      <w:pPr>
        <w:pStyle w:val="Nadpis2"/>
      </w:pPr>
      <w:bookmarkStart w:id="170" w:name="_Toc210046045"/>
      <w:r>
        <w:t>Přehled výjimek obsažených v dokumentu Rámcových vodítek</w:t>
      </w:r>
      <w:bookmarkEnd w:id="170"/>
    </w:p>
    <w:p w14:paraId="14C722EB" w14:textId="591EA0EB" w:rsidR="009E22EA" w:rsidRPr="009E22EA" w:rsidRDefault="006819FD" w:rsidP="00D77C59">
      <w:r>
        <w:t xml:space="preserve">Následující tabulka </w:t>
      </w:r>
      <w:r w:rsidR="00AA52A8">
        <w:t>obsahuje přehled výjimek, kter</w:t>
      </w:r>
      <w:r w:rsidR="00AF05A3">
        <w:t>é</w:t>
      </w:r>
      <w:r w:rsidR="00AA52A8">
        <w:t xml:space="preserve"> jsou obsažen</w:t>
      </w:r>
      <w:r w:rsidR="00AF05A3">
        <w:t>y</w:t>
      </w:r>
      <w:r w:rsidR="00AA52A8">
        <w:t xml:space="preserve"> v tomto dokumentu. Primárně se jedná o příklady, kdy je splnění opatření uvedených v této metodice technicky neproveditelné, nebo představuje neúměrnou zátěž pro daný projekt. </w:t>
      </w:r>
      <w:r w:rsidR="000C0B1C">
        <w:t xml:space="preserve">Tabulka níže nepředstavuje plný výčet případů, kde není možné zásadu DNSH aplikovat v plném rozsahu. </w:t>
      </w:r>
      <w:r w:rsidR="00ED2FEB">
        <w:t>P</w:t>
      </w:r>
      <w:r w:rsidR="000C0B1C">
        <w:t xml:space="preserve">osouzení souladu </w:t>
      </w:r>
      <w:r w:rsidR="00ED2FEB">
        <w:t>projektu</w:t>
      </w:r>
      <w:r w:rsidR="000C0B1C">
        <w:t xml:space="preserve"> se zásadou DNSH a </w:t>
      </w:r>
      <w:r w:rsidR="00CA3E56">
        <w:t xml:space="preserve">vhodná </w:t>
      </w:r>
      <w:r w:rsidR="00835F80">
        <w:t xml:space="preserve">implementace zásady skrze </w:t>
      </w:r>
      <w:r w:rsidR="000C0B1C">
        <w:t xml:space="preserve">nastavení vymezení výzvy a </w:t>
      </w:r>
      <w:r w:rsidR="00835F80">
        <w:t xml:space="preserve">stanovení </w:t>
      </w:r>
      <w:r w:rsidR="000C0B1C">
        <w:t xml:space="preserve">vhodných podmínek je </w:t>
      </w:r>
      <w:r w:rsidR="00835F80">
        <w:t>povinností řídí</w:t>
      </w:r>
      <w:r w:rsidR="00CA3E56">
        <w:t>cí</w:t>
      </w:r>
      <w:r w:rsidR="00835F80">
        <w:t>ch orgánů.</w:t>
      </w:r>
    </w:p>
    <w:tbl>
      <w:tblPr>
        <w:tblW w:w="13950" w:type="dxa"/>
        <w:tblCellMar>
          <w:left w:w="70" w:type="dxa"/>
          <w:right w:w="70" w:type="dxa"/>
        </w:tblCellMar>
        <w:tblLook w:val="04A0" w:firstRow="1" w:lastRow="0" w:firstColumn="1" w:lastColumn="0" w:noHBand="0" w:noVBand="1"/>
      </w:tblPr>
      <w:tblGrid>
        <w:gridCol w:w="4988"/>
        <w:gridCol w:w="2576"/>
        <w:gridCol w:w="4440"/>
        <w:gridCol w:w="1946"/>
      </w:tblGrid>
      <w:tr w:rsidR="005E1E2B" w:rsidRPr="00A43BAE" w14:paraId="1FC0BDD0" w14:textId="77777777" w:rsidTr="005E1E2B">
        <w:trPr>
          <w:trHeight w:val="300"/>
        </w:trPr>
        <w:tc>
          <w:tcPr>
            <w:tcW w:w="4988" w:type="dxa"/>
            <w:tcBorders>
              <w:top w:val="single" w:sz="4" w:space="0" w:color="auto"/>
              <w:left w:val="single" w:sz="4" w:space="0" w:color="auto"/>
              <w:bottom w:val="single" w:sz="4" w:space="0" w:color="auto"/>
              <w:right w:val="single" w:sz="4" w:space="0" w:color="auto"/>
            </w:tcBorders>
            <w:noWrap/>
            <w:hideMark/>
          </w:tcPr>
          <w:p w14:paraId="5CFF9D40" w14:textId="77777777" w:rsidR="00A43BAE" w:rsidRPr="00A43BAE" w:rsidRDefault="00A43BAE" w:rsidP="00A43BAE">
            <w:pPr>
              <w:spacing w:after="0" w:line="240" w:lineRule="auto"/>
              <w:jc w:val="left"/>
              <w:rPr>
                <w:rFonts w:ascii="Aptos Narrow" w:eastAsia="Times New Roman" w:hAnsi="Aptos Narrow" w:cs="Times New Roman"/>
                <w:b/>
                <w:bCs/>
                <w:color w:val="000000"/>
                <w:lang w:eastAsia="cs-CZ"/>
              </w:rPr>
            </w:pPr>
            <w:r w:rsidRPr="00A43BAE">
              <w:rPr>
                <w:rFonts w:ascii="Aptos Narrow" w:eastAsia="Times New Roman" w:hAnsi="Aptos Narrow" w:cs="Times New Roman"/>
                <w:b/>
                <w:bCs/>
                <w:color w:val="000000"/>
                <w:lang w:eastAsia="cs-CZ"/>
              </w:rPr>
              <w:t>Klimatický/environmentální cíl</w:t>
            </w:r>
          </w:p>
        </w:tc>
        <w:tc>
          <w:tcPr>
            <w:tcW w:w="2576" w:type="dxa"/>
            <w:tcBorders>
              <w:top w:val="single" w:sz="4" w:space="0" w:color="auto"/>
              <w:left w:val="nil"/>
              <w:bottom w:val="single" w:sz="4" w:space="0" w:color="auto"/>
              <w:right w:val="single" w:sz="4" w:space="0" w:color="auto"/>
            </w:tcBorders>
            <w:noWrap/>
            <w:hideMark/>
          </w:tcPr>
          <w:p w14:paraId="55408EB1" w14:textId="77777777" w:rsidR="00A43BAE" w:rsidRPr="00A43BAE" w:rsidRDefault="00A43BAE" w:rsidP="00A43BAE">
            <w:pPr>
              <w:spacing w:after="0" w:line="240" w:lineRule="auto"/>
              <w:jc w:val="left"/>
              <w:rPr>
                <w:rFonts w:ascii="Aptos Narrow" w:eastAsia="Times New Roman" w:hAnsi="Aptos Narrow" w:cs="Times New Roman"/>
                <w:b/>
                <w:bCs/>
                <w:color w:val="000000"/>
                <w:lang w:eastAsia="cs-CZ"/>
              </w:rPr>
            </w:pPr>
            <w:r w:rsidRPr="00A43BAE">
              <w:rPr>
                <w:rFonts w:ascii="Aptos Narrow" w:eastAsia="Times New Roman" w:hAnsi="Aptos Narrow" w:cs="Times New Roman"/>
                <w:b/>
                <w:bCs/>
                <w:color w:val="000000"/>
                <w:lang w:eastAsia="cs-CZ"/>
              </w:rPr>
              <w:t>Oblast výjimky</w:t>
            </w:r>
          </w:p>
        </w:tc>
        <w:tc>
          <w:tcPr>
            <w:tcW w:w="4440" w:type="dxa"/>
            <w:tcBorders>
              <w:top w:val="single" w:sz="4" w:space="0" w:color="auto"/>
              <w:left w:val="nil"/>
              <w:bottom w:val="single" w:sz="4" w:space="0" w:color="auto"/>
              <w:right w:val="single" w:sz="4" w:space="0" w:color="auto"/>
            </w:tcBorders>
            <w:noWrap/>
            <w:hideMark/>
          </w:tcPr>
          <w:p w14:paraId="28AF1277" w14:textId="77777777" w:rsidR="00A43BAE" w:rsidRPr="00A43BAE" w:rsidRDefault="00A43BAE" w:rsidP="00A43BAE">
            <w:pPr>
              <w:spacing w:after="0" w:line="240" w:lineRule="auto"/>
              <w:jc w:val="left"/>
              <w:rPr>
                <w:rFonts w:ascii="Aptos Narrow" w:eastAsia="Times New Roman" w:hAnsi="Aptos Narrow" w:cs="Times New Roman"/>
                <w:b/>
                <w:bCs/>
                <w:color w:val="000000"/>
                <w:lang w:eastAsia="cs-CZ"/>
              </w:rPr>
            </w:pPr>
            <w:r w:rsidRPr="00A43BAE">
              <w:rPr>
                <w:rFonts w:ascii="Aptos Narrow" w:eastAsia="Times New Roman" w:hAnsi="Aptos Narrow" w:cs="Times New Roman"/>
                <w:b/>
                <w:bCs/>
                <w:color w:val="000000"/>
                <w:lang w:eastAsia="cs-CZ"/>
              </w:rPr>
              <w:t>Popis</w:t>
            </w:r>
          </w:p>
        </w:tc>
        <w:tc>
          <w:tcPr>
            <w:tcW w:w="1946" w:type="dxa"/>
            <w:tcBorders>
              <w:top w:val="single" w:sz="4" w:space="0" w:color="auto"/>
              <w:left w:val="nil"/>
              <w:bottom w:val="single" w:sz="4" w:space="0" w:color="auto"/>
              <w:right w:val="single" w:sz="4" w:space="0" w:color="auto"/>
            </w:tcBorders>
            <w:noWrap/>
            <w:hideMark/>
          </w:tcPr>
          <w:p w14:paraId="5F6423DD" w14:textId="77777777" w:rsidR="00A43BAE" w:rsidRPr="00A43BAE" w:rsidRDefault="00A43BAE" w:rsidP="00A43BAE">
            <w:pPr>
              <w:spacing w:after="0" w:line="240" w:lineRule="auto"/>
              <w:jc w:val="left"/>
              <w:rPr>
                <w:rFonts w:ascii="Aptos Narrow" w:eastAsia="Times New Roman" w:hAnsi="Aptos Narrow" w:cs="Times New Roman"/>
                <w:b/>
                <w:bCs/>
                <w:color w:val="000000"/>
                <w:lang w:eastAsia="cs-CZ"/>
              </w:rPr>
            </w:pPr>
            <w:r w:rsidRPr="00A43BAE">
              <w:rPr>
                <w:rFonts w:ascii="Aptos Narrow" w:eastAsia="Times New Roman" w:hAnsi="Aptos Narrow" w:cs="Times New Roman"/>
                <w:b/>
                <w:bCs/>
                <w:color w:val="000000"/>
                <w:lang w:eastAsia="cs-CZ"/>
              </w:rPr>
              <w:t>Odkaz v textu</w:t>
            </w:r>
          </w:p>
        </w:tc>
      </w:tr>
      <w:tr w:rsidR="004C4233" w:rsidRPr="00A43BAE" w14:paraId="6D0CA636" w14:textId="77777777" w:rsidTr="005E1E2B">
        <w:trPr>
          <w:trHeight w:val="1200"/>
        </w:trPr>
        <w:tc>
          <w:tcPr>
            <w:tcW w:w="4988" w:type="dxa"/>
            <w:tcBorders>
              <w:top w:val="nil"/>
              <w:left w:val="single" w:sz="4" w:space="0" w:color="auto"/>
              <w:bottom w:val="single" w:sz="4" w:space="0" w:color="000000"/>
              <w:right w:val="single" w:sz="4" w:space="0" w:color="auto"/>
            </w:tcBorders>
            <w:vAlign w:val="center"/>
          </w:tcPr>
          <w:p w14:paraId="5C337082" w14:textId="2CD64E25" w:rsidR="004C4233" w:rsidRDefault="004C4233" w:rsidP="004C4233">
            <w:pPr>
              <w:spacing w:line="240" w:lineRule="auto"/>
              <w:jc w:val="left"/>
              <w:rPr>
                <w:rFonts w:ascii="Aptos Narrow" w:eastAsia="Times New Roman" w:hAnsi="Aptos Narrow" w:cs="Times New Roman"/>
                <w:color w:val="000000"/>
                <w:lang w:eastAsia="cs-CZ"/>
              </w:rPr>
            </w:pPr>
            <w:r>
              <w:rPr>
                <w:rFonts w:ascii="Aptos Narrow" w:eastAsia="Times New Roman" w:hAnsi="Aptos Narrow" w:cs="Times New Roman"/>
                <w:color w:val="000000"/>
                <w:lang w:eastAsia="cs-CZ"/>
              </w:rPr>
              <w:t>Dle nařízení/technických pokynů</w:t>
            </w:r>
          </w:p>
          <w:p w14:paraId="43FDF171" w14:textId="77777777" w:rsidR="004C4233" w:rsidRDefault="004C4233" w:rsidP="004C4233">
            <w:pPr>
              <w:spacing w:line="240" w:lineRule="auto"/>
              <w:jc w:val="left"/>
              <w:rPr>
                <w:rFonts w:ascii="Aptos Narrow" w:eastAsia="Times New Roman" w:hAnsi="Aptos Narrow" w:cs="Times New Roman"/>
                <w:color w:val="000000"/>
                <w:lang w:eastAsia="cs-CZ"/>
              </w:rPr>
            </w:pPr>
          </w:p>
          <w:p w14:paraId="0BB41CDB" w14:textId="4820486B" w:rsidR="004C4233" w:rsidRDefault="004C4233" w:rsidP="004C4233">
            <w:pPr>
              <w:spacing w:line="240" w:lineRule="auto"/>
              <w:jc w:val="left"/>
              <w:rPr>
                <w:rFonts w:ascii="Aptos Narrow" w:eastAsia="Times New Roman" w:hAnsi="Aptos Narrow" w:cs="Times New Roman"/>
                <w:color w:val="000000"/>
                <w:lang w:eastAsia="cs-CZ"/>
              </w:rPr>
            </w:pPr>
          </w:p>
        </w:tc>
        <w:tc>
          <w:tcPr>
            <w:tcW w:w="2576" w:type="dxa"/>
            <w:tcBorders>
              <w:top w:val="nil"/>
              <w:left w:val="nil"/>
              <w:bottom w:val="single" w:sz="4" w:space="0" w:color="auto"/>
              <w:right w:val="single" w:sz="4" w:space="0" w:color="auto"/>
            </w:tcBorders>
          </w:tcPr>
          <w:p w14:paraId="17C3C7BE" w14:textId="44AFC1D8" w:rsidR="004C4233" w:rsidRPr="00A43BAE" w:rsidRDefault="004C4233" w:rsidP="00A43BAE">
            <w:pPr>
              <w:spacing w:after="0" w:line="240" w:lineRule="auto"/>
              <w:jc w:val="left"/>
              <w:rPr>
                <w:rFonts w:ascii="Aptos Narrow" w:eastAsia="Times New Roman" w:hAnsi="Aptos Narrow" w:cs="Times New Roman"/>
                <w:color w:val="000000"/>
                <w:lang w:eastAsia="cs-CZ"/>
              </w:rPr>
            </w:pPr>
            <w:r w:rsidRPr="004C4233">
              <w:rPr>
                <w:rFonts w:ascii="Aptos Narrow" w:eastAsia="Times New Roman" w:hAnsi="Aptos Narrow" w:cs="Times New Roman"/>
                <w:color w:val="000000"/>
                <w:lang w:eastAsia="cs-CZ"/>
              </w:rPr>
              <w:t>Ad-hoc podmínky (výjimky)</w:t>
            </w:r>
          </w:p>
        </w:tc>
        <w:tc>
          <w:tcPr>
            <w:tcW w:w="4440" w:type="dxa"/>
            <w:tcBorders>
              <w:top w:val="nil"/>
              <w:left w:val="nil"/>
              <w:bottom w:val="single" w:sz="4" w:space="0" w:color="auto"/>
              <w:right w:val="single" w:sz="4" w:space="0" w:color="auto"/>
            </w:tcBorders>
          </w:tcPr>
          <w:p w14:paraId="4CD270C1" w14:textId="4F243BCC" w:rsidR="004C4233" w:rsidRPr="00A43BAE" w:rsidRDefault="004C4233" w:rsidP="00A43BAE">
            <w:pPr>
              <w:spacing w:after="0" w:line="240" w:lineRule="auto"/>
              <w:jc w:val="left"/>
              <w:rPr>
                <w:rFonts w:ascii="Aptos Narrow" w:eastAsia="Times New Roman" w:hAnsi="Aptos Narrow" w:cs="Times New Roman"/>
                <w:color w:val="000000"/>
                <w:lang w:eastAsia="cs-CZ"/>
              </w:rPr>
            </w:pPr>
            <w:r>
              <w:rPr>
                <w:rFonts w:ascii="Aptos Narrow" w:eastAsia="Times New Roman" w:hAnsi="Aptos Narrow" w:cs="Times New Roman"/>
                <w:color w:val="000000"/>
                <w:lang w:eastAsia="cs-CZ"/>
              </w:rPr>
              <w:t>Nařízení, kterými se fondy zřizují, případně technické pokyny, obsahují řadu výjimek z podmínek pro plnění DNSH. Odkazy na tyto výjimky jsou k dispozici v kapitole 3.5.</w:t>
            </w:r>
          </w:p>
        </w:tc>
        <w:tc>
          <w:tcPr>
            <w:tcW w:w="1946" w:type="dxa"/>
            <w:tcBorders>
              <w:top w:val="nil"/>
              <w:left w:val="nil"/>
              <w:bottom w:val="single" w:sz="4" w:space="0" w:color="auto"/>
              <w:right w:val="single" w:sz="4" w:space="0" w:color="auto"/>
            </w:tcBorders>
          </w:tcPr>
          <w:p w14:paraId="403C86D0" w14:textId="3E01D64E" w:rsidR="004C4233" w:rsidRDefault="004C4233" w:rsidP="00A43BAE">
            <w:pPr>
              <w:spacing w:after="0" w:line="240" w:lineRule="auto"/>
              <w:jc w:val="left"/>
              <w:rPr>
                <w:rFonts w:ascii="Aptos Narrow" w:eastAsia="Times New Roman" w:hAnsi="Aptos Narrow" w:cs="Times New Roman"/>
                <w:color w:val="000000"/>
                <w:lang w:eastAsia="cs-CZ"/>
              </w:rPr>
            </w:pPr>
            <w:hyperlink w:anchor="_Podmínky_DNSH_založené" w:history="1">
              <w:r w:rsidRPr="004C4233">
                <w:rPr>
                  <w:rStyle w:val="Hypertextovodkaz"/>
                  <w:rFonts w:ascii="Aptos Narrow" w:eastAsia="Times New Roman" w:hAnsi="Aptos Narrow" w:cs="Times New Roman"/>
                  <w:lang w:eastAsia="cs-CZ"/>
                </w:rPr>
                <w:t>3.5</w:t>
              </w:r>
            </w:hyperlink>
          </w:p>
        </w:tc>
      </w:tr>
      <w:tr w:rsidR="005E1E2B" w:rsidRPr="00A43BAE" w14:paraId="2736A42B" w14:textId="77777777" w:rsidTr="005E1E2B">
        <w:trPr>
          <w:trHeight w:val="1200"/>
        </w:trPr>
        <w:tc>
          <w:tcPr>
            <w:tcW w:w="4988" w:type="dxa"/>
            <w:tcBorders>
              <w:top w:val="nil"/>
              <w:left w:val="single" w:sz="4" w:space="0" w:color="auto"/>
              <w:bottom w:val="single" w:sz="4" w:space="0" w:color="000000"/>
              <w:right w:val="single" w:sz="4" w:space="0" w:color="auto"/>
            </w:tcBorders>
            <w:vAlign w:val="center"/>
            <w:hideMark/>
          </w:tcPr>
          <w:p w14:paraId="62123D86" w14:textId="77777777" w:rsidR="00A43BAE" w:rsidRDefault="004C4233" w:rsidP="004C4233">
            <w:pPr>
              <w:spacing w:line="240" w:lineRule="auto"/>
              <w:jc w:val="left"/>
              <w:rPr>
                <w:rFonts w:ascii="Aptos Narrow" w:eastAsia="Times New Roman" w:hAnsi="Aptos Narrow" w:cs="Times New Roman"/>
                <w:color w:val="000000"/>
                <w:lang w:eastAsia="cs-CZ"/>
              </w:rPr>
            </w:pPr>
            <w:proofErr w:type="spellStart"/>
            <w:r>
              <w:rPr>
                <w:rFonts w:ascii="Aptos Narrow" w:eastAsia="Times New Roman" w:hAnsi="Aptos Narrow" w:cs="Times New Roman"/>
                <w:color w:val="000000"/>
                <w:lang w:eastAsia="cs-CZ"/>
              </w:rPr>
              <w:t>Mitigace</w:t>
            </w:r>
            <w:proofErr w:type="spellEnd"/>
          </w:p>
          <w:p w14:paraId="23531A71" w14:textId="77777777" w:rsidR="004C4233" w:rsidRDefault="004C4233" w:rsidP="004C4233">
            <w:pPr>
              <w:spacing w:line="240" w:lineRule="auto"/>
              <w:jc w:val="left"/>
              <w:rPr>
                <w:rFonts w:ascii="Aptos Narrow" w:eastAsia="Times New Roman" w:hAnsi="Aptos Narrow" w:cs="Times New Roman"/>
                <w:color w:val="000000"/>
                <w:lang w:eastAsia="cs-CZ"/>
              </w:rPr>
            </w:pPr>
          </w:p>
          <w:p w14:paraId="0B7140A6" w14:textId="386728ED" w:rsidR="004C4233" w:rsidRPr="00A43BAE" w:rsidRDefault="004C4233" w:rsidP="00D77C59">
            <w:pPr>
              <w:spacing w:line="240" w:lineRule="auto"/>
              <w:jc w:val="left"/>
              <w:rPr>
                <w:rFonts w:ascii="Aptos Narrow" w:eastAsia="Times New Roman" w:hAnsi="Aptos Narrow" w:cs="Times New Roman"/>
                <w:color w:val="000000"/>
                <w:lang w:eastAsia="cs-CZ"/>
              </w:rPr>
            </w:pPr>
          </w:p>
        </w:tc>
        <w:tc>
          <w:tcPr>
            <w:tcW w:w="2576" w:type="dxa"/>
            <w:tcBorders>
              <w:top w:val="nil"/>
              <w:left w:val="nil"/>
              <w:bottom w:val="single" w:sz="4" w:space="0" w:color="auto"/>
              <w:right w:val="single" w:sz="4" w:space="0" w:color="auto"/>
            </w:tcBorders>
            <w:hideMark/>
          </w:tcPr>
          <w:p w14:paraId="12C9CFF6" w14:textId="77777777" w:rsidR="00A43BAE" w:rsidRPr="00A43BAE" w:rsidRDefault="00A43BAE" w:rsidP="00A43BAE">
            <w:pPr>
              <w:spacing w:after="0" w:line="240" w:lineRule="auto"/>
              <w:jc w:val="left"/>
              <w:rPr>
                <w:rFonts w:ascii="Aptos Narrow" w:eastAsia="Times New Roman" w:hAnsi="Aptos Narrow" w:cs="Times New Roman"/>
                <w:color w:val="000000"/>
                <w:lang w:eastAsia="cs-CZ"/>
              </w:rPr>
            </w:pPr>
            <w:r w:rsidRPr="00A43BAE">
              <w:rPr>
                <w:rFonts w:ascii="Aptos Narrow" w:eastAsia="Times New Roman" w:hAnsi="Aptos Narrow" w:cs="Times New Roman"/>
                <w:color w:val="000000"/>
                <w:lang w:eastAsia="cs-CZ"/>
              </w:rPr>
              <w:t>Zdroje na biomasu</w:t>
            </w:r>
          </w:p>
        </w:tc>
        <w:tc>
          <w:tcPr>
            <w:tcW w:w="4440" w:type="dxa"/>
            <w:tcBorders>
              <w:top w:val="nil"/>
              <w:left w:val="nil"/>
              <w:bottom w:val="single" w:sz="4" w:space="0" w:color="auto"/>
              <w:right w:val="single" w:sz="4" w:space="0" w:color="auto"/>
            </w:tcBorders>
            <w:hideMark/>
          </w:tcPr>
          <w:p w14:paraId="633BD7EC" w14:textId="77777777" w:rsidR="00A43BAE" w:rsidRPr="00A43BAE" w:rsidRDefault="00A43BAE" w:rsidP="00A43BAE">
            <w:pPr>
              <w:spacing w:after="0" w:line="240" w:lineRule="auto"/>
              <w:jc w:val="left"/>
              <w:rPr>
                <w:rFonts w:ascii="Aptos Narrow" w:eastAsia="Times New Roman" w:hAnsi="Aptos Narrow" w:cs="Times New Roman"/>
                <w:color w:val="000000"/>
                <w:lang w:eastAsia="cs-CZ"/>
              </w:rPr>
            </w:pPr>
            <w:r w:rsidRPr="00A43BAE">
              <w:rPr>
                <w:rFonts w:ascii="Aptos Narrow" w:eastAsia="Times New Roman" w:hAnsi="Aptos Narrow" w:cs="Times New Roman"/>
                <w:color w:val="000000"/>
                <w:lang w:eastAsia="cs-CZ"/>
              </w:rPr>
              <w:t>V případě zdrojů na biomasu do 200 kW není nutné vyžadovat v rámci DNSH podmínky týkající se udržitelnosti biomasy.</w:t>
            </w:r>
          </w:p>
        </w:tc>
        <w:tc>
          <w:tcPr>
            <w:tcW w:w="1946" w:type="dxa"/>
            <w:tcBorders>
              <w:top w:val="nil"/>
              <w:left w:val="nil"/>
              <w:bottom w:val="single" w:sz="4" w:space="0" w:color="auto"/>
              <w:right w:val="single" w:sz="4" w:space="0" w:color="auto"/>
            </w:tcBorders>
            <w:hideMark/>
          </w:tcPr>
          <w:p w14:paraId="09D7647C" w14:textId="73A9E4D5" w:rsidR="00A43BAE" w:rsidRPr="00A43BAE" w:rsidRDefault="00A43BAE" w:rsidP="00A43BAE">
            <w:pPr>
              <w:spacing w:after="0" w:line="240" w:lineRule="auto"/>
              <w:jc w:val="left"/>
              <w:rPr>
                <w:rFonts w:ascii="Aptos Narrow" w:eastAsia="Times New Roman" w:hAnsi="Aptos Narrow" w:cs="Times New Roman"/>
                <w:color w:val="000000"/>
                <w:lang w:eastAsia="cs-CZ"/>
              </w:rPr>
            </w:pPr>
            <w:hyperlink w:anchor="_Podmínky_udržitelnosti_biomasy" w:history="1">
              <w:r w:rsidRPr="00E36C86">
                <w:rPr>
                  <w:rStyle w:val="Hypertextovodkaz"/>
                  <w:rFonts w:ascii="Aptos Narrow" w:eastAsia="Times New Roman" w:hAnsi="Aptos Narrow" w:cs="Times New Roman"/>
                  <w:lang w:eastAsia="cs-CZ"/>
                </w:rPr>
                <w:t>4.1.5.4.2</w:t>
              </w:r>
            </w:hyperlink>
          </w:p>
        </w:tc>
      </w:tr>
      <w:tr w:rsidR="005E1E2B" w:rsidRPr="00A43BAE" w14:paraId="75F65767" w14:textId="77777777" w:rsidTr="005E1E2B">
        <w:trPr>
          <w:trHeight w:val="1800"/>
        </w:trPr>
        <w:tc>
          <w:tcPr>
            <w:tcW w:w="4988" w:type="dxa"/>
            <w:tcBorders>
              <w:top w:val="nil"/>
              <w:left w:val="single" w:sz="4" w:space="0" w:color="auto"/>
              <w:bottom w:val="single" w:sz="4" w:space="0" w:color="auto"/>
              <w:right w:val="single" w:sz="4" w:space="0" w:color="auto"/>
            </w:tcBorders>
            <w:hideMark/>
          </w:tcPr>
          <w:p w14:paraId="7644C528" w14:textId="77777777" w:rsidR="00A43BAE" w:rsidRPr="00A43BAE" w:rsidRDefault="00A43BAE" w:rsidP="00A43BAE">
            <w:pPr>
              <w:spacing w:after="0" w:line="240" w:lineRule="auto"/>
              <w:jc w:val="left"/>
              <w:rPr>
                <w:rFonts w:ascii="Aptos Narrow" w:eastAsia="Times New Roman" w:hAnsi="Aptos Narrow" w:cs="Times New Roman"/>
                <w:color w:val="000000"/>
                <w:lang w:eastAsia="cs-CZ"/>
              </w:rPr>
            </w:pPr>
            <w:r w:rsidRPr="00A43BAE">
              <w:rPr>
                <w:rFonts w:ascii="Aptos Narrow" w:eastAsia="Times New Roman" w:hAnsi="Aptos Narrow" w:cs="Times New Roman"/>
                <w:color w:val="000000"/>
                <w:lang w:eastAsia="cs-CZ"/>
              </w:rPr>
              <w:t>Udržitelné využívání a ochrana vodních a mořských zdrojů</w:t>
            </w:r>
          </w:p>
        </w:tc>
        <w:tc>
          <w:tcPr>
            <w:tcW w:w="2576" w:type="dxa"/>
            <w:tcBorders>
              <w:top w:val="nil"/>
              <w:left w:val="nil"/>
              <w:bottom w:val="single" w:sz="4" w:space="0" w:color="auto"/>
              <w:right w:val="single" w:sz="4" w:space="0" w:color="auto"/>
            </w:tcBorders>
            <w:hideMark/>
          </w:tcPr>
          <w:p w14:paraId="474C90EF" w14:textId="77777777" w:rsidR="00A43BAE" w:rsidRPr="00A43BAE" w:rsidRDefault="00A43BAE" w:rsidP="00A43BAE">
            <w:pPr>
              <w:spacing w:after="0" w:line="240" w:lineRule="auto"/>
              <w:jc w:val="left"/>
              <w:rPr>
                <w:rFonts w:ascii="Aptos Narrow" w:eastAsia="Times New Roman" w:hAnsi="Aptos Narrow" w:cs="Times New Roman"/>
                <w:color w:val="000000"/>
                <w:lang w:eastAsia="cs-CZ"/>
              </w:rPr>
            </w:pPr>
            <w:r w:rsidRPr="00A43BAE">
              <w:rPr>
                <w:rFonts w:ascii="Aptos Narrow" w:eastAsia="Times New Roman" w:hAnsi="Aptos Narrow" w:cs="Times New Roman"/>
                <w:color w:val="000000"/>
                <w:lang w:eastAsia="cs-CZ"/>
              </w:rPr>
              <w:t>Zdravotnická zařízení v případě specializované péče</w:t>
            </w:r>
          </w:p>
        </w:tc>
        <w:tc>
          <w:tcPr>
            <w:tcW w:w="4440" w:type="dxa"/>
            <w:tcBorders>
              <w:top w:val="nil"/>
              <w:left w:val="nil"/>
              <w:bottom w:val="single" w:sz="4" w:space="0" w:color="auto"/>
              <w:right w:val="single" w:sz="4" w:space="0" w:color="auto"/>
            </w:tcBorders>
            <w:hideMark/>
          </w:tcPr>
          <w:p w14:paraId="5F60EEF9" w14:textId="77777777" w:rsidR="00A43BAE" w:rsidRPr="00A43BAE" w:rsidRDefault="00A43BAE" w:rsidP="00A43BAE">
            <w:pPr>
              <w:spacing w:after="0" w:line="240" w:lineRule="auto"/>
              <w:jc w:val="left"/>
              <w:rPr>
                <w:rFonts w:ascii="Aptos Narrow" w:eastAsia="Times New Roman" w:hAnsi="Aptos Narrow" w:cs="Times New Roman"/>
                <w:color w:val="000000"/>
                <w:lang w:eastAsia="cs-CZ"/>
              </w:rPr>
            </w:pPr>
            <w:r w:rsidRPr="00A43BAE">
              <w:rPr>
                <w:rFonts w:ascii="Aptos Narrow" w:eastAsia="Times New Roman" w:hAnsi="Aptos Narrow" w:cs="Times New Roman"/>
                <w:color w:val="000000"/>
                <w:lang w:eastAsia="cs-CZ"/>
              </w:rPr>
              <w:t>V případě zdravotnických zařízení v oblasti specializované péče je při odůvodnění možné instalovat spotřebiče/zařízení, která nesplňují požadavky na energetickou účinnost</w:t>
            </w:r>
          </w:p>
        </w:tc>
        <w:tc>
          <w:tcPr>
            <w:tcW w:w="1946" w:type="dxa"/>
            <w:tcBorders>
              <w:top w:val="nil"/>
              <w:left w:val="nil"/>
              <w:bottom w:val="single" w:sz="4" w:space="0" w:color="auto"/>
              <w:right w:val="single" w:sz="4" w:space="0" w:color="auto"/>
            </w:tcBorders>
            <w:hideMark/>
          </w:tcPr>
          <w:p w14:paraId="24BCB19B" w14:textId="07103256" w:rsidR="00A43BAE" w:rsidRPr="00A43BAE" w:rsidRDefault="00A43BAE" w:rsidP="00A43BAE">
            <w:pPr>
              <w:spacing w:after="0" w:line="240" w:lineRule="auto"/>
              <w:jc w:val="left"/>
              <w:rPr>
                <w:rFonts w:ascii="Aptos Narrow" w:eastAsia="Times New Roman" w:hAnsi="Aptos Narrow" w:cs="Times New Roman"/>
                <w:color w:val="000000"/>
                <w:lang w:eastAsia="cs-CZ"/>
              </w:rPr>
            </w:pPr>
            <w:hyperlink w:anchor="_Tabulka_podmínek_DNSH" w:history="1">
              <w:r w:rsidRPr="00E36C86">
                <w:rPr>
                  <w:rStyle w:val="Hypertextovodkaz"/>
                  <w:rFonts w:ascii="Aptos Narrow" w:eastAsia="Times New Roman" w:hAnsi="Aptos Narrow" w:cs="Segoe UI"/>
                  <w:lang w:eastAsia="cs-CZ"/>
                </w:rPr>
                <w:t>5.2.2.4</w:t>
              </w:r>
            </w:hyperlink>
            <w:r w:rsidR="00E36C86">
              <w:rPr>
                <w:rFonts w:ascii="Aptos Narrow" w:eastAsia="Times New Roman" w:hAnsi="Aptos Narrow" w:cs="Segoe UI"/>
                <w:color w:val="000000"/>
                <w:lang w:eastAsia="cs-CZ"/>
              </w:rPr>
              <w:t xml:space="preserve">, </w:t>
            </w:r>
            <w:hyperlink w:anchor="_Tabulka_podmínek_DNSH_1" w:history="1">
              <w:r w:rsidR="00E36C86" w:rsidRPr="00E36C86">
                <w:rPr>
                  <w:rStyle w:val="Hypertextovodkaz"/>
                  <w:rFonts w:ascii="Aptos Narrow" w:eastAsia="Times New Roman" w:hAnsi="Aptos Narrow" w:cs="Segoe UI"/>
                  <w:lang w:eastAsia="cs-CZ"/>
                </w:rPr>
                <w:t>5.2.3.1.6</w:t>
              </w:r>
            </w:hyperlink>
          </w:p>
        </w:tc>
      </w:tr>
      <w:tr w:rsidR="005E1E2B" w:rsidRPr="00A43BAE" w14:paraId="6BB1D358" w14:textId="77777777" w:rsidTr="005E1E2B">
        <w:trPr>
          <w:trHeight w:val="8190"/>
        </w:trPr>
        <w:tc>
          <w:tcPr>
            <w:tcW w:w="4988" w:type="dxa"/>
            <w:vMerge w:val="restart"/>
            <w:tcBorders>
              <w:top w:val="nil"/>
              <w:left w:val="single" w:sz="4" w:space="0" w:color="auto"/>
              <w:bottom w:val="single" w:sz="4" w:space="0" w:color="000000"/>
              <w:right w:val="single" w:sz="4" w:space="0" w:color="auto"/>
            </w:tcBorders>
            <w:hideMark/>
          </w:tcPr>
          <w:p w14:paraId="0684114B" w14:textId="77777777" w:rsidR="00A43BAE" w:rsidRPr="00A43BAE" w:rsidRDefault="00A43BAE" w:rsidP="00A43BAE">
            <w:pPr>
              <w:spacing w:after="0" w:line="240" w:lineRule="auto"/>
              <w:jc w:val="left"/>
              <w:rPr>
                <w:rFonts w:ascii="Aptos Narrow" w:eastAsia="Times New Roman" w:hAnsi="Aptos Narrow" w:cs="Times New Roman"/>
                <w:color w:val="000000"/>
                <w:lang w:eastAsia="cs-CZ"/>
              </w:rPr>
            </w:pPr>
            <w:r w:rsidRPr="00A43BAE">
              <w:rPr>
                <w:rFonts w:ascii="Aptos Narrow" w:eastAsia="Times New Roman" w:hAnsi="Aptos Narrow" w:cs="Times New Roman"/>
                <w:color w:val="000000"/>
                <w:lang w:eastAsia="cs-CZ"/>
              </w:rPr>
              <w:lastRenderedPageBreak/>
              <w:t>Ochrana a obnova biologické rozmanitosti a ekosystémů</w:t>
            </w:r>
          </w:p>
        </w:tc>
        <w:tc>
          <w:tcPr>
            <w:tcW w:w="2576" w:type="dxa"/>
            <w:tcBorders>
              <w:top w:val="nil"/>
              <w:left w:val="nil"/>
              <w:bottom w:val="single" w:sz="4" w:space="0" w:color="auto"/>
              <w:right w:val="single" w:sz="4" w:space="0" w:color="auto"/>
            </w:tcBorders>
            <w:hideMark/>
          </w:tcPr>
          <w:p w14:paraId="13981BED" w14:textId="06219C05" w:rsidR="00A43BAE" w:rsidRPr="00A43BAE" w:rsidRDefault="00771FD6" w:rsidP="00A43BAE">
            <w:pPr>
              <w:spacing w:after="0" w:line="240" w:lineRule="auto"/>
              <w:jc w:val="left"/>
              <w:rPr>
                <w:rFonts w:ascii="Aptos Narrow" w:eastAsia="Times New Roman" w:hAnsi="Aptos Narrow" w:cs="Times New Roman"/>
                <w:color w:val="000000"/>
                <w:lang w:eastAsia="cs-CZ"/>
              </w:rPr>
            </w:pPr>
            <w:r>
              <w:rPr>
                <w:rFonts w:ascii="Aptos Narrow" w:eastAsia="Times New Roman" w:hAnsi="Aptos Narrow" w:cs="Times New Roman"/>
                <w:color w:val="000000"/>
                <w:lang w:eastAsia="cs-CZ"/>
              </w:rPr>
              <w:t>J</w:t>
            </w:r>
            <w:r w:rsidRPr="00771FD6">
              <w:rPr>
                <w:rFonts w:ascii="Aptos Narrow" w:eastAsia="Times New Roman" w:hAnsi="Aptos Narrow" w:cs="Times New Roman"/>
                <w:color w:val="000000"/>
                <w:lang w:eastAsia="cs-CZ"/>
              </w:rPr>
              <w:t>ednoduché stavby dle přílohy 2 stavebního zákona č. 283/2021 Sb.</w:t>
            </w:r>
          </w:p>
        </w:tc>
        <w:tc>
          <w:tcPr>
            <w:tcW w:w="4440" w:type="dxa"/>
            <w:tcBorders>
              <w:top w:val="nil"/>
              <w:left w:val="nil"/>
              <w:bottom w:val="single" w:sz="4" w:space="0" w:color="auto"/>
              <w:right w:val="single" w:sz="4" w:space="0" w:color="auto"/>
            </w:tcBorders>
            <w:hideMark/>
          </w:tcPr>
          <w:p w14:paraId="4D7416FB" w14:textId="1367D45A" w:rsidR="00A43BAE" w:rsidRPr="00A43BAE" w:rsidRDefault="00A43BAE" w:rsidP="00A43BAE">
            <w:pPr>
              <w:spacing w:after="0" w:line="240" w:lineRule="auto"/>
              <w:jc w:val="left"/>
              <w:rPr>
                <w:rFonts w:ascii="Aptos Narrow" w:eastAsia="Times New Roman" w:hAnsi="Aptos Narrow" w:cs="Times New Roman"/>
                <w:color w:val="000000"/>
                <w:lang w:eastAsia="cs-CZ"/>
              </w:rPr>
            </w:pPr>
            <w:r w:rsidRPr="00A43BAE">
              <w:rPr>
                <w:rFonts w:ascii="Aptos Narrow" w:eastAsia="Times New Roman" w:hAnsi="Aptos Narrow" w:cs="Times New Roman"/>
                <w:color w:val="000000"/>
                <w:lang w:eastAsia="cs-CZ"/>
              </w:rPr>
              <w:t>Ze strany administrátorů fondů není nutné požadovat doložení splnění následující bodů v oblasti horizontálních podmínek ochrany a obnovy biologické rozmanitosti a ekosystémů:</w:t>
            </w:r>
            <w:r w:rsidRPr="00A43BAE">
              <w:rPr>
                <w:rFonts w:ascii="Aptos Narrow" w:eastAsia="Times New Roman" w:hAnsi="Aptos Narrow" w:cs="Times New Roman"/>
                <w:color w:val="000000"/>
                <w:lang w:eastAsia="cs-CZ"/>
              </w:rPr>
              <w:br/>
            </w:r>
            <w:r w:rsidRPr="00A43BAE">
              <w:rPr>
                <w:rFonts w:ascii="Aptos Narrow" w:eastAsia="Times New Roman" w:hAnsi="Aptos Narrow" w:cs="Times New Roman"/>
                <w:color w:val="000000"/>
                <w:lang w:eastAsia="cs-CZ"/>
              </w:rPr>
              <w:br/>
              <w:t>- Výstavba není realizována na ploše s vysokou hodnotou biologické rozmanitosti (pozn. interpretováno jako vymezená přírodní stanoviště přílohy č. I směrnice 92/43/EHS o stanovištích ) a půdě, která slouží jako stanoviště ohrožených druhů (flóry a fauny) uvedených na červeném seznamu</w:t>
            </w:r>
            <w:r w:rsidRPr="00A43BAE">
              <w:rPr>
                <w:rFonts w:ascii="Aptos Narrow" w:eastAsia="Times New Roman" w:hAnsi="Aptos Narrow" w:cs="Times New Roman"/>
                <w:color w:val="000000"/>
                <w:lang w:eastAsia="cs-CZ"/>
              </w:rPr>
              <w:br/>
              <w:t>- Realizace projektu ani nad rámec vlastního záboru nevede k šíření invazních druhů a ke snížení biologické hodnoty území (a při provádění prací nedochází ke zničení či zhoršování stavu vymezených přírodních stanovišť ani nad rámec vlastního záboru) v souladu s požadavky vyplývajících z Nařízení EU o obnově přírody,</w:t>
            </w:r>
            <w:r w:rsidR="00FB2A0F">
              <w:rPr>
                <w:rFonts w:ascii="Aptos Narrow" w:eastAsia="Times New Roman" w:hAnsi="Aptos Narrow" w:cs="Times New Roman"/>
                <w:color w:val="000000"/>
                <w:lang w:eastAsia="cs-CZ"/>
              </w:rPr>
              <w:t xml:space="preserve"> </w:t>
            </w:r>
            <w:r w:rsidRPr="00A43BAE">
              <w:rPr>
                <w:rFonts w:ascii="Aptos Narrow" w:eastAsia="Times New Roman" w:hAnsi="Aptos Narrow" w:cs="Times New Roman"/>
                <w:color w:val="000000"/>
                <w:lang w:eastAsia="cs-CZ"/>
              </w:rPr>
              <w:t>a Nařízení EU o prevenci a regulaci zavlékání či vysazování a šíření invazních nepůvodních druhů</w:t>
            </w:r>
          </w:p>
        </w:tc>
        <w:tc>
          <w:tcPr>
            <w:tcW w:w="1946" w:type="dxa"/>
            <w:tcBorders>
              <w:top w:val="nil"/>
              <w:left w:val="nil"/>
              <w:bottom w:val="single" w:sz="4" w:space="0" w:color="auto"/>
              <w:right w:val="single" w:sz="4" w:space="0" w:color="auto"/>
            </w:tcBorders>
            <w:hideMark/>
          </w:tcPr>
          <w:p w14:paraId="79A28AC0" w14:textId="246189A5" w:rsidR="00A43BAE" w:rsidRPr="00A43BAE" w:rsidRDefault="00A43BAE" w:rsidP="00A43BAE">
            <w:pPr>
              <w:spacing w:after="0" w:line="240" w:lineRule="auto"/>
              <w:jc w:val="left"/>
              <w:rPr>
                <w:rFonts w:ascii="Aptos Narrow" w:eastAsia="Times New Roman" w:hAnsi="Aptos Narrow" w:cs="Times New Roman"/>
                <w:color w:val="000000"/>
                <w:lang w:eastAsia="cs-CZ"/>
              </w:rPr>
            </w:pPr>
            <w:hyperlink w:anchor="_Horizontální_podmínky_ochrany" w:history="1">
              <w:r w:rsidRPr="00E36C86">
                <w:rPr>
                  <w:rStyle w:val="Hypertextovodkaz"/>
                  <w:rFonts w:ascii="Aptos Narrow" w:eastAsia="Times New Roman" w:hAnsi="Aptos Narrow" w:cs="Times New Roman"/>
                  <w:lang w:eastAsia="cs-CZ"/>
                </w:rPr>
                <w:t>4.6.4.1</w:t>
              </w:r>
            </w:hyperlink>
          </w:p>
        </w:tc>
      </w:tr>
      <w:tr w:rsidR="005E1E2B" w:rsidRPr="00A43BAE" w14:paraId="10B152D5" w14:textId="77777777" w:rsidTr="005E1E2B">
        <w:trPr>
          <w:trHeight w:val="6000"/>
        </w:trPr>
        <w:tc>
          <w:tcPr>
            <w:tcW w:w="4988" w:type="dxa"/>
            <w:vMerge/>
            <w:tcBorders>
              <w:top w:val="nil"/>
              <w:left w:val="single" w:sz="4" w:space="0" w:color="auto"/>
              <w:bottom w:val="single" w:sz="4" w:space="0" w:color="000000"/>
              <w:right w:val="single" w:sz="4" w:space="0" w:color="auto"/>
            </w:tcBorders>
            <w:vAlign w:val="center"/>
            <w:hideMark/>
          </w:tcPr>
          <w:p w14:paraId="2005D0E1" w14:textId="77777777" w:rsidR="00A43BAE" w:rsidRPr="00A43BAE" w:rsidRDefault="00A43BAE" w:rsidP="00A43BAE">
            <w:pPr>
              <w:spacing w:after="0" w:line="240" w:lineRule="auto"/>
              <w:jc w:val="left"/>
              <w:rPr>
                <w:rFonts w:ascii="Aptos Narrow" w:eastAsia="Times New Roman" w:hAnsi="Aptos Narrow" w:cs="Times New Roman"/>
                <w:color w:val="000000"/>
                <w:lang w:eastAsia="cs-CZ"/>
              </w:rPr>
            </w:pPr>
          </w:p>
        </w:tc>
        <w:tc>
          <w:tcPr>
            <w:tcW w:w="2576" w:type="dxa"/>
            <w:tcBorders>
              <w:top w:val="nil"/>
              <w:left w:val="nil"/>
              <w:bottom w:val="single" w:sz="4" w:space="0" w:color="auto"/>
              <w:right w:val="single" w:sz="4" w:space="0" w:color="auto"/>
            </w:tcBorders>
            <w:hideMark/>
          </w:tcPr>
          <w:p w14:paraId="1A2B0F99" w14:textId="77777777" w:rsidR="00A43BAE" w:rsidRPr="00A43BAE" w:rsidRDefault="00A43BAE" w:rsidP="00A43BAE">
            <w:pPr>
              <w:spacing w:after="0" w:line="240" w:lineRule="auto"/>
              <w:jc w:val="left"/>
              <w:rPr>
                <w:rFonts w:ascii="Aptos Narrow" w:eastAsia="Times New Roman" w:hAnsi="Aptos Narrow" w:cs="Times New Roman"/>
                <w:color w:val="000000"/>
                <w:lang w:eastAsia="cs-CZ"/>
              </w:rPr>
            </w:pPr>
            <w:r w:rsidRPr="00A43BAE">
              <w:rPr>
                <w:rFonts w:ascii="Aptos Narrow" w:eastAsia="Times New Roman" w:hAnsi="Aptos Narrow" w:cs="Times New Roman"/>
                <w:color w:val="000000"/>
                <w:lang w:eastAsia="cs-CZ"/>
              </w:rPr>
              <w:t xml:space="preserve">Záměry OZE v rámci akceleračních zón </w:t>
            </w:r>
          </w:p>
        </w:tc>
        <w:tc>
          <w:tcPr>
            <w:tcW w:w="4440" w:type="dxa"/>
            <w:tcBorders>
              <w:top w:val="nil"/>
              <w:left w:val="nil"/>
              <w:bottom w:val="single" w:sz="4" w:space="0" w:color="auto"/>
              <w:right w:val="single" w:sz="4" w:space="0" w:color="auto"/>
            </w:tcBorders>
            <w:hideMark/>
          </w:tcPr>
          <w:p w14:paraId="01021B7B" w14:textId="77777777" w:rsidR="00A43BAE" w:rsidRPr="00A43BAE" w:rsidRDefault="00A43BAE" w:rsidP="00A43BAE">
            <w:pPr>
              <w:spacing w:after="0" w:line="240" w:lineRule="auto"/>
              <w:jc w:val="left"/>
              <w:rPr>
                <w:rFonts w:ascii="Aptos Narrow" w:eastAsia="Times New Roman" w:hAnsi="Aptos Narrow" w:cs="Times New Roman"/>
                <w:color w:val="000000"/>
                <w:lang w:eastAsia="cs-CZ"/>
              </w:rPr>
            </w:pPr>
            <w:r w:rsidRPr="00A43BAE">
              <w:rPr>
                <w:rFonts w:ascii="Aptos Narrow" w:eastAsia="Times New Roman" w:hAnsi="Aptos Narrow" w:cs="Times New Roman"/>
                <w:color w:val="000000"/>
                <w:lang w:eastAsia="cs-CZ"/>
              </w:rPr>
              <w:t xml:space="preserve">DNSH je zajištěno v rámci povolovacího postupu, kdy krajský úřad (orgán příslušný pro vydání jednotného environmentálního stanoviska pro záměry OZE v akceleračních zónách) posoudí soulad záměru OZE s podmínkami a zmírňujícími opatřeními stanovenými v územním opatření, případně závazně stanoví další podmínky pro jeho </w:t>
            </w:r>
            <w:proofErr w:type="gramStart"/>
            <w:r w:rsidRPr="00A43BAE">
              <w:rPr>
                <w:rFonts w:ascii="Aptos Narrow" w:eastAsia="Times New Roman" w:hAnsi="Aptos Narrow" w:cs="Times New Roman"/>
                <w:color w:val="000000"/>
                <w:lang w:eastAsia="cs-CZ"/>
              </w:rPr>
              <w:t>povolení - zejména</w:t>
            </w:r>
            <w:proofErr w:type="gramEnd"/>
            <w:r w:rsidRPr="00A43BAE">
              <w:rPr>
                <w:rFonts w:ascii="Aptos Narrow" w:eastAsia="Times New Roman" w:hAnsi="Aptos Narrow" w:cs="Times New Roman"/>
                <w:color w:val="000000"/>
                <w:lang w:eastAsia="cs-CZ"/>
              </w:rPr>
              <w:t xml:space="preserve"> nové podmínky ve vztahu k aspektům, které nebyly při vymezování akcelerační oblasti řešeny. Není proto nutné stanovovat podmínky DNSH v této oblasti nad rámec povolovacích procesů.</w:t>
            </w:r>
          </w:p>
        </w:tc>
        <w:tc>
          <w:tcPr>
            <w:tcW w:w="1946" w:type="dxa"/>
            <w:tcBorders>
              <w:top w:val="nil"/>
              <w:left w:val="nil"/>
              <w:bottom w:val="single" w:sz="4" w:space="0" w:color="auto"/>
              <w:right w:val="single" w:sz="4" w:space="0" w:color="auto"/>
            </w:tcBorders>
            <w:hideMark/>
          </w:tcPr>
          <w:p w14:paraId="48E4E851" w14:textId="343EF5EC" w:rsidR="00A43BAE" w:rsidRPr="00A43BAE" w:rsidRDefault="006D32D2" w:rsidP="00A43BAE">
            <w:pPr>
              <w:spacing w:after="0" w:line="240" w:lineRule="auto"/>
              <w:jc w:val="left"/>
              <w:rPr>
                <w:rFonts w:ascii="Aptos Narrow" w:eastAsia="Times New Roman" w:hAnsi="Aptos Narrow" w:cs="Times New Roman"/>
                <w:color w:val="000000"/>
                <w:lang w:eastAsia="cs-CZ"/>
              </w:rPr>
            </w:pPr>
            <w:hyperlink w:anchor="_Postupy_typizovaných_projektů" w:history="1">
              <w:r w:rsidRPr="006D32D2">
                <w:rPr>
                  <w:rStyle w:val="Hypertextovodkaz"/>
                  <w:rFonts w:ascii="Aptos Narrow" w:eastAsia="Times New Roman" w:hAnsi="Aptos Narrow" w:cs="Times New Roman"/>
                  <w:lang w:eastAsia="cs-CZ"/>
                </w:rPr>
                <w:t>4.6.4.1.2</w:t>
              </w:r>
            </w:hyperlink>
          </w:p>
        </w:tc>
      </w:tr>
      <w:tr w:rsidR="005E1E2B" w:rsidRPr="00A43BAE" w14:paraId="6D43745E" w14:textId="77777777" w:rsidTr="005E1E2B">
        <w:trPr>
          <w:trHeight w:val="4800"/>
        </w:trPr>
        <w:tc>
          <w:tcPr>
            <w:tcW w:w="4988" w:type="dxa"/>
            <w:tcBorders>
              <w:top w:val="nil"/>
              <w:left w:val="single" w:sz="4" w:space="0" w:color="auto"/>
              <w:bottom w:val="single" w:sz="4" w:space="0" w:color="auto"/>
              <w:right w:val="single" w:sz="4" w:space="0" w:color="auto"/>
            </w:tcBorders>
            <w:hideMark/>
          </w:tcPr>
          <w:p w14:paraId="7DC3676D" w14:textId="114A42A3" w:rsidR="00A43BAE" w:rsidRPr="00A43BAE" w:rsidRDefault="00A43BAE" w:rsidP="00A43BAE">
            <w:pPr>
              <w:spacing w:after="0" w:line="240" w:lineRule="auto"/>
              <w:jc w:val="left"/>
              <w:rPr>
                <w:rFonts w:ascii="Aptos Narrow" w:eastAsia="Times New Roman" w:hAnsi="Aptos Narrow" w:cs="Times New Roman"/>
                <w:color w:val="000000"/>
                <w:lang w:eastAsia="cs-CZ"/>
              </w:rPr>
            </w:pPr>
            <w:r w:rsidRPr="00A43BAE">
              <w:rPr>
                <w:rFonts w:ascii="Aptos Narrow" w:eastAsia="Times New Roman" w:hAnsi="Aptos Narrow" w:cs="Times New Roman"/>
                <w:color w:val="000000"/>
                <w:lang w:eastAsia="cs-CZ"/>
              </w:rPr>
              <w:lastRenderedPageBreak/>
              <w:t>Na základě vyhod</w:t>
            </w:r>
            <w:r w:rsidR="00E36C86">
              <w:rPr>
                <w:rFonts w:ascii="Aptos Narrow" w:eastAsia="Times New Roman" w:hAnsi="Aptos Narrow" w:cs="Times New Roman"/>
                <w:color w:val="000000"/>
                <w:lang w:eastAsia="cs-CZ"/>
              </w:rPr>
              <w:t>no</w:t>
            </w:r>
            <w:r w:rsidRPr="00A43BAE">
              <w:rPr>
                <w:rFonts w:ascii="Aptos Narrow" w:eastAsia="Times New Roman" w:hAnsi="Aptos Narrow" w:cs="Times New Roman"/>
                <w:color w:val="000000"/>
                <w:lang w:eastAsia="cs-CZ"/>
              </w:rPr>
              <w:t xml:space="preserve">cení </w:t>
            </w:r>
            <w:r w:rsidR="007F68AD">
              <w:rPr>
                <w:rFonts w:ascii="Aptos Narrow" w:eastAsia="Times New Roman" w:hAnsi="Aptos Narrow" w:cs="Times New Roman"/>
                <w:color w:val="000000"/>
                <w:lang w:eastAsia="cs-CZ"/>
              </w:rPr>
              <w:t>administrátora zdrojů EU</w:t>
            </w:r>
            <w:r w:rsidRPr="00A43BAE">
              <w:rPr>
                <w:rFonts w:ascii="Aptos Narrow" w:eastAsia="Times New Roman" w:hAnsi="Aptos Narrow" w:cs="Times New Roman"/>
                <w:color w:val="000000"/>
                <w:lang w:eastAsia="cs-CZ"/>
              </w:rPr>
              <w:t xml:space="preserve"> </w:t>
            </w:r>
          </w:p>
        </w:tc>
        <w:tc>
          <w:tcPr>
            <w:tcW w:w="2576" w:type="dxa"/>
            <w:tcBorders>
              <w:top w:val="nil"/>
              <w:left w:val="nil"/>
              <w:bottom w:val="single" w:sz="4" w:space="0" w:color="auto"/>
              <w:right w:val="single" w:sz="4" w:space="0" w:color="auto"/>
            </w:tcBorders>
            <w:hideMark/>
          </w:tcPr>
          <w:p w14:paraId="4C63CDB0" w14:textId="77777777" w:rsidR="00A43BAE" w:rsidRPr="00A43BAE" w:rsidRDefault="00A43BAE" w:rsidP="00A43BAE">
            <w:pPr>
              <w:spacing w:after="0" w:line="240" w:lineRule="auto"/>
              <w:jc w:val="left"/>
              <w:rPr>
                <w:rFonts w:ascii="Aptos Narrow" w:eastAsia="Times New Roman" w:hAnsi="Aptos Narrow" w:cs="Times New Roman"/>
                <w:color w:val="000000"/>
                <w:lang w:eastAsia="cs-CZ"/>
              </w:rPr>
            </w:pPr>
            <w:r w:rsidRPr="00A43BAE">
              <w:rPr>
                <w:rFonts w:ascii="Aptos Narrow" w:eastAsia="Times New Roman" w:hAnsi="Aptos Narrow" w:cs="Times New Roman"/>
                <w:color w:val="000000"/>
                <w:lang w:eastAsia="cs-CZ"/>
              </w:rPr>
              <w:t>Historicky či architektonicky cenné budovy</w:t>
            </w:r>
          </w:p>
        </w:tc>
        <w:tc>
          <w:tcPr>
            <w:tcW w:w="4440" w:type="dxa"/>
            <w:tcBorders>
              <w:top w:val="nil"/>
              <w:left w:val="nil"/>
              <w:bottom w:val="single" w:sz="4" w:space="0" w:color="auto"/>
              <w:right w:val="single" w:sz="4" w:space="0" w:color="auto"/>
            </w:tcBorders>
            <w:hideMark/>
          </w:tcPr>
          <w:p w14:paraId="2BD6B3FA" w14:textId="77777777" w:rsidR="00A43BAE" w:rsidRPr="00A43BAE" w:rsidRDefault="00A43BAE" w:rsidP="00A43BAE">
            <w:pPr>
              <w:spacing w:after="0" w:line="240" w:lineRule="auto"/>
              <w:jc w:val="left"/>
              <w:rPr>
                <w:rFonts w:ascii="Aptos Narrow" w:eastAsia="Times New Roman" w:hAnsi="Aptos Narrow" w:cs="Times New Roman"/>
                <w:color w:val="000000"/>
                <w:lang w:eastAsia="cs-CZ"/>
              </w:rPr>
            </w:pPr>
            <w:r w:rsidRPr="00A43BAE">
              <w:rPr>
                <w:rFonts w:ascii="Aptos Narrow" w:eastAsia="Times New Roman" w:hAnsi="Aptos Narrow" w:cs="Times New Roman"/>
                <w:color w:val="000000"/>
                <w:lang w:eastAsia="cs-CZ"/>
              </w:rPr>
              <w:t xml:space="preserve">V kontextu zachování historicky cenných hodnot proto často není možné přistoupit k realizaci všech zamýšlených </w:t>
            </w:r>
            <w:proofErr w:type="spellStart"/>
            <w:r w:rsidRPr="00A43BAE">
              <w:rPr>
                <w:rFonts w:ascii="Aptos Narrow" w:eastAsia="Times New Roman" w:hAnsi="Aptos Narrow" w:cs="Times New Roman"/>
                <w:color w:val="000000"/>
                <w:lang w:eastAsia="cs-CZ"/>
              </w:rPr>
              <w:t>mitigačních</w:t>
            </w:r>
            <w:proofErr w:type="spellEnd"/>
            <w:r w:rsidRPr="00A43BAE">
              <w:rPr>
                <w:rFonts w:ascii="Aptos Narrow" w:eastAsia="Times New Roman" w:hAnsi="Aptos Narrow" w:cs="Times New Roman"/>
                <w:color w:val="000000"/>
                <w:lang w:eastAsia="cs-CZ"/>
              </w:rPr>
              <w:t xml:space="preserve"> a adaptačních opatření. Problematické bývá například zateplení fasády z vnější strany, limitována může být i výměna oken nebo umístění fotovoltaiky. Historicky či architektonicky cenné budovy proto představují výjimku při uplatňování zásady významně nepoškozovat tam, kde by se postupy dostaly do rozporu s právním režimem ochrany těchto budov. </w:t>
            </w:r>
          </w:p>
        </w:tc>
        <w:tc>
          <w:tcPr>
            <w:tcW w:w="1946" w:type="dxa"/>
            <w:tcBorders>
              <w:top w:val="nil"/>
              <w:left w:val="nil"/>
              <w:bottom w:val="single" w:sz="4" w:space="0" w:color="auto"/>
              <w:right w:val="single" w:sz="4" w:space="0" w:color="auto"/>
            </w:tcBorders>
            <w:hideMark/>
          </w:tcPr>
          <w:p w14:paraId="66C34BE5" w14:textId="19BDA937" w:rsidR="00A43BAE" w:rsidRPr="00A43BAE" w:rsidRDefault="00A43BAE" w:rsidP="00A43BAE">
            <w:pPr>
              <w:spacing w:after="0" w:line="240" w:lineRule="auto"/>
              <w:jc w:val="left"/>
              <w:rPr>
                <w:rFonts w:ascii="Aptos Narrow" w:eastAsia="Times New Roman" w:hAnsi="Aptos Narrow" w:cs="Times New Roman"/>
                <w:color w:val="000000"/>
                <w:lang w:eastAsia="cs-CZ"/>
              </w:rPr>
            </w:pPr>
            <w:hyperlink w:anchor="_Výjimky_z_DNSH:" w:history="1">
              <w:r w:rsidRPr="00E36C86">
                <w:rPr>
                  <w:rStyle w:val="Hypertextovodkaz"/>
                  <w:rFonts w:ascii="Aptos Narrow" w:eastAsia="Times New Roman" w:hAnsi="Aptos Narrow" w:cs="Times New Roman"/>
                  <w:lang w:eastAsia="cs-CZ"/>
                </w:rPr>
                <w:t>5.2.1.1</w:t>
              </w:r>
            </w:hyperlink>
          </w:p>
        </w:tc>
      </w:tr>
    </w:tbl>
    <w:p w14:paraId="46A23DEF" w14:textId="77777777" w:rsidR="009E22EA" w:rsidRDefault="009E22EA">
      <w:pPr>
        <w:pStyle w:val="Nadpis2"/>
        <w:sectPr w:rsidR="009E22EA" w:rsidSect="00D77C59">
          <w:pgSz w:w="16838" w:h="11906" w:orient="landscape"/>
          <w:pgMar w:top="1418" w:right="1418" w:bottom="1418" w:left="1418" w:header="709" w:footer="709" w:gutter="0"/>
          <w:cols w:space="708"/>
        </w:sectPr>
      </w:pPr>
    </w:p>
    <w:p w14:paraId="6FD173C7" w14:textId="39359A14" w:rsidR="009E22EA" w:rsidRDefault="009E22EA">
      <w:pPr>
        <w:pStyle w:val="Nadpis2"/>
      </w:pPr>
      <w:bookmarkStart w:id="171" w:name="_Přehled_postupů_pro"/>
      <w:bookmarkStart w:id="172" w:name="_Toc210046046"/>
      <w:bookmarkEnd w:id="171"/>
      <w:r>
        <w:lastRenderedPageBreak/>
        <w:t xml:space="preserve">Přehled postupů pro vyhodnocení souladu se zásadou DNSH a provedení postupů </w:t>
      </w:r>
      <w:proofErr w:type="spellStart"/>
      <w:r>
        <w:t>climate</w:t>
      </w:r>
      <w:proofErr w:type="spellEnd"/>
      <w:r>
        <w:t xml:space="preserve"> </w:t>
      </w:r>
      <w:proofErr w:type="spellStart"/>
      <w:r>
        <w:t>proofing</w:t>
      </w:r>
      <w:bookmarkEnd w:id="172"/>
      <w:proofErr w:type="spellEnd"/>
    </w:p>
    <w:p w14:paraId="3267BA54" w14:textId="77777777" w:rsidR="003732CC" w:rsidRDefault="009E22EA" w:rsidP="009E22EA">
      <w:r>
        <w:t xml:space="preserve">Následující diagram zobrazuje souhrnný přehled postupů relevantních pro vyhodnocení souladu se zásadou DNSH a pro provedení postupů </w:t>
      </w:r>
      <w:proofErr w:type="spellStart"/>
      <w:r>
        <w:t>climate</w:t>
      </w:r>
      <w:proofErr w:type="spellEnd"/>
      <w:r>
        <w:t xml:space="preserve"> </w:t>
      </w:r>
      <w:proofErr w:type="spellStart"/>
      <w:r>
        <w:t>proofing</w:t>
      </w:r>
      <w:proofErr w:type="spellEnd"/>
      <w:r>
        <w:t xml:space="preserve"> pro všechny klimatické a environmentální cíle, obsažené v kapitolách 4.</w:t>
      </w:r>
      <w:proofErr w:type="gramStart"/>
      <w:r>
        <w:t>1 – 4</w:t>
      </w:r>
      <w:proofErr w:type="gramEnd"/>
      <w:r>
        <w:t>.6.</w:t>
      </w:r>
    </w:p>
    <w:p w14:paraId="262C9DF1" w14:textId="7FB03178" w:rsidR="009E22EA" w:rsidRPr="009E22EA" w:rsidRDefault="009A28BE" w:rsidP="009D281E">
      <w:r w:rsidRPr="006C1B48">
        <w:rPr>
          <w:i/>
          <w:iCs/>
          <w:highlight w:val="yellow"/>
        </w:rPr>
        <w:t>Po finalizaci materiálu bude doplněn</w:t>
      </w:r>
      <w:r>
        <w:rPr>
          <w:i/>
          <w:iCs/>
          <w:highlight w:val="yellow"/>
        </w:rPr>
        <w:t xml:space="preserve"> graficky upravený</w:t>
      </w:r>
      <w:r w:rsidRPr="006C1B48">
        <w:rPr>
          <w:i/>
          <w:iCs/>
          <w:highlight w:val="yellow"/>
        </w:rPr>
        <w:t xml:space="preserve"> celkový diagram postupů ve spolupráci s O82</w:t>
      </w:r>
    </w:p>
    <w:sectPr w:rsidR="009E22EA" w:rsidRPr="009E22EA" w:rsidSect="009D281E">
      <w:pgSz w:w="11906" w:h="16838"/>
      <w:pgMar w:top="1418"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49BDB" w14:textId="77777777" w:rsidR="004E6E68" w:rsidRDefault="004E6E68">
      <w:pPr>
        <w:spacing w:after="0" w:line="240" w:lineRule="auto"/>
      </w:pPr>
      <w:r>
        <w:separator/>
      </w:r>
    </w:p>
  </w:endnote>
  <w:endnote w:type="continuationSeparator" w:id="0">
    <w:p w14:paraId="1470B3A8" w14:textId="77777777" w:rsidR="004E6E68" w:rsidRDefault="004E6E68">
      <w:pPr>
        <w:spacing w:after="0" w:line="240" w:lineRule="auto"/>
      </w:pPr>
      <w:r>
        <w:continuationSeparator/>
      </w:r>
    </w:p>
  </w:endnote>
  <w:endnote w:type="continuationNotice" w:id="1">
    <w:p w14:paraId="66A0828F" w14:textId="77777777" w:rsidR="004E6E68" w:rsidRDefault="004E6E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rlito">
    <w:altName w:val="Calibri"/>
    <w:charset w:val="EE"/>
    <w:family w:val="swiss"/>
    <w:pitch w:val="variable"/>
    <w:sig w:usb0="E10002FF" w:usb1="5000ECFF" w:usb2="00000009" w:usb3="00000000" w:csb0="0000019F" w:csb1="00000000"/>
  </w:font>
  <w:font w:name="EU Albertina">
    <w:altName w:val="Cambria"/>
    <w:panose1 w:val="00000000000000000000"/>
    <w:charset w:val="00"/>
    <w:family w:val="roman"/>
    <w:notTrueType/>
    <w:pitch w:val="default"/>
    <w:sig w:usb0="00000003" w:usb1="00000000" w:usb2="00000000" w:usb3="00000000" w:csb0="00000001"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99C76" w14:textId="77777777" w:rsidR="00602DCA" w:rsidRDefault="00602DCA">
    <w:pPr>
      <w:pStyle w:val="Zpat"/>
    </w:pPr>
  </w:p>
  <w:p w14:paraId="7EF42172" w14:textId="77777777" w:rsidR="00602DCA" w:rsidRDefault="00602DCA"/>
  <w:p w14:paraId="76B416A9" w14:textId="77777777" w:rsidR="00602DCA" w:rsidRDefault="00602DCA"/>
  <w:p w14:paraId="75D64229" w14:textId="77777777" w:rsidR="00602DCA" w:rsidRDefault="00602DCA"/>
  <w:p w14:paraId="37B506F9" w14:textId="77777777" w:rsidR="00602DCA" w:rsidRDefault="00602DC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9329494"/>
      <w:docPartObj>
        <w:docPartGallery w:val="Page Numbers (Bottom of Page)"/>
        <w:docPartUnique/>
      </w:docPartObj>
    </w:sdtPr>
    <w:sdtEndPr/>
    <w:sdtContent>
      <w:p w14:paraId="47181B94" w14:textId="77777777" w:rsidR="00602DCA" w:rsidRDefault="00C5530C">
        <w:pPr>
          <w:pStyle w:val="Zpat"/>
          <w:jc w:val="center"/>
        </w:pPr>
        <w:r>
          <w:fldChar w:fldCharType="begin"/>
        </w:r>
        <w:r>
          <w:instrText>PAGE   \* MERGEFORMAT</w:instrText>
        </w:r>
        <w:r>
          <w:fldChar w:fldCharType="separate"/>
        </w:r>
        <w:r>
          <w:t>59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1A823" w14:textId="77777777" w:rsidR="004E6E68" w:rsidRDefault="004E6E68">
      <w:pPr>
        <w:spacing w:after="0" w:line="240" w:lineRule="auto"/>
      </w:pPr>
      <w:r>
        <w:separator/>
      </w:r>
    </w:p>
  </w:footnote>
  <w:footnote w:type="continuationSeparator" w:id="0">
    <w:p w14:paraId="6D6BBB53" w14:textId="77777777" w:rsidR="004E6E68" w:rsidRDefault="004E6E68">
      <w:pPr>
        <w:spacing w:after="0" w:line="240" w:lineRule="auto"/>
      </w:pPr>
      <w:r>
        <w:continuationSeparator/>
      </w:r>
    </w:p>
  </w:footnote>
  <w:footnote w:type="continuationNotice" w:id="1">
    <w:p w14:paraId="2FEDCB35" w14:textId="77777777" w:rsidR="004E6E68" w:rsidRDefault="004E6E68">
      <w:pPr>
        <w:spacing w:after="0" w:line="240" w:lineRule="auto"/>
      </w:pPr>
    </w:p>
  </w:footnote>
  <w:footnote w:id="2">
    <w:p w14:paraId="72B428AA" w14:textId="77777777" w:rsidR="00602DCA" w:rsidRPr="00D77C59" w:rsidRDefault="00C5530C">
      <w:pPr>
        <w:pStyle w:val="Textpoznpodarou"/>
        <w:jc w:val="left"/>
        <w:rPr>
          <w:rFonts w:cs="Segoe UI"/>
          <w:sz w:val="18"/>
          <w:szCs w:val="18"/>
        </w:rPr>
      </w:pPr>
      <w:r w:rsidRPr="00D77C59">
        <w:rPr>
          <w:rStyle w:val="Znakapoznpodarou"/>
          <w:rFonts w:cs="Segoe UI"/>
          <w:sz w:val="18"/>
          <w:szCs w:val="18"/>
        </w:rPr>
        <w:footnoteRef/>
      </w:r>
      <w:hyperlink r:id="rId1" w:tooltip="https://ec.europa.eu/info/sites/default/files/about_the_european_commission/eu_budget/swd_2022_225_climate_mainstreaming_architecture_2021-2027.pdf" w:history="1">
        <w:r w:rsidR="00602DCA" w:rsidRPr="00D77C59">
          <w:rPr>
            <w:rStyle w:val="Hypertextovodkaz"/>
            <w:rFonts w:cs="Segoe UI"/>
            <w:sz w:val="18"/>
            <w:szCs w:val="18"/>
          </w:rPr>
          <w:t>https://ec.europa.eu/info/sites/default/files/about_the_european_commission/eu_budget/swd_2022_225_climate_mainstreaming_architecture_2021-2027.pdf</w:t>
        </w:r>
      </w:hyperlink>
      <w:r w:rsidRPr="00D77C59">
        <w:rPr>
          <w:rFonts w:cs="Segoe UI"/>
          <w:sz w:val="18"/>
          <w:szCs w:val="18"/>
        </w:rPr>
        <w:t xml:space="preserve"> </w:t>
      </w:r>
    </w:p>
  </w:footnote>
  <w:footnote w:id="3">
    <w:p w14:paraId="0489099B" w14:textId="77777777" w:rsidR="00602DCA" w:rsidRPr="00D77C59" w:rsidRDefault="00C5530C">
      <w:pPr>
        <w:pStyle w:val="Textpoznpodarou"/>
        <w:jc w:val="left"/>
        <w:rPr>
          <w:rFonts w:cs="Segoe UI"/>
          <w:sz w:val="18"/>
          <w:szCs w:val="18"/>
        </w:rPr>
      </w:pPr>
      <w:r w:rsidRPr="00D77C59">
        <w:rPr>
          <w:rStyle w:val="Znakapoznpodarou"/>
          <w:rFonts w:cs="Segoe UI"/>
          <w:sz w:val="18"/>
          <w:szCs w:val="18"/>
        </w:rPr>
        <w:footnoteRef/>
      </w:r>
      <w:r w:rsidRPr="00D77C59">
        <w:rPr>
          <w:rFonts w:cs="Segoe UI"/>
          <w:sz w:val="18"/>
          <w:szCs w:val="18"/>
        </w:rPr>
        <w:t xml:space="preserve"> Viz </w:t>
      </w:r>
      <w:hyperlink r:id="rId2" w:tooltip="https://ec.europa.eu/info/strategy/eu-budget/performance-and-reporting/mainstreaming_en" w:history="1">
        <w:r w:rsidR="00602DCA" w:rsidRPr="00D77C59">
          <w:rPr>
            <w:rStyle w:val="Hypertextovodkaz"/>
            <w:rFonts w:cs="Segoe UI"/>
            <w:sz w:val="18"/>
            <w:szCs w:val="18"/>
          </w:rPr>
          <w:t>https://ec.europa.eu/info/strategy/eu-budget/performance-and-reporting/mainstreaming_en</w:t>
        </w:r>
      </w:hyperlink>
      <w:r w:rsidRPr="00D77C59">
        <w:rPr>
          <w:rFonts w:cs="Segoe UI"/>
          <w:sz w:val="18"/>
          <w:szCs w:val="18"/>
        </w:rPr>
        <w:t xml:space="preserve"> </w:t>
      </w:r>
    </w:p>
  </w:footnote>
  <w:footnote w:id="4">
    <w:p w14:paraId="18423EED" w14:textId="77777777" w:rsidR="00602DCA" w:rsidRPr="00D77C59" w:rsidRDefault="00C5530C">
      <w:pPr>
        <w:pStyle w:val="Textpoznpodarou"/>
        <w:jc w:val="left"/>
        <w:rPr>
          <w:rFonts w:cs="Segoe UI"/>
          <w:sz w:val="18"/>
          <w:szCs w:val="18"/>
        </w:rPr>
      </w:pPr>
      <w:r w:rsidRPr="00D77C59">
        <w:rPr>
          <w:rStyle w:val="Znakapoznpodarou"/>
          <w:rFonts w:cs="Segoe UI"/>
          <w:sz w:val="18"/>
          <w:szCs w:val="18"/>
        </w:rPr>
        <w:footnoteRef/>
      </w:r>
      <w:r w:rsidRPr="00D77C59">
        <w:rPr>
          <w:rFonts w:cs="Segoe UI"/>
          <w:sz w:val="18"/>
          <w:szCs w:val="18"/>
        </w:rPr>
        <w:t xml:space="preserve"> Viz </w:t>
      </w:r>
      <w:hyperlink r:id="rId3" w:tooltip="https://ec.europa.eu/environment/nature/biodiversity/financing_en.htm" w:history="1">
        <w:r w:rsidR="00602DCA" w:rsidRPr="00D77C59">
          <w:rPr>
            <w:rStyle w:val="Hypertextovodkaz"/>
            <w:rFonts w:cs="Segoe UI"/>
            <w:sz w:val="18"/>
            <w:szCs w:val="18"/>
          </w:rPr>
          <w:t>https://ec.europa.eu/environment/nature/biodiversity/financing_en.htm</w:t>
        </w:r>
      </w:hyperlink>
      <w:r w:rsidRPr="00D77C59">
        <w:rPr>
          <w:rFonts w:cs="Segoe UI"/>
          <w:sz w:val="18"/>
          <w:szCs w:val="18"/>
        </w:rPr>
        <w:t xml:space="preserve"> </w:t>
      </w:r>
    </w:p>
  </w:footnote>
  <w:footnote w:id="5">
    <w:p w14:paraId="01D5762E" w14:textId="26288296" w:rsidR="00066606" w:rsidRPr="00D77C59" w:rsidRDefault="00066606">
      <w:pPr>
        <w:pStyle w:val="Textpoznpodarou"/>
        <w:rPr>
          <w:rFonts w:cs="Segoe UI"/>
          <w:sz w:val="18"/>
          <w:szCs w:val="18"/>
        </w:rPr>
      </w:pPr>
      <w:r w:rsidRPr="00D77C59">
        <w:rPr>
          <w:rStyle w:val="Znakapoznpodarou"/>
          <w:rFonts w:cs="Segoe UI"/>
          <w:sz w:val="18"/>
          <w:szCs w:val="18"/>
        </w:rPr>
        <w:footnoteRef/>
      </w:r>
      <w:r w:rsidRPr="00D77C59">
        <w:rPr>
          <w:rFonts w:cs="Segoe UI"/>
          <w:sz w:val="18"/>
          <w:szCs w:val="18"/>
        </w:rPr>
        <w:t xml:space="preserve"> </w:t>
      </w:r>
      <w:hyperlink r:id="rId4" w:history="1">
        <w:r w:rsidRPr="00D77C59">
          <w:rPr>
            <w:rStyle w:val="Hypertextovodkaz"/>
            <w:rFonts w:cs="Segoe UI"/>
            <w:sz w:val="18"/>
            <w:szCs w:val="18"/>
          </w:rPr>
          <w:t>https://publications.jrc.ec.europa.eu/repository/handle/JRC135691</w:t>
        </w:r>
      </w:hyperlink>
      <w:r w:rsidRPr="00D77C59">
        <w:rPr>
          <w:rFonts w:cs="Segoe UI"/>
          <w:sz w:val="18"/>
          <w:szCs w:val="18"/>
        </w:rPr>
        <w:t xml:space="preserve"> </w:t>
      </w:r>
    </w:p>
  </w:footnote>
  <w:footnote w:id="6">
    <w:p w14:paraId="4074C5BE" w14:textId="77777777" w:rsidR="00602DCA" w:rsidRPr="00D77C59" w:rsidRDefault="00C5530C">
      <w:pPr>
        <w:pStyle w:val="Textpoznpodarou"/>
        <w:jc w:val="left"/>
        <w:rPr>
          <w:rFonts w:cs="Segoe UI"/>
          <w:sz w:val="18"/>
          <w:szCs w:val="18"/>
        </w:rPr>
      </w:pPr>
      <w:r w:rsidRPr="00D77C59">
        <w:rPr>
          <w:rStyle w:val="Znakapoznpodarou"/>
          <w:rFonts w:cs="Segoe UI"/>
          <w:sz w:val="18"/>
          <w:szCs w:val="18"/>
        </w:rPr>
        <w:footnoteRef/>
      </w:r>
      <w:hyperlink r:id="rId5" w:tooltip="https://eurlex.europa.eu/legalcontent/CS/TXT/HTML/?uri=CELEX:32020R0852&amp;qid=1627392668484&amp;from=EN" w:history="1">
        <w:r w:rsidR="00602DCA" w:rsidRPr="00D77C59">
          <w:rPr>
            <w:rStyle w:val="Hypertextovodkaz"/>
            <w:rFonts w:cs="Segoe UI"/>
            <w:sz w:val="18"/>
            <w:szCs w:val="18"/>
          </w:rPr>
          <w:t>https://eurlex.europa.eu/legalcontent/CS/TXT/HTML/?uri=CELEX:32020R0852&amp;qid=1627392668484&amp;from=EN</w:t>
        </w:r>
      </w:hyperlink>
      <w:r w:rsidRPr="00D77C59">
        <w:rPr>
          <w:rFonts w:cs="Segoe UI"/>
          <w:sz w:val="18"/>
          <w:szCs w:val="18"/>
        </w:rPr>
        <w:t xml:space="preserve"> </w:t>
      </w:r>
    </w:p>
  </w:footnote>
  <w:footnote w:id="7">
    <w:p w14:paraId="5AD2D3FA" w14:textId="77777777" w:rsidR="00602DCA" w:rsidRPr="00D77C59" w:rsidRDefault="00C5530C">
      <w:pPr>
        <w:pStyle w:val="Textpoznpodarou"/>
        <w:rPr>
          <w:rFonts w:cs="Segoe UI"/>
          <w:sz w:val="18"/>
          <w:szCs w:val="18"/>
        </w:rPr>
      </w:pPr>
      <w:r w:rsidRPr="00D77C59">
        <w:rPr>
          <w:rStyle w:val="Znakapoznpodarou"/>
          <w:rFonts w:cs="Segoe UI"/>
          <w:sz w:val="18"/>
          <w:szCs w:val="18"/>
        </w:rPr>
        <w:footnoteRef/>
      </w:r>
      <w:r w:rsidRPr="00D77C59">
        <w:rPr>
          <w:rFonts w:cs="Segoe UI"/>
          <w:sz w:val="18"/>
          <w:szCs w:val="18"/>
        </w:rPr>
        <w:t xml:space="preserve"> Směrnice Evropského parlamentu a Rady 2013/34/EU ze dne 26. června 2013 o ročních účetních závěrkách, konsolidovaných účetních závěrkách a souvisejících zprávách některých forem podniků, o změně směrnice Evropského parlamentu a Rady 2006/43/ES a o zrušení směrnic Rady 78/660/EHS a 83/349/EHS</w:t>
      </w:r>
      <w:r w:rsidR="00865F14">
        <w:rPr>
          <w:rFonts w:cs="Segoe UI"/>
          <w:sz w:val="18"/>
          <w:szCs w:val="18"/>
        </w:rPr>
        <w:t>.</w:t>
      </w:r>
    </w:p>
  </w:footnote>
  <w:footnote w:id="8">
    <w:p w14:paraId="651B025F" w14:textId="77777777" w:rsidR="00602DCA" w:rsidRPr="00D77C59" w:rsidRDefault="00C5530C">
      <w:pPr>
        <w:pStyle w:val="Textpoznpodarou"/>
        <w:jc w:val="left"/>
        <w:rPr>
          <w:rFonts w:cs="Segoe UI"/>
          <w:sz w:val="18"/>
          <w:szCs w:val="18"/>
        </w:rPr>
      </w:pPr>
      <w:r w:rsidRPr="00D77C59">
        <w:rPr>
          <w:rStyle w:val="Znakapoznpodarou"/>
          <w:rFonts w:cs="Segoe UI"/>
          <w:sz w:val="18"/>
          <w:szCs w:val="18"/>
        </w:rPr>
        <w:footnoteRef/>
      </w:r>
      <w:r w:rsidRPr="00D77C59">
        <w:rPr>
          <w:rFonts w:cs="Segoe UI"/>
          <w:sz w:val="18"/>
          <w:szCs w:val="18"/>
        </w:rPr>
        <w:t xml:space="preserve"> </w:t>
      </w:r>
      <w:hyperlink r:id="rId6" w:tooltip="https://eur-lex.europa.eu/legal-content/CS/TXT/?uri=uriserv%3AOJ.L_.2021.442.01.0001.01.CES&amp;toc=OJ%3AL%3A2021%3A442%3ATOC" w:history="1">
        <w:r w:rsidR="00602DCA" w:rsidRPr="00D77C59">
          <w:rPr>
            <w:rStyle w:val="Hypertextovodkaz"/>
            <w:rFonts w:cs="Segoe UI"/>
            <w:sz w:val="18"/>
            <w:szCs w:val="18"/>
          </w:rPr>
          <w:t>https://eur-lex.europa.eu/legal-content/CS/TXT/?uri=uriserv%3AOJ.L_.2021.442.01.0001.01.CES&amp;toc=OJ%3AL%3A2021%3A442%3ATOC</w:t>
        </w:r>
      </w:hyperlink>
      <w:r w:rsidRPr="00D77C59">
        <w:rPr>
          <w:rFonts w:cs="Segoe UI"/>
          <w:sz w:val="18"/>
          <w:szCs w:val="18"/>
        </w:rPr>
        <w:t xml:space="preserve"> </w:t>
      </w:r>
    </w:p>
  </w:footnote>
  <w:footnote w:id="9">
    <w:p w14:paraId="5836ED92" w14:textId="77777777" w:rsidR="00602DCA" w:rsidRPr="00D77C59" w:rsidRDefault="00C5530C">
      <w:pPr>
        <w:pStyle w:val="Textpoznpodarou"/>
        <w:jc w:val="left"/>
        <w:rPr>
          <w:rFonts w:cs="Segoe UI"/>
          <w:sz w:val="18"/>
          <w:szCs w:val="18"/>
        </w:rPr>
      </w:pPr>
      <w:r w:rsidRPr="00D77C59">
        <w:rPr>
          <w:rStyle w:val="Znakapoznpodarou"/>
          <w:rFonts w:cs="Segoe UI"/>
          <w:sz w:val="18"/>
          <w:szCs w:val="18"/>
        </w:rPr>
        <w:footnoteRef/>
      </w:r>
      <w:r w:rsidRPr="00D77C59">
        <w:rPr>
          <w:rFonts w:cs="Segoe UI"/>
          <w:sz w:val="18"/>
          <w:szCs w:val="18"/>
        </w:rPr>
        <w:t xml:space="preserve"> </w:t>
      </w:r>
      <w:hyperlink r:id="rId7" w:tooltip="https://eur-lex.europa.eu/legal-content/CS/TXT/HTML/?uri=CELEX:32022R1214&amp;from=EN" w:history="1">
        <w:r w:rsidR="00602DCA" w:rsidRPr="00D77C59">
          <w:rPr>
            <w:rStyle w:val="Hypertextovodkaz"/>
            <w:rFonts w:cs="Segoe UI"/>
            <w:sz w:val="18"/>
            <w:szCs w:val="18"/>
          </w:rPr>
          <w:t>https://eur-lex.europa.eu/legal-content/CS/TXT/HTML/?uri=CELEX:32022R1214&amp;from=EN</w:t>
        </w:r>
      </w:hyperlink>
      <w:r w:rsidRPr="00D77C59">
        <w:rPr>
          <w:rFonts w:cs="Segoe UI"/>
          <w:sz w:val="18"/>
          <w:szCs w:val="18"/>
        </w:rPr>
        <w:t xml:space="preserve"> </w:t>
      </w:r>
    </w:p>
  </w:footnote>
  <w:footnote w:id="10">
    <w:p w14:paraId="2B015BC6" w14:textId="4FA58368" w:rsidR="005E4C15" w:rsidRPr="00D77C59" w:rsidRDefault="005E4C15">
      <w:pPr>
        <w:pStyle w:val="Textpoznpodarou"/>
        <w:rPr>
          <w:rFonts w:cs="Segoe UI"/>
          <w:sz w:val="18"/>
          <w:szCs w:val="18"/>
        </w:rPr>
      </w:pPr>
      <w:r w:rsidRPr="00D77C59">
        <w:rPr>
          <w:rStyle w:val="Znakapoznpodarou"/>
          <w:rFonts w:cs="Segoe UI"/>
          <w:sz w:val="18"/>
          <w:szCs w:val="18"/>
        </w:rPr>
        <w:footnoteRef/>
      </w:r>
      <w:r w:rsidRPr="00D77C59">
        <w:rPr>
          <w:rFonts w:cs="Segoe UI"/>
          <w:sz w:val="18"/>
          <w:szCs w:val="18"/>
        </w:rPr>
        <w:t xml:space="preserve"> </w:t>
      </w:r>
      <w:hyperlink r:id="rId8" w:history="1">
        <w:r w:rsidRPr="00D77C59">
          <w:rPr>
            <w:rStyle w:val="Hypertextovodkaz"/>
            <w:rFonts w:cs="Segoe UI"/>
            <w:sz w:val="18"/>
            <w:szCs w:val="18"/>
          </w:rPr>
          <w:t>https://eur-lex.europa.eu/legal-content/CS/TXT/?uri=CELEX:32023R2485</w:t>
        </w:r>
      </w:hyperlink>
    </w:p>
  </w:footnote>
  <w:footnote w:id="11">
    <w:p w14:paraId="23D042FE" w14:textId="02CD3ADF" w:rsidR="005E4C15" w:rsidRPr="00D77C59" w:rsidRDefault="005E4C15">
      <w:pPr>
        <w:pStyle w:val="Textpoznpodarou"/>
        <w:rPr>
          <w:rFonts w:cs="Segoe UI"/>
          <w:sz w:val="18"/>
          <w:szCs w:val="18"/>
        </w:rPr>
      </w:pPr>
      <w:r w:rsidRPr="00D77C59">
        <w:rPr>
          <w:rStyle w:val="Znakapoznpodarou"/>
          <w:rFonts w:cs="Segoe UI"/>
          <w:sz w:val="18"/>
          <w:szCs w:val="18"/>
        </w:rPr>
        <w:footnoteRef/>
      </w:r>
      <w:r w:rsidRPr="00D77C59">
        <w:rPr>
          <w:rFonts w:cs="Segoe UI"/>
          <w:sz w:val="18"/>
          <w:szCs w:val="18"/>
        </w:rPr>
        <w:t xml:space="preserve"> </w:t>
      </w:r>
      <w:hyperlink r:id="rId9" w:history="1">
        <w:r w:rsidR="003C04D8" w:rsidRPr="00D77C59">
          <w:rPr>
            <w:rStyle w:val="Hypertextovodkaz"/>
            <w:rFonts w:cs="Segoe UI"/>
            <w:sz w:val="18"/>
            <w:szCs w:val="18"/>
          </w:rPr>
          <w:t>https://eur-lex.europa.eu/legal-content/CS/TXT/?uri=CELEX:32023R2486</w:t>
        </w:r>
      </w:hyperlink>
      <w:r w:rsidR="003C04D8" w:rsidRPr="00D77C59">
        <w:rPr>
          <w:rFonts w:cs="Segoe UI"/>
          <w:sz w:val="18"/>
          <w:szCs w:val="18"/>
        </w:rPr>
        <w:t xml:space="preserve"> </w:t>
      </w:r>
    </w:p>
  </w:footnote>
  <w:footnote w:id="12">
    <w:p w14:paraId="7281F61C" w14:textId="061C6576" w:rsidR="000202EA" w:rsidRPr="00D77C59" w:rsidRDefault="000202EA">
      <w:pPr>
        <w:pStyle w:val="Textpoznpodarou"/>
        <w:rPr>
          <w:rFonts w:cs="Segoe UI"/>
          <w:sz w:val="18"/>
          <w:szCs w:val="18"/>
        </w:rPr>
      </w:pPr>
      <w:r w:rsidRPr="00D77C59">
        <w:rPr>
          <w:rStyle w:val="Znakapoznpodarou"/>
          <w:rFonts w:cs="Segoe UI"/>
          <w:sz w:val="18"/>
          <w:szCs w:val="18"/>
        </w:rPr>
        <w:footnoteRef/>
      </w:r>
      <w:r w:rsidRPr="00D77C59">
        <w:rPr>
          <w:rFonts w:cs="Segoe UI"/>
          <w:sz w:val="18"/>
          <w:szCs w:val="18"/>
        </w:rPr>
        <w:t xml:space="preserve"> Viz kapitola 4 Findings relating to the purpose and role of the DNSH principle materiálu </w:t>
      </w:r>
      <w:hyperlink r:id="rId10" w:history="1">
        <w:r w:rsidRPr="00D77C59">
          <w:rPr>
            <w:rStyle w:val="Hypertextovodkaz"/>
            <w:rFonts w:cs="Segoe UI"/>
            <w:sz w:val="18"/>
            <w:szCs w:val="18"/>
          </w:rPr>
          <w:t>The implementation of the ‘Do No Significant Harm’ principle in selected EU instruments</w:t>
        </w:r>
      </w:hyperlink>
      <w:r w:rsidRPr="00D77C59">
        <w:rPr>
          <w:rFonts w:cs="Segoe UI"/>
          <w:sz w:val="18"/>
          <w:szCs w:val="18"/>
        </w:rPr>
        <w:t xml:space="preserve"> (Beltran Miralles, M., Gourdon, T., Seigneur, I., Arranz Padilla, M. and Pickard Garcia, N., The implementation of the ‘Do No Significant Harm’ principle in selected EU instruments, Publications Office of the European Union, Luxembourg, 2023, doi:10.2760/18850, JRC135691.)</w:t>
      </w:r>
    </w:p>
  </w:footnote>
  <w:footnote w:id="13">
    <w:p w14:paraId="788E60F8" w14:textId="092AFBD7" w:rsidR="009126CE" w:rsidRPr="00D77C59" w:rsidRDefault="009126CE" w:rsidP="009126CE">
      <w:pPr>
        <w:spacing w:after="0" w:line="240" w:lineRule="auto"/>
        <w:rPr>
          <w:rFonts w:eastAsia="Times New Roman" w:cs="Segoe UI"/>
          <w:color w:val="0000FF"/>
          <w:sz w:val="18"/>
          <w:szCs w:val="18"/>
          <w:u w:val="single"/>
          <w:lang w:eastAsia="cs-CZ"/>
        </w:rPr>
      </w:pPr>
      <w:r w:rsidRPr="00D77C59">
        <w:rPr>
          <w:rStyle w:val="Znakapoznpodarou"/>
          <w:rFonts w:cs="Segoe UI"/>
          <w:sz w:val="18"/>
          <w:szCs w:val="18"/>
        </w:rPr>
        <w:footnoteRef/>
      </w:r>
      <w:r w:rsidRPr="00D77C59">
        <w:rPr>
          <w:rFonts w:cs="Segoe UI"/>
          <w:sz w:val="18"/>
          <w:szCs w:val="18"/>
        </w:rPr>
        <w:t xml:space="preserve"> </w:t>
      </w:r>
      <w:hyperlink r:id="rId11" w:history="1">
        <w:r w:rsidRPr="00D77C59">
          <w:rPr>
            <w:rFonts w:eastAsia="Times New Roman" w:cs="Segoe UI"/>
            <w:color w:val="0000FF"/>
            <w:sz w:val="18"/>
            <w:szCs w:val="18"/>
            <w:u w:val="single"/>
            <w:lang w:eastAsia="cs-CZ"/>
          </w:rPr>
          <w:t>Vzhledem k tomu, že screeningová kritéria byla primárně navržena pro posouzení významného přínosu, nikoli výhradně pro účely DNSH, současné nastavení ne vždy umožňuje plné dodržení zásady DNSH napříč všemi šesti environmentálními cíli. Tento nedostatek by však mělo být možné v budoucnu překonat doplněním kritérií DNSH i pro cíle, u nichž je stanoven významný přínos. Poradní orgán EK Platform on Sustainable Finance zprávě z 1. dubna 2025</w:t>
        </w:r>
        <w:r w:rsidRPr="00D77C59">
          <w:rPr>
            <w:rFonts w:eastAsia="Times New Roman" w:cs="Segoe UI"/>
            <w:color w:val="1155CC"/>
            <w:sz w:val="18"/>
            <w:szCs w:val="18"/>
            <w:u w:val="single"/>
            <w:lang w:eastAsia="cs-CZ"/>
          </w:rPr>
          <w:t xml:space="preserve"> Advancing sustainable finance</w:t>
        </w:r>
        <w:r w:rsidRPr="00D77C59">
          <w:rPr>
            <w:rFonts w:eastAsia="Times New Roman" w:cs="Segoe UI"/>
            <w:color w:val="000000"/>
            <w:sz w:val="18"/>
            <w:szCs w:val="18"/>
            <w:lang w:eastAsia="cs-CZ"/>
          </w:rPr>
          <w:t xml:space="preserve"> uvádí technická screeningová kritéria jak pro nové hospodářské činnosti, tak i pro chybějící kritéria DNSH.</w:t>
        </w:r>
      </w:hyperlink>
    </w:p>
    <w:p w14:paraId="483BD374" w14:textId="42972335" w:rsidR="009126CE" w:rsidRPr="00D77C59" w:rsidRDefault="009126CE">
      <w:pPr>
        <w:pStyle w:val="Textpoznpodarou"/>
        <w:rPr>
          <w:rFonts w:cs="Segoe UI"/>
          <w:sz w:val="18"/>
          <w:szCs w:val="18"/>
        </w:rPr>
      </w:pPr>
    </w:p>
  </w:footnote>
  <w:footnote w:id="14">
    <w:p w14:paraId="13F4E79D" w14:textId="759C61A1" w:rsidR="00ED07F2" w:rsidRPr="00D77C59" w:rsidRDefault="00ED07F2">
      <w:pPr>
        <w:pStyle w:val="Textpoznpodarou"/>
        <w:rPr>
          <w:rFonts w:cs="Segoe UI"/>
          <w:sz w:val="18"/>
          <w:szCs w:val="18"/>
        </w:rPr>
      </w:pPr>
      <w:r w:rsidRPr="00D77C59">
        <w:rPr>
          <w:rStyle w:val="Znakapoznpodarou"/>
          <w:rFonts w:cs="Segoe UI"/>
          <w:sz w:val="18"/>
          <w:szCs w:val="18"/>
        </w:rPr>
        <w:footnoteRef/>
      </w:r>
      <w:r w:rsidRPr="00D77C59">
        <w:rPr>
          <w:rFonts w:cs="Segoe UI"/>
          <w:sz w:val="18"/>
          <w:szCs w:val="18"/>
        </w:rPr>
        <w:t xml:space="preserve"> </w:t>
      </w:r>
      <w:hyperlink r:id="rId12" w:history="1">
        <w:r w:rsidRPr="00D77C59">
          <w:rPr>
            <w:rStyle w:val="Hypertextovodkaz"/>
            <w:rFonts w:cs="Segoe UI"/>
            <w:sz w:val="18"/>
            <w:szCs w:val="18"/>
          </w:rPr>
          <w:t>Technické pokyny k prověřování udržitelnosti pro účely Fondu InvestEU (2021/C 280/01)</w:t>
        </w:r>
      </w:hyperlink>
    </w:p>
  </w:footnote>
  <w:footnote w:id="15">
    <w:p w14:paraId="2571BD63" w14:textId="77777777" w:rsidR="008B7F79" w:rsidRPr="00D77C59" w:rsidRDefault="008B7F79">
      <w:pPr>
        <w:rPr>
          <w:rFonts w:cs="Segoe UI"/>
          <w:sz w:val="18"/>
          <w:szCs w:val="18"/>
        </w:rPr>
      </w:pPr>
    </w:p>
    <w:p w14:paraId="473EE420" w14:textId="77777777" w:rsidR="003C04D8" w:rsidRPr="00D77C59" w:rsidRDefault="003C04D8" w:rsidP="003C04D8">
      <w:pPr>
        <w:rPr>
          <w:rFonts w:cs="Segoe UI"/>
          <w:sz w:val="18"/>
          <w:szCs w:val="18"/>
        </w:rPr>
      </w:pPr>
    </w:p>
  </w:footnote>
  <w:footnote w:id="16">
    <w:p w14:paraId="177B4507" w14:textId="77777777" w:rsidR="008B7F79" w:rsidRPr="00D77C59" w:rsidRDefault="008B7F79">
      <w:pPr>
        <w:rPr>
          <w:rFonts w:cs="Segoe UI"/>
          <w:sz w:val="18"/>
          <w:szCs w:val="18"/>
        </w:rPr>
      </w:pPr>
    </w:p>
    <w:p w14:paraId="52C2842E" w14:textId="77777777" w:rsidR="003C04D8" w:rsidRPr="00D77C59" w:rsidRDefault="003C04D8" w:rsidP="003C04D8">
      <w:pPr>
        <w:rPr>
          <w:rFonts w:cs="Segoe UI"/>
          <w:sz w:val="18"/>
          <w:szCs w:val="18"/>
        </w:rPr>
      </w:pPr>
    </w:p>
  </w:footnote>
  <w:footnote w:id="17">
    <w:p w14:paraId="0DA14D18" w14:textId="026E9574" w:rsidR="00ED07F2" w:rsidRPr="00D77C59" w:rsidRDefault="00ED07F2">
      <w:pPr>
        <w:pStyle w:val="Textpoznpodarou"/>
        <w:rPr>
          <w:rFonts w:cs="Segoe UI"/>
          <w:sz w:val="18"/>
          <w:szCs w:val="18"/>
        </w:rPr>
      </w:pPr>
      <w:r w:rsidRPr="00D77C59">
        <w:rPr>
          <w:rStyle w:val="Znakapoznpodarou"/>
          <w:rFonts w:cs="Segoe UI"/>
          <w:sz w:val="18"/>
          <w:szCs w:val="18"/>
        </w:rPr>
        <w:footnoteRef/>
      </w:r>
      <w:r w:rsidRPr="00D77C59">
        <w:rPr>
          <w:rFonts w:cs="Segoe UI"/>
          <w:sz w:val="18"/>
          <w:szCs w:val="18"/>
        </w:rPr>
        <w:t xml:space="preserve"> Princip DNSH byl rovněž zaveden pro Sociální klimatický fond s tím, že Evropská komise k tomu vydá zvláštní pokyny. Ze SCF bude možné čerpat od roku 2026 do roku 2032 a jeho cílem je podporovat opatření a investice do stavebnictví a dopravy, z nichž budou mít prospěch zranitelné domácnosti, mikropodniky a uživatelé dopravy.</w:t>
      </w:r>
    </w:p>
  </w:footnote>
  <w:footnote w:id="18">
    <w:p w14:paraId="24FDBD40" w14:textId="77777777" w:rsidR="00ED07F2" w:rsidRPr="00D77C59" w:rsidRDefault="00ED07F2" w:rsidP="00ED07F2">
      <w:pPr>
        <w:pStyle w:val="Textpoznpodarou"/>
        <w:rPr>
          <w:rFonts w:cs="Segoe UI"/>
          <w:sz w:val="18"/>
          <w:szCs w:val="18"/>
        </w:rPr>
      </w:pPr>
      <w:r w:rsidRPr="00D77C59">
        <w:rPr>
          <w:rStyle w:val="Znakapoznpodarou"/>
          <w:rFonts w:cs="Segoe UI"/>
          <w:sz w:val="18"/>
          <w:szCs w:val="18"/>
        </w:rPr>
        <w:footnoteRef/>
      </w:r>
      <w:r w:rsidRPr="00D77C59">
        <w:rPr>
          <w:rFonts w:cs="Segoe UI"/>
          <w:sz w:val="18"/>
          <w:szCs w:val="18"/>
        </w:rPr>
        <w:t xml:space="preserve"> </w:t>
      </w:r>
      <w:hyperlink r:id="rId13" w:anchor="documents" w:history="1">
        <w:r w:rsidRPr="00D77C59">
          <w:rPr>
            <w:rStyle w:val="Hypertextovodkaz"/>
            <w:rFonts w:cs="Segoe UI"/>
            <w:sz w:val="18"/>
            <w:szCs w:val="18"/>
          </w:rPr>
          <w:t>Draft ‘Do No Significant Harm’ Technical Guidance for the Social Climate Fund for Consultation</w:t>
        </w:r>
      </w:hyperlink>
    </w:p>
    <w:p w14:paraId="3EAE32C6" w14:textId="35520CC1" w:rsidR="00ED07F2" w:rsidRPr="00D77C59" w:rsidRDefault="00ED07F2">
      <w:pPr>
        <w:pStyle w:val="Textpoznpodarou"/>
        <w:rPr>
          <w:rFonts w:cs="Segoe UI"/>
          <w:sz w:val="18"/>
          <w:szCs w:val="18"/>
        </w:rPr>
      </w:pPr>
    </w:p>
  </w:footnote>
  <w:footnote w:id="19">
    <w:p w14:paraId="6F13CAA6" w14:textId="77777777" w:rsidR="008B7F79" w:rsidRPr="00D77C59" w:rsidRDefault="008B7F79">
      <w:pPr>
        <w:rPr>
          <w:rFonts w:cs="Segoe UI"/>
          <w:sz w:val="18"/>
          <w:szCs w:val="18"/>
        </w:rPr>
      </w:pPr>
    </w:p>
    <w:p w14:paraId="0B55A96A" w14:textId="77777777" w:rsidR="003C04D8" w:rsidRPr="00D77C59" w:rsidRDefault="003C04D8" w:rsidP="003C04D8">
      <w:pPr>
        <w:rPr>
          <w:rFonts w:cs="Segoe UI"/>
          <w:sz w:val="18"/>
          <w:szCs w:val="18"/>
        </w:rPr>
      </w:pPr>
    </w:p>
  </w:footnote>
  <w:footnote w:id="20">
    <w:p w14:paraId="12867056" w14:textId="4A45A138" w:rsidR="00ED07F2" w:rsidRPr="00D77C59" w:rsidRDefault="00ED07F2">
      <w:pPr>
        <w:pStyle w:val="Textpoznpodarou"/>
        <w:rPr>
          <w:rFonts w:cs="Segoe UI"/>
          <w:sz w:val="18"/>
          <w:szCs w:val="18"/>
        </w:rPr>
      </w:pPr>
      <w:r w:rsidRPr="00D77C59">
        <w:rPr>
          <w:rStyle w:val="Znakapoznpodarou"/>
          <w:rFonts w:cs="Segoe UI"/>
          <w:sz w:val="18"/>
          <w:szCs w:val="18"/>
        </w:rPr>
        <w:footnoteRef/>
      </w:r>
      <w:r w:rsidRPr="00D77C59">
        <w:rPr>
          <w:rFonts w:cs="Segoe UI"/>
          <w:sz w:val="18"/>
          <w:szCs w:val="18"/>
        </w:rPr>
        <w:t xml:space="preserve"> Evropská komise zároveň v květnu 2022 navrhla cílené změny finančního nařízení, které stanoví zásady a postupy upravující rozpočet EU. Tento návrh zahrnuje v rámci své zásady řádného finančního řízení a výkonnostní programy a činnosti, aby bylo dosaženo stanovených cílů, aniž by došlo k </w:t>
      </w:r>
      <w:r w:rsidR="00893A60" w:rsidRPr="00D77C59">
        <w:rPr>
          <w:rFonts w:cs="Segoe UI"/>
          <w:sz w:val="18"/>
          <w:szCs w:val="18"/>
        </w:rPr>
        <w:t xml:space="preserve">významnému </w:t>
      </w:r>
      <w:r w:rsidRPr="00D77C59">
        <w:rPr>
          <w:rFonts w:cs="Segoe UI"/>
          <w:sz w:val="18"/>
          <w:szCs w:val="18"/>
        </w:rPr>
        <w:t>poškození v rámci jaké</w:t>
      </w:r>
      <w:r w:rsidR="00893A60" w:rsidRPr="00D77C59">
        <w:rPr>
          <w:rFonts w:cs="Segoe UI"/>
          <w:sz w:val="18"/>
          <w:szCs w:val="18"/>
        </w:rPr>
        <w:t>ho</w:t>
      </w:r>
      <w:r w:rsidRPr="00D77C59">
        <w:rPr>
          <w:rFonts w:cs="Segoe UI"/>
          <w:sz w:val="18"/>
          <w:szCs w:val="18"/>
        </w:rPr>
        <w:t>koliv environmentálního cíle. Z těchto důvodů implementace zásady DNSH již nyní překračuje současný VFR 2021–2027</w:t>
      </w:r>
      <w:r w:rsidR="00893A60" w:rsidRPr="00D77C59">
        <w:rPr>
          <w:rFonts w:cs="Segoe UI"/>
          <w:sz w:val="18"/>
          <w:szCs w:val="18"/>
        </w:rPr>
        <w:t xml:space="preserve"> a je zavedena do pravidel pro souhrnný rozpočet Unie</w:t>
      </w:r>
      <w:r w:rsidRPr="00D77C59">
        <w:rPr>
          <w:rFonts w:cs="Segoe UI"/>
          <w:sz w:val="18"/>
          <w:szCs w:val="18"/>
        </w:rPr>
        <w:t>.</w:t>
      </w:r>
    </w:p>
  </w:footnote>
  <w:footnote w:id="21">
    <w:p w14:paraId="1B1FD22E" w14:textId="77777777" w:rsidR="00602DCA" w:rsidRPr="00D77C59" w:rsidRDefault="00C5530C">
      <w:pPr>
        <w:pStyle w:val="Textpoznpodarou"/>
        <w:jc w:val="left"/>
        <w:rPr>
          <w:rFonts w:cs="Segoe UI"/>
          <w:sz w:val="18"/>
          <w:szCs w:val="18"/>
        </w:rPr>
      </w:pPr>
      <w:r w:rsidRPr="00D77C59">
        <w:rPr>
          <w:rStyle w:val="Znakapoznpodarou"/>
          <w:rFonts w:cs="Segoe UI"/>
          <w:sz w:val="18"/>
          <w:szCs w:val="18"/>
        </w:rPr>
        <w:footnoteRef/>
      </w:r>
      <w:r w:rsidRPr="00D77C59">
        <w:rPr>
          <w:rFonts w:cs="Segoe UI"/>
          <w:sz w:val="18"/>
          <w:szCs w:val="18"/>
        </w:rPr>
        <w:t xml:space="preserve"> </w:t>
      </w:r>
      <w:hyperlink r:id="rId14" w:tooltip="https://www.planobnovycr.cz/dokumenty" w:history="1">
        <w:r w:rsidR="00602DCA" w:rsidRPr="00D77C59">
          <w:rPr>
            <w:rStyle w:val="Hypertextovodkaz"/>
            <w:rFonts w:cs="Segoe UI"/>
            <w:sz w:val="18"/>
            <w:szCs w:val="18"/>
          </w:rPr>
          <w:t>https://www.planobnovycr.cz/dokumenty</w:t>
        </w:r>
      </w:hyperlink>
      <w:r w:rsidRPr="00D77C59">
        <w:rPr>
          <w:rFonts w:cs="Segoe UI"/>
          <w:sz w:val="18"/>
          <w:szCs w:val="18"/>
        </w:rPr>
        <w:t xml:space="preserve"> </w:t>
      </w:r>
    </w:p>
  </w:footnote>
  <w:footnote w:id="22">
    <w:p w14:paraId="5E1F6E77" w14:textId="77777777" w:rsidR="00087350" w:rsidRPr="00D77C59" w:rsidRDefault="00087350" w:rsidP="00087350">
      <w:pPr>
        <w:pStyle w:val="Textpoznpodarou"/>
        <w:rPr>
          <w:rFonts w:cs="Segoe UI"/>
          <w:sz w:val="18"/>
          <w:szCs w:val="18"/>
        </w:rPr>
      </w:pPr>
      <w:r w:rsidRPr="00D77C59">
        <w:rPr>
          <w:rStyle w:val="Znakapoznpodarou"/>
          <w:rFonts w:cs="Segoe UI"/>
          <w:sz w:val="18"/>
          <w:szCs w:val="18"/>
        </w:rPr>
        <w:footnoteRef/>
      </w:r>
      <w:r w:rsidRPr="00D77C59">
        <w:rPr>
          <w:rFonts w:cs="Segoe UI"/>
          <w:sz w:val="18"/>
          <w:szCs w:val="18"/>
        </w:rPr>
        <w:t xml:space="preserve"> </w:t>
      </w:r>
      <w:hyperlink r:id="rId15" w:anchor="documents" w:history="1">
        <w:r w:rsidRPr="00D77C59">
          <w:rPr>
            <w:rStyle w:val="Hypertextovodkaz"/>
            <w:rFonts w:cs="Segoe UI"/>
            <w:sz w:val="18"/>
            <w:szCs w:val="18"/>
          </w:rPr>
          <w:t>Draft ‘Do No Significant Harm’ Technical Guidance for the Social Climate Fund for Consultation</w:t>
        </w:r>
      </w:hyperlink>
    </w:p>
  </w:footnote>
  <w:footnote w:id="23">
    <w:p w14:paraId="2ECF021C" w14:textId="77777777" w:rsidR="00602DCA" w:rsidRPr="00D77C59" w:rsidRDefault="00C5530C">
      <w:pPr>
        <w:pStyle w:val="Textpoznpodarou"/>
        <w:jc w:val="left"/>
        <w:rPr>
          <w:rFonts w:cs="Segoe UI"/>
          <w:sz w:val="18"/>
          <w:szCs w:val="18"/>
        </w:rPr>
      </w:pPr>
      <w:r w:rsidRPr="00D77C59">
        <w:rPr>
          <w:rStyle w:val="Znakapoznpodarou"/>
          <w:rFonts w:cs="Segoe UI"/>
          <w:sz w:val="18"/>
          <w:szCs w:val="18"/>
        </w:rPr>
        <w:footnoteRef/>
      </w:r>
      <w:r w:rsidRPr="00D77C59">
        <w:rPr>
          <w:rFonts w:cs="Segoe UI"/>
          <w:sz w:val="18"/>
          <w:szCs w:val="18"/>
        </w:rPr>
        <w:t xml:space="preserve"> Opatření zejména vyžaduje, aby hospodářské subjekty provádějící stavební práce zajistily, aby nejméně 70 % (hmotnostních) odpadů neklasifikovaných jako nebezpečné (s výjimkou přirozeně̌ se vyskytujících materiálů uvedených v kategorii 17 05 04 na Evropském seznamu odpadů vytvořeném rozhodnutím 2000/532/ES ze dne 3. května 2000, kterým se nahrazuje rozhodnutí 94/3/ES, kterým se stanoví seznam odpadů podle čl. 1 písm. a) směrnice Rady 75/442/EHS o odpadech a rozhodnutí Rady 94/904/ES, kterým se stanoví seznam nebezpečných odpadů ve smyslu čl. 1 odst. 4 směrnice Rady 91/689/EHS o nebezpečných odpadech (oznámeno pod číslem dokumentu K(2000) 1147)) vzniklého na staveništi bude připraveno k opětovnému použití, recyklaci a k jiným druhům materiálového využití́, včetně zásypů, při nichž jsou jiné materiály nahrazeny odpadem, v souladu s hierarchií způsobů nakládání s odpady a protokolem EU pro nakládání se stavebním a demoličním odpadem.</w:t>
      </w:r>
    </w:p>
  </w:footnote>
  <w:footnote w:id="24">
    <w:p w14:paraId="05276D83" w14:textId="7E432FCA" w:rsidR="003732CC" w:rsidRPr="00D77C59" w:rsidRDefault="003732CC">
      <w:pPr>
        <w:pStyle w:val="Textpoznpodarou"/>
        <w:rPr>
          <w:rFonts w:cs="Segoe UI"/>
          <w:sz w:val="18"/>
          <w:szCs w:val="18"/>
        </w:rPr>
      </w:pPr>
      <w:r w:rsidRPr="00D77C59">
        <w:rPr>
          <w:rStyle w:val="Znakapoznpodarou"/>
          <w:rFonts w:cs="Segoe UI"/>
          <w:sz w:val="18"/>
          <w:szCs w:val="18"/>
        </w:rPr>
        <w:footnoteRef/>
      </w:r>
      <w:r w:rsidRPr="00D77C59">
        <w:rPr>
          <w:rFonts w:cs="Segoe UI"/>
          <w:sz w:val="18"/>
          <w:szCs w:val="18"/>
        </w:rPr>
        <w:t xml:space="preserve"> </w:t>
      </w:r>
      <w:r w:rsidR="006C6775" w:rsidRPr="00D77C59">
        <w:rPr>
          <w:rFonts w:cs="Segoe UI"/>
          <w:sz w:val="18"/>
          <w:szCs w:val="18"/>
        </w:rPr>
        <w:t>Souhrnný přehled postupů je obsažený v </w:t>
      </w:r>
      <w:hyperlink w:anchor="_Přehled_postupů_pro" w:history="1">
        <w:r w:rsidR="006C6775" w:rsidRPr="00D77C59">
          <w:rPr>
            <w:rStyle w:val="Hypertextovodkaz"/>
            <w:rFonts w:cs="Segoe UI"/>
            <w:sz w:val="18"/>
            <w:szCs w:val="18"/>
          </w:rPr>
          <w:t>příloze 5.8</w:t>
        </w:r>
      </w:hyperlink>
    </w:p>
  </w:footnote>
  <w:footnote w:id="25">
    <w:p w14:paraId="788E2A01" w14:textId="08398449" w:rsidR="00A019F6" w:rsidRPr="00D77C59" w:rsidRDefault="00A019F6" w:rsidP="00A019F6">
      <w:pPr>
        <w:pStyle w:val="Textpoznpodarou"/>
        <w:rPr>
          <w:rFonts w:cs="Segoe UI"/>
          <w:sz w:val="18"/>
          <w:szCs w:val="18"/>
        </w:rPr>
      </w:pPr>
      <w:r w:rsidRPr="00D77C59">
        <w:rPr>
          <w:rStyle w:val="Znakapoznpodarou"/>
          <w:rFonts w:cs="Segoe UI"/>
          <w:sz w:val="18"/>
          <w:szCs w:val="18"/>
        </w:rPr>
        <w:footnoteRef/>
      </w:r>
      <w:r w:rsidRPr="00D77C59">
        <w:rPr>
          <w:rFonts w:cs="Segoe UI"/>
          <w:sz w:val="18"/>
          <w:szCs w:val="18"/>
        </w:rPr>
        <w:t xml:space="preserve"> Commission recommendation (EU) 2024/2143 on Energy Efficiency First: from principles to practice — Guidelines and examples for its implementation in decision-making in the energy sector and beyond (https://eur-lex.europa.eu/legal-content/CS/TXT/PDF/?uri=OJ:L_202402143)</w:t>
      </w:r>
      <w:r w:rsidR="00A6047B">
        <w:rPr>
          <w:rFonts w:cs="Segoe UI"/>
          <w:sz w:val="18"/>
          <w:szCs w:val="18"/>
        </w:rPr>
        <w:t>.</w:t>
      </w:r>
    </w:p>
  </w:footnote>
  <w:footnote w:id="26">
    <w:p w14:paraId="293286C2" w14:textId="77777777" w:rsidR="00004275" w:rsidRPr="00D77C59" w:rsidRDefault="00004275" w:rsidP="00004275">
      <w:pPr>
        <w:pStyle w:val="Textpoznpodarou"/>
        <w:rPr>
          <w:rFonts w:cs="Segoe UI"/>
          <w:sz w:val="18"/>
          <w:szCs w:val="18"/>
        </w:rPr>
      </w:pPr>
      <w:r w:rsidRPr="00D77C59">
        <w:rPr>
          <w:rStyle w:val="Znakapoznpodarou"/>
          <w:rFonts w:cs="Segoe UI"/>
          <w:sz w:val="18"/>
          <w:szCs w:val="18"/>
        </w:rPr>
        <w:footnoteRef/>
      </w:r>
      <w:r w:rsidRPr="00D77C59">
        <w:rPr>
          <w:rFonts w:cs="Segoe UI"/>
          <w:sz w:val="18"/>
          <w:szCs w:val="18"/>
        </w:rPr>
        <w:t xml:space="preserve"> Pro tuto oblast bude Ministerstvo průmyslu a obchodu zpracovávat metodiku Podporované energetické třídy u pořizovaných zařízení, na která se vztahují předpisy pro označování energetickými štítky.  Metodiku bude možné následně dohledat na webu MPO, v kategorii Energetika/Úspory energie/Úspory v praxi/Ekodesign a štítkování výrobků.</w:t>
      </w:r>
    </w:p>
  </w:footnote>
  <w:footnote w:id="27">
    <w:p w14:paraId="00EE7010" w14:textId="77777777" w:rsidR="00A019F6" w:rsidRPr="00D77C59" w:rsidRDefault="00A019F6" w:rsidP="00A019F6">
      <w:pPr>
        <w:pStyle w:val="Textpoznpodarou"/>
        <w:jc w:val="left"/>
        <w:rPr>
          <w:rFonts w:cs="Segoe UI"/>
          <w:sz w:val="18"/>
          <w:szCs w:val="18"/>
        </w:rPr>
      </w:pPr>
      <w:r w:rsidRPr="00D77C59">
        <w:rPr>
          <w:rStyle w:val="Znakapoznpodarou"/>
          <w:rFonts w:cs="Segoe UI"/>
          <w:sz w:val="18"/>
          <w:szCs w:val="18"/>
        </w:rPr>
        <w:footnoteRef/>
      </w:r>
      <w:r w:rsidRPr="00D77C59">
        <w:rPr>
          <w:rFonts w:cs="Segoe UI"/>
          <w:sz w:val="18"/>
          <w:szCs w:val="18"/>
        </w:rPr>
        <w:t xml:space="preserve"> Doporučení Komise (EU) 2021/1749 ze dne 28. září 2021 k Zásadám „energetická účinnost v první řadě“: od principů k praxi – Pokyny k uplatňování zásady při rozhodování v odvětví energetiky i mimo něj. </w:t>
      </w:r>
      <w:r w:rsidRPr="00D77C59">
        <w:rPr>
          <w:rFonts w:cs="Segoe UI"/>
          <w:color w:val="333333"/>
          <w:sz w:val="18"/>
          <w:szCs w:val="18"/>
          <w:shd w:val="clear" w:color="auto" w:fill="FFFFFF"/>
        </w:rPr>
        <w:t>C/2021/7014. http://data.europa.eu/eli/reco/2021/1749/oj.</w:t>
      </w:r>
    </w:p>
  </w:footnote>
  <w:footnote w:id="28">
    <w:p w14:paraId="3DA69A10" w14:textId="21948F15" w:rsidR="00337F25" w:rsidRPr="00D77C59" w:rsidRDefault="00337F25" w:rsidP="00337F25">
      <w:pPr>
        <w:pStyle w:val="Textpoznpodarou"/>
        <w:rPr>
          <w:rFonts w:cs="Segoe UI"/>
          <w:sz w:val="18"/>
          <w:szCs w:val="18"/>
        </w:rPr>
      </w:pPr>
      <w:r w:rsidRPr="00D77C59">
        <w:rPr>
          <w:rStyle w:val="Znakapoznpodarou"/>
          <w:rFonts w:cs="Segoe UI"/>
          <w:sz w:val="18"/>
          <w:szCs w:val="18"/>
        </w:rPr>
        <w:footnoteRef/>
      </w:r>
      <w:r w:rsidRPr="00D77C59">
        <w:rPr>
          <w:rFonts w:cs="Segoe UI"/>
          <w:sz w:val="18"/>
          <w:szCs w:val="18"/>
        </w:rPr>
        <w:t xml:space="preserve"> Viz část G materiálu </w:t>
      </w:r>
      <w:hyperlink r:id="rId16" w:history="1">
        <w:r w:rsidRPr="00D77C59">
          <w:rPr>
            <w:rStyle w:val="Hypertextovodkaz"/>
            <w:rFonts w:cs="Segoe UI"/>
            <w:sz w:val="18"/>
            <w:szCs w:val="18"/>
          </w:rPr>
          <w:t>Posouzení dekarbonizace dálkového vytápění v ČR</w:t>
        </w:r>
      </w:hyperlink>
      <w:r w:rsidRPr="00D77C59">
        <w:rPr>
          <w:rFonts w:cs="Segoe UI"/>
          <w:sz w:val="18"/>
          <w:szCs w:val="18"/>
        </w:rPr>
        <w:t xml:space="preserve"> (MPO, 2024)</w:t>
      </w:r>
      <w:r w:rsidR="005C7CBF">
        <w:rPr>
          <w:rFonts w:cs="Segoe UI"/>
          <w:sz w:val="18"/>
          <w:szCs w:val="18"/>
        </w:rPr>
        <w:t>.</w:t>
      </w:r>
    </w:p>
  </w:footnote>
  <w:footnote w:id="29">
    <w:p w14:paraId="3B7124C4" w14:textId="77777777" w:rsidR="00337F25" w:rsidRPr="00D77C59" w:rsidRDefault="00337F25" w:rsidP="00337F25">
      <w:pPr>
        <w:pStyle w:val="Textpoznpodarou"/>
        <w:rPr>
          <w:rFonts w:cs="Segoe UI"/>
          <w:sz w:val="18"/>
          <w:szCs w:val="18"/>
        </w:rPr>
      </w:pPr>
      <w:r w:rsidRPr="00D77C59">
        <w:rPr>
          <w:rStyle w:val="Znakapoznpodarou"/>
          <w:rFonts w:cs="Segoe UI"/>
          <w:sz w:val="18"/>
          <w:szCs w:val="18"/>
        </w:rPr>
        <w:footnoteRef/>
      </w:r>
      <w:r w:rsidRPr="00D77C59">
        <w:rPr>
          <w:rFonts w:cs="Segoe UI"/>
          <w:sz w:val="18"/>
          <w:szCs w:val="18"/>
        </w:rPr>
        <w:t xml:space="preserve"> Viz připravovaný materiál vlády „Akční plán rozvoje využití nízkopotenciálního obnovitelného a odpadního tepla“</w:t>
      </w:r>
    </w:p>
  </w:footnote>
  <w:footnote w:id="30">
    <w:p w14:paraId="7E9C3B95" w14:textId="77777777" w:rsidR="00337F25" w:rsidRPr="00D77C59" w:rsidRDefault="00337F25" w:rsidP="00337F25">
      <w:pPr>
        <w:pStyle w:val="Textpoznpodarou"/>
        <w:rPr>
          <w:rFonts w:cs="Segoe UI"/>
          <w:sz w:val="18"/>
          <w:szCs w:val="18"/>
        </w:rPr>
      </w:pPr>
      <w:r w:rsidRPr="00D77C59">
        <w:rPr>
          <w:rStyle w:val="Znakapoznpodarou"/>
          <w:rFonts w:cs="Segoe UI"/>
          <w:sz w:val="18"/>
          <w:szCs w:val="18"/>
        </w:rPr>
        <w:footnoteRef/>
      </w:r>
      <w:r w:rsidRPr="00D77C59">
        <w:rPr>
          <w:rFonts w:cs="Segoe UI"/>
          <w:sz w:val="18"/>
          <w:szCs w:val="18"/>
        </w:rPr>
        <w:t xml:space="preserve"> Pozn. Vychází z materiálů Valentová M., Knápek J., Kubín A.: Dekarbonizace teplárenství: Strategický, regulační a technologicko-ekonomický rámec v České republice. České vysoké učení technické v Praze, 2022 a Porsenna Energy a Enviros: Případové studie k dekarbonizaci teplárenství. Praha, 2022</w:t>
      </w:r>
      <w:r w:rsidR="005C7CBF">
        <w:rPr>
          <w:rFonts w:cs="Segoe UI"/>
          <w:sz w:val="18"/>
          <w:szCs w:val="18"/>
        </w:rPr>
        <w:t>.</w:t>
      </w:r>
    </w:p>
  </w:footnote>
  <w:footnote w:id="31">
    <w:p w14:paraId="4AA6AECD" w14:textId="77777777" w:rsidR="00337F25" w:rsidRPr="00D77C59" w:rsidRDefault="00337F25" w:rsidP="00337F25">
      <w:pPr>
        <w:pStyle w:val="Textpoznpodarou"/>
        <w:rPr>
          <w:rFonts w:cs="Segoe UI"/>
          <w:sz w:val="18"/>
          <w:szCs w:val="18"/>
        </w:rPr>
      </w:pPr>
      <w:r w:rsidRPr="00D77C59">
        <w:rPr>
          <w:rStyle w:val="Znakapoznpodarou"/>
          <w:rFonts w:cs="Segoe UI"/>
          <w:sz w:val="18"/>
          <w:szCs w:val="18"/>
        </w:rPr>
        <w:footnoteRef/>
      </w:r>
      <w:r w:rsidRPr="00D77C59">
        <w:rPr>
          <w:rFonts w:cs="Segoe UI"/>
          <w:sz w:val="18"/>
          <w:szCs w:val="18"/>
        </w:rPr>
        <w:t xml:space="preserve"> Potenciál využití tepla v ČR, </w:t>
      </w:r>
      <w:hyperlink r:id="rId17" w:history="1">
        <w:r w:rsidRPr="00D77C59">
          <w:rPr>
            <w:rStyle w:val="Hypertextovodkaz"/>
            <w:rFonts w:cs="Segoe UI"/>
            <w:sz w:val="18"/>
            <w:szCs w:val="18"/>
          </w:rPr>
          <w:t>https://opzp.cz/dokument/3903</w:t>
        </w:r>
      </w:hyperlink>
      <w:r w:rsidRPr="00D77C59">
        <w:rPr>
          <w:rFonts w:cs="Segoe UI"/>
          <w:sz w:val="18"/>
          <w:szCs w:val="18"/>
        </w:rPr>
        <w:t xml:space="preserve"> </w:t>
      </w:r>
    </w:p>
  </w:footnote>
  <w:footnote w:id="32">
    <w:p w14:paraId="778CC90F" w14:textId="77777777" w:rsidR="00337F25" w:rsidRPr="00D77C59" w:rsidRDefault="00337F25" w:rsidP="00337F25">
      <w:pPr>
        <w:pStyle w:val="Textpoznpodarou"/>
        <w:rPr>
          <w:rFonts w:cs="Segoe UI"/>
          <w:sz w:val="18"/>
          <w:szCs w:val="18"/>
        </w:rPr>
      </w:pPr>
      <w:r w:rsidRPr="00D77C59">
        <w:rPr>
          <w:rStyle w:val="Znakapoznpodarou"/>
          <w:rFonts w:cs="Segoe UI"/>
          <w:sz w:val="18"/>
          <w:szCs w:val="18"/>
        </w:rPr>
        <w:footnoteRef/>
      </w:r>
      <w:r w:rsidRPr="00D77C59">
        <w:rPr>
          <w:rFonts w:cs="Segoe UI"/>
          <w:sz w:val="18"/>
          <w:szCs w:val="18"/>
        </w:rPr>
        <w:t xml:space="preserve"> </w:t>
      </w:r>
      <w:hyperlink r:id="rId18" w:history="1">
        <w:r w:rsidRPr="00D77C59">
          <w:rPr>
            <w:rStyle w:val="Hypertextovodkaz"/>
            <w:rFonts w:cs="Segoe UI"/>
            <w:sz w:val="18"/>
            <w:szCs w:val="18"/>
          </w:rPr>
          <w:t>https://eur-lex.europa.eu/legal-content/CS/TXT/PDF/?uri=PI_COM:C(2022)631&amp;from=EN</w:t>
        </w:r>
      </w:hyperlink>
      <w:r w:rsidRPr="00D77C59">
        <w:rPr>
          <w:rFonts w:cs="Segoe UI"/>
          <w:sz w:val="18"/>
          <w:szCs w:val="18"/>
        </w:rPr>
        <w:t xml:space="preserve">    </w:t>
      </w:r>
    </w:p>
  </w:footnote>
  <w:footnote w:id="33">
    <w:p w14:paraId="6F0A3570" w14:textId="77777777" w:rsidR="00337F25" w:rsidRPr="00D77C59" w:rsidRDefault="00337F25" w:rsidP="00337F25">
      <w:pPr>
        <w:pStyle w:val="Textpoznpodarou"/>
        <w:rPr>
          <w:rFonts w:cs="Segoe UI"/>
          <w:sz w:val="18"/>
          <w:szCs w:val="18"/>
        </w:rPr>
      </w:pPr>
      <w:r w:rsidRPr="00D77C59">
        <w:rPr>
          <w:rStyle w:val="Znakapoznpodarou"/>
          <w:rFonts w:cs="Segoe UI"/>
          <w:sz w:val="18"/>
          <w:szCs w:val="18"/>
        </w:rPr>
        <w:footnoteRef/>
      </w:r>
      <w:r w:rsidRPr="00D77C59">
        <w:rPr>
          <w:rFonts w:cs="Segoe UI"/>
          <w:sz w:val="18"/>
          <w:szCs w:val="18"/>
        </w:rPr>
        <w:t xml:space="preserve"> </w:t>
      </w:r>
      <w:hyperlink r:id="rId19" w:history="1">
        <w:r w:rsidRPr="00D77C59">
          <w:rPr>
            <w:rStyle w:val="Hypertextovodkaz"/>
            <w:rFonts w:cs="Segoe UI"/>
            <w:sz w:val="18"/>
            <w:szCs w:val="18"/>
          </w:rPr>
          <w:t>https://eur-lex.europa.eu/legal-content/EN/TXT/?uri=CELEX%3A32021R2139</w:t>
        </w:r>
      </w:hyperlink>
      <w:r w:rsidRPr="00D77C59">
        <w:rPr>
          <w:rFonts w:cs="Segoe UI"/>
          <w:sz w:val="18"/>
          <w:szCs w:val="18"/>
        </w:rPr>
        <w:t xml:space="preserve"> </w:t>
      </w:r>
    </w:p>
  </w:footnote>
  <w:footnote w:id="34">
    <w:p w14:paraId="75B10697" w14:textId="77777777" w:rsidR="00337F25" w:rsidRPr="00D77C59" w:rsidRDefault="00337F25" w:rsidP="00337F25">
      <w:pPr>
        <w:pStyle w:val="Textpoznpodarou"/>
        <w:rPr>
          <w:rFonts w:cs="Segoe UI"/>
          <w:sz w:val="18"/>
          <w:szCs w:val="18"/>
        </w:rPr>
      </w:pPr>
      <w:r w:rsidRPr="00D77C59">
        <w:rPr>
          <w:rStyle w:val="Znakapoznpodarou"/>
          <w:rFonts w:cs="Segoe UI"/>
          <w:sz w:val="18"/>
          <w:szCs w:val="18"/>
        </w:rPr>
        <w:footnoteRef/>
      </w:r>
      <w:r w:rsidRPr="00D77C59">
        <w:rPr>
          <w:rFonts w:cs="Segoe UI"/>
          <w:sz w:val="18"/>
          <w:szCs w:val="18"/>
        </w:rPr>
        <w:t xml:space="preserve"> </w:t>
      </w:r>
      <w:hyperlink r:id="rId20" w:history="1">
        <w:r w:rsidRPr="00D77C59">
          <w:rPr>
            <w:rStyle w:val="Hypertextovodkaz"/>
            <w:rFonts w:cs="Segoe UI"/>
            <w:sz w:val="18"/>
            <w:szCs w:val="18"/>
          </w:rPr>
          <w:t>https://eur-lex.europa.eu/legal-content/CS/TXT/?uri=CELEX:52021PC0431</w:t>
        </w:r>
      </w:hyperlink>
      <w:r w:rsidRPr="00D77C59">
        <w:rPr>
          <w:rFonts w:cs="Segoe UI"/>
          <w:sz w:val="18"/>
          <w:szCs w:val="18"/>
        </w:rPr>
        <w:t xml:space="preserve">   </w:t>
      </w:r>
    </w:p>
  </w:footnote>
  <w:footnote w:id="35">
    <w:p w14:paraId="2356C744" w14:textId="77777777" w:rsidR="00337F25" w:rsidRPr="00D77C59" w:rsidRDefault="00337F25" w:rsidP="00337F25">
      <w:pPr>
        <w:pStyle w:val="Textpoznpodarou"/>
        <w:rPr>
          <w:rFonts w:cs="Segoe UI"/>
          <w:sz w:val="18"/>
          <w:szCs w:val="18"/>
        </w:rPr>
      </w:pPr>
      <w:r w:rsidRPr="00D77C59">
        <w:rPr>
          <w:rStyle w:val="Znakapoznpodarou"/>
          <w:rFonts w:cs="Segoe UI"/>
          <w:sz w:val="18"/>
          <w:szCs w:val="18"/>
        </w:rPr>
        <w:footnoteRef/>
      </w:r>
      <w:r w:rsidRPr="00D77C59">
        <w:rPr>
          <w:rFonts w:cs="Segoe UI"/>
          <w:sz w:val="18"/>
          <w:szCs w:val="18"/>
        </w:rPr>
        <w:t xml:space="preserve"> </w:t>
      </w:r>
      <w:hyperlink r:id="rId21" w:history="1">
        <w:r w:rsidRPr="00D77C59">
          <w:rPr>
            <w:rStyle w:val="Hypertextovodkaz"/>
            <w:rFonts w:cs="Segoe UI"/>
            <w:sz w:val="18"/>
            <w:szCs w:val="18"/>
          </w:rPr>
          <w:t>https://eur-lex.europa.eu/legal-content/CS/TXT/PDF/?uri=CELEX:52021XC0218(01)&amp;from=GA</w:t>
        </w:r>
      </w:hyperlink>
      <w:r w:rsidRPr="00D77C59">
        <w:rPr>
          <w:rFonts w:cs="Segoe UI"/>
          <w:sz w:val="18"/>
          <w:szCs w:val="18"/>
        </w:rPr>
        <w:t xml:space="preserve">   </w:t>
      </w:r>
    </w:p>
  </w:footnote>
  <w:footnote w:id="36">
    <w:p w14:paraId="532751A5" w14:textId="77777777" w:rsidR="00337F25" w:rsidRPr="00D77C59" w:rsidRDefault="00337F25" w:rsidP="00337F25">
      <w:pPr>
        <w:pStyle w:val="Textpoznpodarou"/>
        <w:rPr>
          <w:rFonts w:cs="Segoe UI"/>
          <w:sz w:val="18"/>
          <w:szCs w:val="18"/>
        </w:rPr>
      </w:pPr>
      <w:r w:rsidRPr="00D77C59">
        <w:rPr>
          <w:rStyle w:val="Znakapoznpodarou"/>
          <w:rFonts w:cs="Segoe UI"/>
          <w:sz w:val="18"/>
          <w:szCs w:val="18"/>
        </w:rPr>
        <w:footnoteRef/>
      </w:r>
      <w:r w:rsidRPr="00D77C59">
        <w:rPr>
          <w:rFonts w:cs="Segoe UI"/>
          <w:sz w:val="18"/>
          <w:szCs w:val="18"/>
        </w:rPr>
        <w:t xml:space="preserve"> Delegovaný akt EU č. 2021/2139 kupříkladu stanovuje pro rozvod dálkového tepla (4.15) pouze povinnost splnění parametrů tzv. účinné soustavy, Prováděcí rozhodnutí a Technické pokyny jdou však nad rámec těchto požadavků.  </w:t>
      </w:r>
    </w:p>
  </w:footnote>
  <w:footnote w:id="37">
    <w:p w14:paraId="26740DE5" w14:textId="77777777" w:rsidR="00337F25" w:rsidRPr="00D77C59" w:rsidRDefault="00337F25" w:rsidP="00337F25">
      <w:pPr>
        <w:pStyle w:val="Textpoznpodarou"/>
        <w:rPr>
          <w:rFonts w:cs="Segoe UI"/>
          <w:sz w:val="18"/>
          <w:szCs w:val="18"/>
        </w:rPr>
      </w:pPr>
      <w:r w:rsidRPr="00D77C59">
        <w:rPr>
          <w:rStyle w:val="Znakapoznpodarou"/>
          <w:rFonts w:cs="Segoe UI"/>
          <w:sz w:val="18"/>
          <w:szCs w:val="18"/>
        </w:rPr>
        <w:footnoteRef/>
      </w:r>
      <w:r w:rsidRPr="00D77C59">
        <w:rPr>
          <w:rFonts w:cs="Segoe UI"/>
          <w:sz w:val="18"/>
          <w:szCs w:val="18"/>
        </w:rPr>
        <w:t xml:space="preserve"> Viz </w:t>
      </w:r>
      <w:hyperlink r:id="rId22" w:history="1">
        <w:r w:rsidRPr="00D77C59">
          <w:rPr>
            <w:rStyle w:val="Hypertextovodkaz"/>
            <w:rFonts w:cs="Segoe UI"/>
            <w:sz w:val="18"/>
            <w:szCs w:val="18"/>
          </w:rPr>
          <w:t>https://eru.gov.cz/prehled-ucinnych-soustav-zasobovani-tepelnou-energii</w:t>
        </w:r>
      </w:hyperlink>
      <w:r w:rsidRPr="00D77C59">
        <w:rPr>
          <w:rFonts w:cs="Segoe UI"/>
          <w:sz w:val="18"/>
          <w:szCs w:val="18"/>
        </w:rPr>
        <w:t xml:space="preserve"> </w:t>
      </w:r>
    </w:p>
  </w:footnote>
  <w:footnote w:id="38">
    <w:p w14:paraId="0114AF62" w14:textId="1BE18370" w:rsidR="00004275" w:rsidRPr="00D77C59" w:rsidRDefault="00004275">
      <w:pPr>
        <w:pStyle w:val="Textpoznpodarou"/>
        <w:rPr>
          <w:rFonts w:cs="Segoe UI"/>
          <w:sz w:val="18"/>
          <w:szCs w:val="18"/>
        </w:rPr>
      </w:pPr>
      <w:r w:rsidRPr="00D77C59">
        <w:rPr>
          <w:rStyle w:val="Znakapoznpodarou"/>
          <w:rFonts w:cs="Segoe UI"/>
          <w:sz w:val="18"/>
          <w:szCs w:val="18"/>
        </w:rPr>
        <w:footnoteRef/>
      </w:r>
      <w:r w:rsidRPr="00D77C59">
        <w:rPr>
          <w:rFonts w:cs="Segoe UI"/>
          <w:sz w:val="18"/>
          <w:szCs w:val="18"/>
        </w:rPr>
        <w:t xml:space="preserve"> Pro tuto oblast bude Ministerstvo průmyslu a obchodu zpracovávat metodiku Podporované energetické třídy u pořizovaných zařízení, na která se vztahují předpisy pro označování energetickými štítky.  Metodiku bude možné následně dohledat na webu MPO, v kategorii Energetika/Úspory energie/Úspory v praxi/Ekodesign a štítkování výrobků.</w:t>
      </w:r>
    </w:p>
  </w:footnote>
  <w:footnote w:id="39">
    <w:p w14:paraId="4D45D3B2" w14:textId="5B41D2B2" w:rsidR="00337F25" w:rsidRPr="00D77C59" w:rsidRDefault="00337F25" w:rsidP="00337F25">
      <w:pPr>
        <w:rPr>
          <w:rFonts w:cs="Segoe UI"/>
          <w:sz w:val="18"/>
          <w:szCs w:val="18"/>
        </w:rPr>
      </w:pPr>
      <w:r w:rsidRPr="00D77C59">
        <w:rPr>
          <w:rStyle w:val="Znakapoznpodarou"/>
          <w:rFonts w:cs="Segoe UI"/>
          <w:sz w:val="18"/>
          <w:szCs w:val="18"/>
        </w:rPr>
        <w:footnoteRef/>
      </w:r>
      <w:r w:rsidRPr="00D77C59">
        <w:rPr>
          <w:rFonts w:cs="Segoe UI"/>
          <w:sz w:val="18"/>
          <w:szCs w:val="18"/>
        </w:rPr>
        <w:t xml:space="preserve"> Podmínky jsou rozpracovány na základě kapitoly 5.1 kritéria udržitelnosti pevné biomasy z materiálu </w:t>
      </w:r>
      <w:hyperlink r:id="rId23" w:history="1">
        <w:r w:rsidRPr="00D77C59">
          <w:rPr>
            <w:rStyle w:val="Hypertextovodkaz"/>
            <w:rFonts w:cs="Segoe UI"/>
            <w:sz w:val="18"/>
            <w:szCs w:val="18"/>
          </w:rPr>
          <w:t>Posouzení trajektorií udržitelného využívání bioenergie v ČR</w:t>
        </w:r>
      </w:hyperlink>
      <w:r w:rsidRPr="00D77C59">
        <w:rPr>
          <w:rFonts w:cs="Segoe UI"/>
          <w:sz w:val="18"/>
          <w:szCs w:val="18"/>
        </w:rPr>
        <w:t xml:space="preserve"> (MPO, 2024)</w:t>
      </w:r>
      <w:r w:rsidR="009D350D">
        <w:rPr>
          <w:rFonts w:cs="Segoe UI"/>
          <w:sz w:val="18"/>
          <w:szCs w:val="18"/>
        </w:rPr>
        <w:t>.</w:t>
      </w:r>
    </w:p>
  </w:footnote>
  <w:footnote w:id="40">
    <w:p w14:paraId="0AD734C6" w14:textId="073CEE1B" w:rsidR="00337F25" w:rsidRPr="00D77C59" w:rsidRDefault="00337F25" w:rsidP="00337F25">
      <w:pPr>
        <w:pStyle w:val="Textpoznpodarou"/>
        <w:rPr>
          <w:rFonts w:cs="Segoe UI"/>
          <w:sz w:val="18"/>
          <w:szCs w:val="18"/>
        </w:rPr>
      </w:pPr>
      <w:r w:rsidRPr="00D77C59">
        <w:rPr>
          <w:rStyle w:val="Znakapoznpodarou"/>
          <w:rFonts w:cs="Segoe UI"/>
          <w:sz w:val="18"/>
          <w:szCs w:val="18"/>
        </w:rPr>
        <w:footnoteRef/>
      </w:r>
      <w:r w:rsidRPr="00D77C59">
        <w:rPr>
          <w:rFonts w:cs="Segoe UI"/>
          <w:sz w:val="18"/>
          <w:szCs w:val="18"/>
        </w:rPr>
        <w:t xml:space="preserve"> V souladu s čl. 1, bodem 19 Směrnice 2023/2413 (RED III)</w:t>
      </w:r>
      <w:r w:rsidR="009D350D">
        <w:rPr>
          <w:rFonts w:cs="Segoe UI"/>
          <w:sz w:val="18"/>
          <w:szCs w:val="18"/>
        </w:rPr>
        <w:t>.</w:t>
      </w:r>
    </w:p>
  </w:footnote>
  <w:footnote w:id="41">
    <w:p w14:paraId="7D1052FD" w14:textId="77777777" w:rsidR="00337F25" w:rsidRPr="00D77C59" w:rsidRDefault="00337F25" w:rsidP="00337F25">
      <w:pPr>
        <w:pStyle w:val="Textpoznpodarou"/>
        <w:jc w:val="left"/>
        <w:rPr>
          <w:rFonts w:cs="Segoe UI"/>
          <w:sz w:val="18"/>
          <w:szCs w:val="18"/>
        </w:rPr>
      </w:pPr>
      <w:r w:rsidRPr="00D77C59">
        <w:rPr>
          <w:rStyle w:val="Znakapoznpodarou"/>
          <w:rFonts w:cs="Segoe UI"/>
          <w:sz w:val="18"/>
          <w:szCs w:val="18"/>
        </w:rPr>
        <w:footnoteRef/>
      </w:r>
      <w:r w:rsidRPr="00D77C59">
        <w:rPr>
          <w:rFonts w:cs="Segoe UI"/>
          <w:sz w:val="18"/>
          <w:szCs w:val="18"/>
        </w:rPr>
        <w:t xml:space="preserve"> Zahrnující mimo jiné bezpečná a zajištěná parkoviště a kontroly na vnějších hranicích.</w:t>
      </w:r>
    </w:p>
  </w:footnote>
  <w:footnote w:id="42">
    <w:p w14:paraId="4A14C649" w14:textId="77777777" w:rsidR="00DA16B9" w:rsidRPr="00D77C59" w:rsidRDefault="00DA16B9" w:rsidP="00DA16B9">
      <w:pPr>
        <w:pStyle w:val="Textpoznpodarou"/>
        <w:jc w:val="left"/>
        <w:rPr>
          <w:rFonts w:cs="Segoe UI"/>
          <w:sz w:val="18"/>
          <w:szCs w:val="18"/>
        </w:rPr>
      </w:pPr>
      <w:r w:rsidRPr="00D77C59">
        <w:rPr>
          <w:rStyle w:val="Znakapoznpodarou"/>
          <w:rFonts w:cs="Segoe UI"/>
          <w:sz w:val="18"/>
          <w:szCs w:val="18"/>
        </w:rPr>
        <w:footnoteRef/>
      </w:r>
      <w:r w:rsidRPr="00D77C59">
        <w:rPr>
          <w:rFonts w:cs="Segoe UI"/>
          <w:sz w:val="18"/>
          <w:szCs w:val="18"/>
        </w:rPr>
        <w:t xml:space="preserve"> Opatření řešící bezpečnost silničního provozu a snižování hluku z nákladní železniční dopravy mohou být vyňata.</w:t>
      </w:r>
    </w:p>
  </w:footnote>
  <w:footnote w:id="43">
    <w:p w14:paraId="1A07AE8C" w14:textId="77777777" w:rsidR="00DA16B9" w:rsidRPr="00D77C59" w:rsidRDefault="00DA16B9" w:rsidP="00DA16B9">
      <w:pPr>
        <w:pStyle w:val="Textpoznpodarou"/>
        <w:jc w:val="left"/>
        <w:rPr>
          <w:rFonts w:cs="Segoe UI"/>
          <w:sz w:val="18"/>
          <w:szCs w:val="18"/>
        </w:rPr>
      </w:pPr>
      <w:r w:rsidRPr="00D77C59">
        <w:rPr>
          <w:rStyle w:val="Znakapoznpodarou"/>
          <w:rFonts w:cs="Segoe UI"/>
          <w:sz w:val="18"/>
          <w:szCs w:val="18"/>
        </w:rPr>
        <w:footnoteRef/>
      </w:r>
      <w:r w:rsidRPr="00D77C59">
        <w:rPr>
          <w:rFonts w:cs="Segoe UI"/>
          <w:sz w:val="18"/>
          <w:szCs w:val="18"/>
        </w:rPr>
        <w:t xml:space="preserve"> Nařízení Komise v přenesené pravomoci (EU) 2021/2178 ze dne 6. července 2021, kterým se doplňuje nařízení Evropského parlamentu a Rady (EU) 2020/852 upřesněním obsahu a struktury informací, které mají zveřejňovat podniky podle článků 19a nebo 29a směrnice 2013/34/EU v souvislosti s environmentálně udržitelnými hospodářskými činnostmi, a upřesněním metodiky za účelem plnění této povinnosti zveřejňování informací</w:t>
      </w:r>
      <w:r w:rsidR="00267EA7">
        <w:rPr>
          <w:rFonts w:cs="Segoe UI"/>
          <w:sz w:val="18"/>
          <w:szCs w:val="18"/>
        </w:rPr>
        <w:t>.</w:t>
      </w:r>
    </w:p>
  </w:footnote>
  <w:footnote w:id="44">
    <w:p w14:paraId="33BFE409" w14:textId="77777777" w:rsidR="00DA16B9" w:rsidRPr="00D77C59" w:rsidRDefault="00DA16B9" w:rsidP="00DA16B9">
      <w:pPr>
        <w:pStyle w:val="Textpoznpodarou"/>
        <w:rPr>
          <w:rFonts w:cs="Segoe UI"/>
          <w:sz w:val="18"/>
          <w:szCs w:val="18"/>
        </w:rPr>
      </w:pPr>
      <w:r w:rsidRPr="00D77C59">
        <w:rPr>
          <w:rStyle w:val="Znakapoznpodarou"/>
          <w:rFonts w:cs="Segoe UI"/>
          <w:sz w:val="18"/>
          <w:szCs w:val="18"/>
        </w:rPr>
        <w:footnoteRef/>
      </w:r>
      <w:r w:rsidRPr="00D77C59">
        <w:rPr>
          <w:rFonts w:cs="Segoe UI"/>
          <w:sz w:val="18"/>
          <w:szCs w:val="18"/>
        </w:rPr>
        <w:t xml:space="preserve"> Ke dni 30. listopadu 2022 přijata, nicméně dosud nevyhlášena v oficiálním věstníku.</w:t>
      </w:r>
    </w:p>
  </w:footnote>
  <w:footnote w:id="45">
    <w:p w14:paraId="639C096E" w14:textId="77777777" w:rsidR="00DA16B9" w:rsidRPr="00D77C59" w:rsidRDefault="00DA16B9" w:rsidP="00DA16B9">
      <w:pPr>
        <w:pStyle w:val="Textpoznpodarou"/>
        <w:rPr>
          <w:rFonts w:cs="Segoe UI"/>
          <w:sz w:val="18"/>
          <w:szCs w:val="18"/>
        </w:rPr>
      </w:pPr>
      <w:r w:rsidRPr="00D77C59">
        <w:rPr>
          <w:rStyle w:val="Znakapoznpodarou"/>
          <w:rFonts w:cs="Segoe UI"/>
          <w:sz w:val="18"/>
          <w:szCs w:val="18"/>
        </w:rPr>
        <w:footnoteRef/>
      </w:r>
      <w:r w:rsidRPr="00D77C59">
        <w:rPr>
          <w:rFonts w:cs="Segoe UI"/>
          <w:sz w:val="18"/>
          <w:szCs w:val="18"/>
        </w:rPr>
        <w:t xml:space="preserve"> </w:t>
      </w:r>
      <w:hyperlink r:id="rId24" w:tooltip="https://www.chmi.cz/files/portal/docs/uoco/oez/nis/nis_do_cz.html" w:history="1">
        <w:r w:rsidRPr="00D77C59">
          <w:rPr>
            <w:rFonts w:cs="Segoe UI"/>
            <w:color w:val="0000FF"/>
            <w:sz w:val="18"/>
            <w:szCs w:val="18"/>
          </w:rPr>
          <w:t>https://www.chmi.cz/files/portal/docs/uoco/oez/nis/nis_do_cz.html</w:t>
        </w:r>
      </w:hyperlink>
    </w:p>
  </w:footnote>
  <w:footnote w:id="46">
    <w:p w14:paraId="7422AAD5" w14:textId="77777777" w:rsidR="00DA16B9" w:rsidRPr="00D77C59" w:rsidRDefault="00DA16B9" w:rsidP="00DA16B9">
      <w:pPr>
        <w:pStyle w:val="Textpoznpodarou"/>
        <w:jc w:val="left"/>
        <w:rPr>
          <w:rFonts w:cs="Segoe UI"/>
          <w:sz w:val="18"/>
          <w:szCs w:val="18"/>
        </w:rPr>
      </w:pPr>
      <w:r w:rsidRPr="00D77C59">
        <w:rPr>
          <w:rStyle w:val="Znakapoznpodarou"/>
          <w:rFonts w:cs="Segoe UI"/>
          <w:sz w:val="18"/>
          <w:szCs w:val="18"/>
        </w:rPr>
        <w:footnoteRef/>
      </w:r>
      <w:r w:rsidRPr="00D77C59">
        <w:rPr>
          <w:rFonts w:cs="Segoe UI"/>
          <w:sz w:val="18"/>
          <w:szCs w:val="18"/>
        </w:rPr>
        <w:t xml:space="preserve"> Pozn. v českém překladu pokynů EK pro CP je překládán „scope“ jako „oblast“, pro jasnost však ponecháváme anglický pojem</w:t>
      </w:r>
    </w:p>
  </w:footnote>
  <w:footnote w:id="47">
    <w:p w14:paraId="7A57EE5C" w14:textId="77777777" w:rsidR="00FC2100" w:rsidRPr="00D77C59" w:rsidRDefault="00FC2100" w:rsidP="00FC2100">
      <w:pPr>
        <w:pStyle w:val="Textpoznpodarou"/>
        <w:jc w:val="left"/>
        <w:rPr>
          <w:rFonts w:cs="Segoe UI"/>
          <w:sz w:val="18"/>
          <w:szCs w:val="18"/>
        </w:rPr>
      </w:pPr>
      <w:r w:rsidRPr="00D77C59">
        <w:rPr>
          <w:rStyle w:val="Znakapoznpodarou"/>
          <w:rFonts w:cs="Segoe UI"/>
          <w:sz w:val="18"/>
          <w:szCs w:val="18"/>
        </w:rPr>
        <w:footnoteRef/>
      </w:r>
      <w:r w:rsidRPr="00D77C59">
        <w:rPr>
          <w:rFonts w:cs="Segoe UI"/>
          <w:sz w:val="18"/>
          <w:szCs w:val="18"/>
        </w:rPr>
        <w:tab/>
        <w:t>Postup, kterým příslušný orgán určuje, zda projekty uvedené v příloze II směrnice 2011/92/EU mají podléhat posouzení vlivů na životní prostředí (podle čl. 4 odst. 2 uvedené směrnice).</w:t>
      </w:r>
    </w:p>
  </w:footnote>
  <w:footnote w:id="48">
    <w:p w14:paraId="1A604984" w14:textId="77777777" w:rsidR="00FC2100" w:rsidRPr="00D77C59" w:rsidRDefault="00FC2100" w:rsidP="00FC2100">
      <w:pPr>
        <w:pStyle w:val="Textpoznpodarou"/>
        <w:jc w:val="left"/>
        <w:rPr>
          <w:rFonts w:cs="Segoe UI"/>
          <w:sz w:val="18"/>
          <w:szCs w:val="18"/>
        </w:rPr>
      </w:pPr>
      <w:r w:rsidRPr="00D77C59">
        <w:rPr>
          <w:rStyle w:val="Znakapoznpodarou"/>
          <w:rFonts w:cs="Segoe UI"/>
          <w:sz w:val="18"/>
          <w:szCs w:val="18"/>
        </w:rPr>
        <w:footnoteRef/>
      </w:r>
      <w:r w:rsidRPr="00D77C59">
        <w:rPr>
          <w:rFonts w:cs="Segoe UI"/>
          <w:sz w:val="18"/>
          <w:szCs w:val="18"/>
        </w:rPr>
        <w:tab/>
        <w:t>V případě činností ve třetích zemích v souladu s rovnocennými platnými vnitrostátními předpisy nebo mezinárodními normami, například s normou výkonnosti IFC č. 1: Posuzování a řízení environmentálních a sociálních rizik.</w:t>
      </w:r>
    </w:p>
  </w:footnote>
  <w:footnote w:id="49">
    <w:p w14:paraId="7AF11DCC" w14:textId="47872374" w:rsidR="00FC2100" w:rsidRPr="00D77C59" w:rsidRDefault="00FC2100" w:rsidP="00FC2100">
      <w:pPr>
        <w:pStyle w:val="Textpoznpodarou"/>
        <w:rPr>
          <w:rFonts w:cs="Segoe UI"/>
          <w:sz w:val="18"/>
          <w:szCs w:val="18"/>
        </w:rPr>
      </w:pPr>
      <w:r w:rsidRPr="00D77C59">
        <w:rPr>
          <w:rStyle w:val="Znakapoznpodarou"/>
          <w:rFonts w:cs="Segoe UI"/>
          <w:sz w:val="18"/>
          <w:szCs w:val="18"/>
        </w:rPr>
        <w:footnoteRef/>
      </w:r>
      <w:r w:rsidRPr="00D77C59">
        <w:rPr>
          <w:rFonts w:cs="Segoe UI"/>
          <w:sz w:val="18"/>
          <w:szCs w:val="18"/>
        </w:rPr>
        <w:t xml:space="preserve"> dle vyhlášky č. 131/2024 Sb. o dokumentaci staveb</w:t>
      </w:r>
      <w:r w:rsidR="009503F8">
        <w:rPr>
          <w:rFonts w:cs="Segoe UI"/>
          <w:sz w:val="18"/>
          <w:szCs w:val="18"/>
        </w:rPr>
        <w:t>.</w:t>
      </w:r>
    </w:p>
  </w:footnote>
  <w:footnote w:id="50">
    <w:p w14:paraId="4E5A9590" w14:textId="195C5857" w:rsidR="003732CC" w:rsidRPr="00D77C59" w:rsidRDefault="003732CC">
      <w:pPr>
        <w:pStyle w:val="Textpoznpodarou"/>
        <w:rPr>
          <w:rFonts w:cs="Segoe UI"/>
          <w:sz w:val="18"/>
          <w:szCs w:val="18"/>
        </w:rPr>
      </w:pPr>
      <w:r w:rsidRPr="00D77C59">
        <w:rPr>
          <w:rStyle w:val="Znakapoznpodarou"/>
          <w:rFonts w:cs="Segoe UI"/>
          <w:sz w:val="18"/>
          <w:szCs w:val="18"/>
        </w:rPr>
        <w:footnoteRef/>
      </w:r>
      <w:r w:rsidRPr="00D77C59">
        <w:rPr>
          <w:rFonts w:cs="Segoe UI"/>
          <w:sz w:val="18"/>
          <w:szCs w:val="18"/>
        </w:rPr>
        <w:t xml:space="preserve"> </w:t>
      </w:r>
      <w:r w:rsidR="006C6775" w:rsidRPr="00D77C59">
        <w:rPr>
          <w:rFonts w:cs="Segoe UI"/>
          <w:sz w:val="18"/>
          <w:szCs w:val="18"/>
        </w:rPr>
        <w:t>Souhrnný přehled postupů je obsažený v </w:t>
      </w:r>
      <w:hyperlink w:anchor="_Přehled_postupů_pro" w:history="1">
        <w:r w:rsidR="006C6775" w:rsidRPr="00D77C59">
          <w:rPr>
            <w:rStyle w:val="Hypertextovodkaz"/>
            <w:rFonts w:cs="Segoe UI"/>
            <w:sz w:val="18"/>
            <w:szCs w:val="18"/>
          </w:rPr>
          <w:t>příloze 5.8</w:t>
        </w:r>
      </w:hyperlink>
    </w:p>
  </w:footnote>
  <w:footnote w:id="51">
    <w:p w14:paraId="17DE7B75" w14:textId="7A54D636" w:rsidR="00D82E82" w:rsidRPr="00D77C59" w:rsidRDefault="00D82E82" w:rsidP="00D82E82">
      <w:pPr>
        <w:pStyle w:val="Textpoznpodarou"/>
        <w:rPr>
          <w:rFonts w:cs="Segoe UI"/>
          <w:sz w:val="18"/>
          <w:szCs w:val="18"/>
        </w:rPr>
      </w:pPr>
      <w:r w:rsidRPr="00D77C59">
        <w:rPr>
          <w:rStyle w:val="Znakapoznpodarou"/>
          <w:rFonts w:cs="Segoe UI"/>
          <w:sz w:val="18"/>
          <w:szCs w:val="18"/>
        </w:rPr>
        <w:footnoteRef/>
      </w:r>
      <w:r w:rsidRPr="00D77C59">
        <w:rPr>
          <w:rFonts w:cs="Segoe UI"/>
          <w:sz w:val="18"/>
          <w:szCs w:val="18"/>
        </w:rPr>
        <w:t xml:space="preserve"> Např.: Možnost zvýhodnění žadatele, který se přihlásil ke standardu </w:t>
      </w:r>
      <w:hyperlink r:id="rId25" w:tooltip="https://www.fsb-tcfd.org/" w:history="1">
        <w:r w:rsidRPr="00D77C59">
          <w:rPr>
            <w:rStyle w:val="Hypertextovodkaz"/>
            <w:rFonts w:cs="Segoe UI"/>
            <w:sz w:val="18"/>
            <w:szCs w:val="18"/>
          </w:rPr>
          <w:t>FSB - TCFD</w:t>
        </w:r>
      </w:hyperlink>
      <w:r w:rsidRPr="00D77C59">
        <w:rPr>
          <w:rFonts w:cs="Segoe UI"/>
          <w:sz w:val="18"/>
          <w:szCs w:val="18"/>
        </w:rPr>
        <w:t xml:space="preserve"> a vydal zprávu o klimatických rizicích v podniku. Tento report může být požadován i s ověřením/auditem. Report popisuje a hodnotí rizika tranziční i fyzická na činnost podniku. Fyzická rizika se mají hodnotit skrze scénáře a syntetický výsledek popisuje hlavní rizika, finanční dopady a adaptační opatření. Lze popisovat i regiony, či projekty. </w:t>
      </w:r>
      <w:r w:rsidR="007F68AD">
        <w:rPr>
          <w:rFonts w:cs="Segoe UI"/>
          <w:sz w:val="18"/>
          <w:szCs w:val="18"/>
        </w:rPr>
        <w:t xml:space="preserve">Administrátor zdrojů EU </w:t>
      </w:r>
      <w:r w:rsidRPr="00D77C59">
        <w:rPr>
          <w:rFonts w:cs="Segoe UI"/>
          <w:sz w:val="18"/>
          <w:szCs w:val="18"/>
        </w:rPr>
        <w:t>může umožnit využití TCFD reportu za předpokladu, že je v něm kupříkladu uvedeno hodnocení pro typ projektu/technologie a dotčený region. Případně konkrétního projektu. Jedná se o standartní způsob dokládání souladu u kritéria adaptace pro fin. trh. (SPO green bonds).</w:t>
      </w:r>
    </w:p>
  </w:footnote>
  <w:footnote w:id="52">
    <w:p w14:paraId="4D32E7D5" w14:textId="77777777" w:rsidR="00D82E82" w:rsidRPr="00D77C59" w:rsidRDefault="00D82E82" w:rsidP="00D82E82">
      <w:pPr>
        <w:pStyle w:val="Textpoznpodarou"/>
        <w:rPr>
          <w:rFonts w:cs="Segoe UI"/>
          <w:sz w:val="18"/>
          <w:szCs w:val="18"/>
        </w:rPr>
      </w:pPr>
      <w:r w:rsidRPr="00D77C59">
        <w:rPr>
          <w:rStyle w:val="Znakapoznpodarou"/>
          <w:rFonts w:cs="Segoe UI"/>
          <w:sz w:val="18"/>
          <w:szCs w:val="18"/>
        </w:rPr>
        <w:footnoteRef/>
      </w:r>
      <w:r w:rsidRPr="00D77C59">
        <w:rPr>
          <w:rFonts w:cs="Segoe UI"/>
          <w:sz w:val="18"/>
          <w:szCs w:val="18"/>
        </w:rPr>
        <w:t xml:space="preserve"> Pro určení bonifikovaných či doporučených adaptačních opatření je možné využít existující odbornou literaturu (IEA, EEA, vč. české adaptační strategie aj.). Případně lze vytvořit a využít checklist a adaptační doporučení pro daný typ projektů či sektor. Příklad, kdy je obecně zpracován a podpořen mezinárodní praxí, např.: </w:t>
      </w:r>
      <w:hyperlink r:id="rId26" w:tooltip="https://www.climatebonds.net/files/files/Grids%20Criteria_March%202022.pdf" w:history="1">
        <w:r w:rsidRPr="00D77C59">
          <w:rPr>
            <w:rStyle w:val="Hypertextovodkaz"/>
            <w:rFonts w:cs="Segoe UI"/>
            <w:sz w:val="18"/>
            <w:szCs w:val="18"/>
          </w:rPr>
          <w:t>https://www.climatebonds.net/files/files/Grids%20Criteria_March%202022.pdf</w:t>
        </w:r>
      </w:hyperlink>
      <w:r w:rsidRPr="00D77C59">
        <w:rPr>
          <w:rFonts w:cs="Segoe UI"/>
          <w:sz w:val="18"/>
          <w:szCs w:val="18"/>
        </w:rPr>
        <w:t xml:space="preserve"> </w:t>
      </w:r>
    </w:p>
  </w:footnote>
  <w:footnote w:id="53">
    <w:p w14:paraId="5A822958" w14:textId="77777777" w:rsidR="00D82E82" w:rsidRPr="00D77C59" w:rsidRDefault="00D82E82" w:rsidP="00D82E82">
      <w:pPr>
        <w:pStyle w:val="Textpoznpodarou"/>
        <w:jc w:val="left"/>
        <w:rPr>
          <w:rFonts w:cs="Segoe UI"/>
          <w:sz w:val="18"/>
          <w:szCs w:val="18"/>
        </w:rPr>
      </w:pPr>
      <w:r w:rsidRPr="00D77C59">
        <w:rPr>
          <w:rStyle w:val="Znakapoznpodarou"/>
          <w:rFonts w:cs="Segoe UI"/>
          <w:sz w:val="18"/>
          <w:szCs w:val="18"/>
        </w:rPr>
        <w:footnoteRef/>
      </w:r>
      <w:hyperlink r:id="rId27" w:history="1">
        <w:r w:rsidRPr="00D77C59">
          <w:rPr>
            <w:rStyle w:val="Hypertextovodkaz"/>
            <w:rFonts w:cs="Segoe UI"/>
            <w:sz w:val="18"/>
            <w:szCs w:val="18"/>
          </w:rPr>
          <w:t xml:space="preserve"> https://mzp.gov.cz/system/files/2024-08/OPOK-Komplexni_studie_dopady_klima-20151201.pdf f</w:t>
        </w:r>
      </w:hyperlink>
      <w:r w:rsidRPr="00D77C59">
        <w:rPr>
          <w:rFonts w:cs="Segoe UI"/>
          <w:sz w:val="18"/>
          <w:szCs w:val="18"/>
        </w:rPr>
        <w:t xml:space="preserve">. </w:t>
      </w:r>
    </w:p>
  </w:footnote>
  <w:footnote w:id="54">
    <w:p w14:paraId="4E790609" w14:textId="23AABDC5" w:rsidR="00D82E82" w:rsidRPr="00D77C59" w:rsidRDefault="00D82E82" w:rsidP="00D82E82">
      <w:pPr>
        <w:pStyle w:val="Textpoznpodarou"/>
        <w:jc w:val="left"/>
        <w:rPr>
          <w:rFonts w:cs="Segoe UI"/>
          <w:sz w:val="18"/>
          <w:szCs w:val="18"/>
        </w:rPr>
      </w:pPr>
      <w:r w:rsidRPr="00D77C59">
        <w:rPr>
          <w:rStyle w:val="Znakapoznpodarou"/>
          <w:rFonts w:cs="Segoe UI"/>
          <w:sz w:val="18"/>
          <w:szCs w:val="18"/>
        </w:rPr>
        <w:footnoteRef/>
      </w:r>
      <w:r w:rsidRPr="00D77C59">
        <w:rPr>
          <w:rFonts w:cs="Segoe UI"/>
          <w:sz w:val="18"/>
          <w:szCs w:val="18"/>
        </w:rPr>
        <w:t xml:space="preserve"> </w:t>
      </w:r>
      <w:hyperlink r:id="rId28" w:history="1">
        <w:r w:rsidRPr="00D77C59">
          <w:rPr>
            <w:rStyle w:val="Hypertextovodkaz"/>
            <w:rFonts w:cs="Segoe UI"/>
            <w:sz w:val="18"/>
            <w:szCs w:val="18"/>
          </w:rPr>
          <w:t>https://mzp.gov.cz/system/files/2025-03/OAZK_Narodni_adaptacni_strategie-aktualizace_20211026.pdf</w:t>
        </w:r>
      </w:hyperlink>
      <w:r w:rsidR="00291519">
        <w:rPr>
          <w:rFonts w:cs="Segoe UI"/>
          <w:sz w:val="18"/>
          <w:szCs w:val="18"/>
        </w:rPr>
        <w:t>.</w:t>
      </w:r>
    </w:p>
  </w:footnote>
  <w:footnote w:id="55">
    <w:p w14:paraId="13E964C8" w14:textId="0240E4A9" w:rsidR="00D82E82" w:rsidRPr="00D77C59" w:rsidRDefault="00D82E82" w:rsidP="00D82E82">
      <w:pPr>
        <w:pStyle w:val="Textpoznpodarou"/>
        <w:jc w:val="left"/>
        <w:rPr>
          <w:rFonts w:cs="Segoe UI"/>
          <w:sz w:val="18"/>
          <w:szCs w:val="18"/>
        </w:rPr>
      </w:pPr>
      <w:r w:rsidRPr="00D77C59">
        <w:rPr>
          <w:rStyle w:val="Znakapoznpodarou"/>
          <w:rFonts w:cs="Segoe UI"/>
          <w:sz w:val="18"/>
          <w:szCs w:val="18"/>
        </w:rPr>
        <w:footnoteRef/>
      </w:r>
      <w:r w:rsidRPr="00D77C59">
        <w:rPr>
          <w:rFonts w:cs="Segoe UI"/>
          <w:sz w:val="18"/>
          <w:szCs w:val="18"/>
        </w:rPr>
        <w:t xml:space="preserve"> </w:t>
      </w:r>
      <w:r w:rsidR="007C13CF" w:rsidRPr="00D77C59">
        <w:rPr>
          <w:rFonts w:cs="Segoe UI"/>
          <w:sz w:val="18"/>
          <w:szCs w:val="18"/>
        </w:rPr>
        <w:t>https://asep.lib.cas.cz/arl-cav/cs/detail-cav_un_epca-0539326-Doporucena-adaptacni-a-mitigacni-opatreni-v-rizikovych-oblastech-vyskytu-prirodnich-pozaru-s-prihled/</w:t>
      </w:r>
    </w:p>
  </w:footnote>
  <w:footnote w:id="56">
    <w:p w14:paraId="7EB311FD" w14:textId="77777777" w:rsidR="00DB7119" w:rsidRPr="00D77C59" w:rsidRDefault="00DB7119" w:rsidP="00DB7119">
      <w:pPr>
        <w:pStyle w:val="Textpoznpodarou"/>
        <w:jc w:val="left"/>
        <w:rPr>
          <w:rFonts w:cs="Segoe UI"/>
          <w:sz w:val="18"/>
          <w:szCs w:val="18"/>
        </w:rPr>
      </w:pPr>
      <w:r w:rsidRPr="00D77C59">
        <w:rPr>
          <w:rStyle w:val="Znakapoznpodarou"/>
          <w:rFonts w:cs="Segoe UI"/>
          <w:sz w:val="18"/>
          <w:szCs w:val="18"/>
        </w:rPr>
        <w:footnoteRef/>
      </w:r>
      <w:r w:rsidRPr="00D77C59">
        <w:rPr>
          <w:rFonts w:cs="Segoe UI"/>
          <w:sz w:val="18"/>
          <w:szCs w:val="18"/>
        </w:rPr>
        <w:tab/>
        <w:t>Postup, kterým příslušný orgán určuje, zda projekty uvedené v příloze II směrnice 2011/92/EU mají podléhat posouzení vlivů na životní prostředí (podle čl. 4 odst. 2 uvedené směrnice).</w:t>
      </w:r>
    </w:p>
  </w:footnote>
  <w:footnote w:id="57">
    <w:p w14:paraId="36C62413" w14:textId="77777777" w:rsidR="00DB7119" w:rsidRPr="00D77C59" w:rsidRDefault="00DB7119" w:rsidP="00DB7119">
      <w:pPr>
        <w:pStyle w:val="Textpoznpodarou"/>
        <w:jc w:val="left"/>
        <w:rPr>
          <w:rFonts w:cs="Segoe UI"/>
          <w:sz w:val="18"/>
          <w:szCs w:val="18"/>
        </w:rPr>
      </w:pPr>
      <w:r w:rsidRPr="00D77C59">
        <w:rPr>
          <w:rStyle w:val="Znakapoznpodarou"/>
          <w:rFonts w:cs="Segoe UI"/>
          <w:sz w:val="18"/>
          <w:szCs w:val="18"/>
        </w:rPr>
        <w:footnoteRef/>
      </w:r>
      <w:r w:rsidRPr="00D77C59">
        <w:rPr>
          <w:rFonts w:cs="Segoe UI"/>
          <w:sz w:val="18"/>
          <w:szCs w:val="18"/>
        </w:rPr>
        <w:tab/>
        <w:t>V případě činností ve třetích zemích v souladu s rovnocennými platnými vnitrostátními předpisy nebo mezinárodními normami, například s normou výkonnosti IFC č. 1: Posuzování a řízení environmentálních a sociálních rizik.</w:t>
      </w:r>
    </w:p>
  </w:footnote>
  <w:footnote w:id="58">
    <w:p w14:paraId="416EA648" w14:textId="3411F4B5" w:rsidR="003732CC" w:rsidRPr="00D77C59" w:rsidRDefault="003732CC">
      <w:pPr>
        <w:pStyle w:val="Textpoznpodarou"/>
        <w:rPr>
          <w:rFonts w:cs="Segoe UI"/>
          <w:sz w:val="18"/>
          <w:szCs w:val="18"/>
        </w:rPr>
      </w:pPr>
      <w:r w:rsidRPr="00D77C59">
        <w:rPr>
          <w:rStyle w:val="Znakapoznpodarou"/>
          <w:rFonts w:cs="Segoe UI"/>
          <w:sz w:val="18"/>
          <w:szCs w:val="18"/>
        </w:rPr>
        <w:footnoteRef/>
      </w:r>
      <w:r w:rsidRPr="00D77C59">
        <w:rPr>
          <w:rFonts w:cs="Segoe UI"/>
          <w:sz w:val="18"/>
          <w:szCs w:val="18"/>
        </w:rPr>
        <w:t xml:space="preserve"> </w:t>
      </w:r>
      <w:r w:rsidR="006C6775" w:rsidRPr="00D77C59">
        <w:rPr>
          <w:rFonts w:cs="Segoe UI"/>
          <w:sz w:val="18"/>
          <w:szCs w:val="18"/>
        </w:rPr>
        <w:t>Souhrnný přehled postupů je obsažený v </w:t>
      </w:r>
      <w:hyperlink w:anchor="_Přehled_postupů_pro" w:history="1">
        <w:r w:rsidR="006C6775" w:rsidRPr="00D77C59">
          <w:rPr>
            <w:rStyle w:val="Hypertextovodkaz"/>
            <w:rFonts w:cs="Segoe UI"/>
            <w:sz w:val="18"/>
            <w:szCs w:val="18"/>
          </w:rPr>
          <w:t>příloze 5.8</w:t>
        </w:r>
      </w:hyperlink>
    </w:p>
  </w:footnote>
  <w:footnote w:id="59">
    <w:p w14:paraId="6F089188" w14:textId="77777777" w:rsidR="00E718A8" w:rsidRPr="00D77C59" w:rsidRDefault="00E718A8" w:rsidP="00E718A8">
      <w:pPr>
        <w:pStyle w:val="Textpoznpodarou"/>
        <w:jc w:val="left"/>
        <w:rPr>
          <w:rFonts w:cs="Segoe UI"/>
          <w:sz w:val="18"/>
          <w:szCs w:val="18"/>
        </w:rPr>
      </w:pPr>
      <w:r w:rsidRPr="00D77C59">
        <w:rPr>
          <w:rStyle w:val="Znakapoznpodarou"/>
          <w:rFonts w:cs="Segoe UI"/>
          <w:sz w:val="18"/>
          <w:szCs w:val="18"/>
        </w:rPr>
        <w:footnoteRef/>
      </w:r>
      <w:r w:rsidRPr="00D77C59">
        <w:rPr>
          <w:rFonts w:cs="Segoe UI"/>
          <w:sz w:val="18"/>
          <w:szCs w:val="18"/>
        </w:rPr>
        <w:tab/>
        <w:t>Postup, kterým příslušný orgán určuje, zda projekty uvedené v příloze II směrnice 2011/92/EU mají podléhat posouzení vlivů na životní prostředí (podle čl. 4 odst. 2 uvedené směrnice).</w:t>
      </w:r>
    </w:p>
  </w:footnote>
  <w:footnote w:id="60">
    <w:p w14:paraId="36C40B63" w14:textId="77777777" w:rsidR="00E718A8" w:rsidRPr="00D77C59" w:rsidRDefault="00E718A8" w:rsidP="00E718A8">
      <w:pPr>
        <w:pStyle w:val="Textpoznpodarou"/>
        <w:jc w:val="left"/>
        <w:rPr>
          <w:rFonts w:cs="Segoe UI"/>
          <w:sz w:val="18"/>
          <w:szCs w:val="18"/>
        </w:rPr>
      </w:pPr>
      <w:r w:rsidRPr="00D77C59">
        <w:rPr>
          <w:rStyle w:val="Znakapoznpodarou"/>
          <w:rFonts w:cs="Segoe UI"/>
          <w:sz w:val="18"/>
          <w:szCs w:val="18"/>
        </w:rPr>
        <w:footnoteRef/>
      </w:r>
      <w:r w:rsidRPr="00D77C59">
        <w:rPr>
          <w:rFonts w:cs="Segoe UI"/>
          <w:sz w:val="18"/>
          <w:szCs w:val="18"/>
        </w:rPr>
        <w:tab/>
        <w:t>V případě činností ve třetích zemích v souladu s rovnocennými platnými vnitrostátními předpisy nebo mezinárodními normami, například s normou výkonnosti IFC č. 1: Posuzování a řízení environmentálních a sociálních rizik.</w:t>
      </w:r>
    </w:p>
  </w:footnote>
  <w:footnote w:id="61">
    <w:p w14:paraId="3F236893" w14:textId="6BDC8F6C" w:rsidR="003732CC" w:rsidRPr="00D77C59" w:rsidRDefault="003732CC">
      <w:pPr>
        <w:pStyle w:val="Textpoznpodarou"/>
        <w:rPr>
          <w:rFonts w:cs="Segoe UI"/>
          <w:sz w:val="18"/>
          <w:szCs w:val="18"/>
        </w:rPr>
      </w:pPr>
      <w:r w:rsidRPr="00D77C59">
        <w:rPr>
          <w:rStyle w:val="Znakapoznpodarou"/>
          <w:rFonts w:cs="Segoe UI"/>
          <w:sz w:val="18"/>
          <w:szCs w:val="18"/>
        </w:rPr>
        <w:footnoteRef/>
      </w:r>
      <w:r w:rsidRPr="00D77C59">
        <w:rPr>
          <w:rFonts w:cs="Segoe UI"/>
          <w:sz w:val="18"/>
          <w:szCs w:val="18"/>
        </w:rPr>
        <w:t xml:space="preserve"> Souhrnný přehled postupů je obsažený v </w:t>
      </w:r>
      <w:hyperlink w:anchor="_Přehled_postupů_pro" w:history="1">
        <w:r w:rsidRPr="00D77C59">
          <w:rPr>
            <w:rStyle w:val="Hypertextovodkaz"/>
            <w:rFonts w:cs="Segoe UI"/>
            <w:sz w:val="18"/>
            <w:szCs w:val="18"/>
          </w:rPr>
          <w:t>příloze 5.8</w:t>
        </w:r>
      </w:hyperlink>
    </w:p>
  </w:footnote>
  <w:footnote w:id="62">
    <w:p w14:paraId="74D04E76" w14:textId="77777777" w:rsidR="00A32A7E" w:rsidRPr="00D77C59" w:rsidRDefault="00A32A7E" w:rsidP="00A32A7E">
      <w:pPr>
        <w:pStyle w:val="Textpoznpodarou"/>
        <w:rPr>
          <w:rFonts w:cs="Segoe UI"/>
          <w:sz w:val="18"/>
          <w:szCs w:val="18"/>
        </w:rPr>
      </w:pPr>
      <w:r w:rsidRPr="00D77C59">
        <w:rPr>
          <w:rStyle w:val="Znakapoznpodarou"/>
          <w:rFonts w:cs="Segoe UI"/>
          <w:sz w:val="18"/>
          <w:szCs w:val="18"/>
        </w:rPr>
        <w:footnoteRef/>
      </w:r>
      <w:r w:rsidRPr="00D77C59">
        <w:rPr>
          <w:rFonts w:cs="Segoe UI"/>
          <w:sz w:val="18"/>
          <w:szCs w:val="18"/>
        </w:rPr>
        <w:t xml:space="preserve"> Pro splnění podmínky je možno využít následující typová zařízení pro nakládání s odpadem dle Příloha č. 2 k zákonu č. 541/2020 Sb.: </w:t>
      </w:r>
    </w:p>
    <w:p w14:paraId="765F0BF6" w14:textId="77777777" w:rsidR="00A32A7E" w:rsidRPr="00D77C59" w:rsidRDefault="00A32A7E" w:rsidP="00A32A7E">
      <w:pPr>
        <w:pStyle w:val="Textpoznpodarou"/>
        <w:numPr>
          <w:ilvl w:val="0"/>
          <w:numId w:val="55"/>
        </w:numPr>
        <w:rPr>
          <w:rFonts w:cs="Segoe UI"/>
          <w:sz w:val="18"/>
          <w:szCs w:val="18"/>
        </w:rPr>
      </w:pPr>
      <w:r w:rsidRPr="00D77C59">
        <w:rPr>
          <w:rFonts w:cs="Segoe UI"/>
          <w:b/>
          <w:bCs/>
          <w:sz w:val="18"/>
          <w:szCs w:val="18"/>
        </w:rPr>
        <w:t>Typ zařízení (název technologie / činnosti):</w:t>
      </w:r>
      <w:r w:rsidRPr="00D77C59">
        <w:rPr>
          <w:rFonts w:cs="Segoe UI"/>
          <w:sz w:val="18"/>
          <w:szCs w:val="18"/>
        </w:rPr>
        <w:t xml:space="preserve"> drcení odpadu; </w:t>
      </w:r>
      <w:r w:rsidRPr="00D77C59">
        <w:rPr>
          <w:rFonts w:cs="Segoe UI"/>
          <w:b/>
          <w:bCs/>
          <w:sz w:val="18"/>
          <w:szCs w:val="18"/>
        </w:rPr>
        <w:t>činnost:</w:t>
      </w:r>
      <w:r w:rsidRPr="00D77C59">
        <w:rPr>
          <w:rFonts w:cs="Segoe UI"/>
          <w:sz w:val="18"/>
          <w:szCs w:val="18"/>
        </w:rPr>
        <w:t xml:space="preserve"> 3.2.0; </w:t>
      </w:r>
      <w:r w:rsidRPr="00D77C59">
        <w:rPr>
          <w:rFonts w:cs="Segoe UI"/>
          <w:b/>
          <w:bCs/>
          <w:sz w:val="18"/>
          <w:szCs w:val="18"/>
        </w:rPr>
        <w:t>způsob nakládání:</w:t>
      </w:r>
      <w:r w:rsidRPr="00D77C59">
        <w:rPr>
          <w:rFonts w:cs="Segoe UI"/>
          <w:sz w:val="18"/>
          <w:szCs w:val="18"/>
        </w:rPr>
        <w:t xml:space="preserve"> R12a</w:t>
      </w:r>
      <w:r w:rsidR="002968EC">
        <w:rPr>
          <w:rFonts w:cs="Segoe UI"/>
          <w:sz w:val="18"/>
          <w:szCs w:val="18"/>
        </w:rPr>
        <w:t>.</w:t>
      </w:r>
    </w:p>
    <w:p w14:paraId="375AC964" w14:textId="77777777" w:rsidR="00A32A7E" w:rsidRPr="00D77C59" w:rsidRDefault="00A32A7E" w:rsidP="00A32A7E">
      <w:pPr>
        <w:pStyle w:val="Textpoznpodarou"/>
        <w:numPr>
          <w:ilvl w:val="0"/>
          <w:numId w:val="55"/>
        </w:numPr>
        <w:rPr>
          <w:rFonts w:cs="Segoe UI"/>
          <w:sz w:val="18"/>
          <w:szCs w:val="18"/>
        </w:rPr>
      </w:pPr>
      <w:r w:rsidRPr="00D77C59">
        <w:rPr>
          <w:rFonts w:cs="Segoe UI"/>
          <w:b/>
          <w:bCs/>
          <w:sz w:val="18"/>
          <w:szCs w:val="18"/>
        </w:rPr>
        <w:t>Typ zařízení (název technologie / činnosti):</w:t>
      </w:r>
      <w:r w:rsidRPr="00D77C59">
        <w:rPr>
          <w:rFonts w:cs="Segoe UI"/>
          <w:sz w:val="18"/>
          <w:szCs w:val="18"/>
        </w:rPr>
        <w:t xml:space="preserve"> třídění, dotřídění odpadu; </w:t>
      </w:r>
      <w:r w:rsidRPr="00D77C59">
        <w:rPr>
          <w:rFonts w:cs="Segoe UI"/>
          <w:b/>
          <w:bCs/>
          <w:sz w:val="18"/>
          <w:szCs w:val="18"/>
        </w:rPr>
        <w:t>činnost:</w:t>
      </w:r>
      <w:r w:rsidRPr="00D77C59">
        <w:rPr>
          <w:rFonts w:cs="Segoe UI"/>
          <w:sz w:val="18"/>
          <w:szCs w:val="18"/>
        </w:rPr>
        <w:t xml:space="preserve"> 3.4.0; </w:t>
      </w:r>
      <w:r w:rsidRPr="00D77C59">
        <w:rPr>
          <w:rFonts w:cs="Segoe UI"/>
          <w:b/>
          <w:bCs/>
          <w:sz w:val="18"/>
          <w:szCs w:val="18"/>
        </w:rPr>
        <w:t>způsob nakládání:</w:t>
      </w:r>
      <w:r w:rsidRPr="00D77C59">
        <w:rPr>
          <w:rFonts w:cs="Segoe UI"/>
          <w:sz w:val="18"/>
          <w:szCs w:val="18"/>
        </w:rPr>
        <w:t xml:space="preserve"> R12a,e</w:t>
      </w:r>
      <w:r w:rsidR="002968EC">
        <w:rPr>
          <w:rFonts w:cs="Segoe UI"/>
          <w:sz w:val="18"/>
          <w:szCs w:val="18"/>
        </w:rPr>
        <w:t>.</w:t>
      </w:r>
    </w:p>
    <w:p w14:paraId="30ECBFE5" w14:textId="77777777" w:rsidR="00A32A7E" w:rsidRPr="00D77C59" w:rsidRDefault="00A32A7E" w:rsidP="00A32A7E">
      <w:pPr>
        <w:pStyle w:val="Textpoznpodarou"/>
        <w:numPr>
          <w:ilvl w:val="0"/>
          <w:numId w:val="55"/>
        </w:numPr>
        <w:rPr>
          <w:rFonts w:cs="Segoe UI"/>
          <w:sz w:val="18"/>
          <w:szCs w:val="18"/>
        </w:rPr>
      </w:pPr>
      <w:r w:rsidRPr="00D77C59">
        <w:rPr>
          <w:rFonts w:cs="Segoe UI"/>
          <w:b/>
          <w:bCs/>
          <w:sz w:val="18"/>
          <w:szCs w:val="18"/>
        </w:rPr>
        <w:t>Typ zařízení (název technologie / činnosti):</w:t>
      </w:r>
      <w:r w:rsidRPr="00D77C59">
        <w:rPr>
          <w:rFonts w:cs="Segoe UI"/>
          <w:sz w:val="18"/>
          <w:szCs w:val="18"/>
        </w:rPr>
        <w:t xml:space="preserve"> zařízení k přípravě pro opětovné použití; </w:t>
      </w:r>
      <w:r w:rsidRPr="00D77C59">
        <w:rPr>
          <w:rFonts w:cs="Segoe UI"/>
          <w:b/>
          <w:bCs/>
          <w:sz w:val="18"/>
          <w:szCs w:val="18"/>
        </w:rPr>
        <w:t>činnost:</w:t>
      </w:r>
      <w:r w:rsidRPr="00D77C59">
        <w:rPr>
          <w:rFonts w:cs="Segoe UI"/>
          <w:sz w:val="18"/>
          <w:szCs w:val="18"/>
        </w:rPr>
        <w:t xml:space="preserve"> 5.17.0; </w:t>
      </w:r>
      <w:r w:rsidRPr="00D77C59">
        <w:rPr>
          <w:rFonts w:cs="Segoe UI"/>
          <w:b/>
          <w:bCs/>
          <w:sz w:val="18"/>
          <w:szCs w:val="18"/>
        </w:rPr>
        <w:t>způsob nakládání:</w:t>
      </w:r>
      <w:r w:rsidRPr="00D77C59">
        <w:rPr>
          <w:rFonts w:cs="Segoe UI"/>
          <w:sz w:val="18"/>
          <w:szCs w:val="18"/>
        </w:rPr>
        <w:t xml:space="preserve"> R5c</w:t>
      </w:r>
      <w:r w:rsidR="002968EC">
        <w:rPr>
          <w:rFonts w:cs="Segoe UI"/>
          <w:sz w:val="18"/>
          <w:szCs w:val="18"/>
        </w:rPr>
        <w:t>.</w:t>
      </w:r>
    </w:p>
    <w:p w14:paraId="058A815F" w14:textId="77777777" w:rsidR="00A32A7E" w:rsidRPr="00D77C59" w:rsidRDefault="00A32A7E" w:rsidP="00A32A7E">
      <w:pPr>
        <w:pStyle w:val="Textpoznpodarou"/>
        <w:numPr>
          <w:ilvl w:val="0"/>
          <w:numId w:val="55"/>
        </w:numPr>
        <w:rPr>
          <w:rFonts w:cs="Segoe UI"/>
          <w:sz w:val="18"/>
          <w:szCs w:val="18"/>
        </w:rPr>
      </w:pPr>
      <w:r w:rsidRPr="00D77C59">
        <w:rPr>
          <w:rFonts w:cs="Segoe UI"/>
          <w:b/>
          <w:bCs/>
          <w:sz w:val="18"/>
          <w:szCs w:val="18"/>
        </w:rPr>
        <w:t>Typ zařízení (název technologie / činnosti):</w:t>
      </w:r>
      <w:r w:rsidRPr="00D77C59">
        <w:rPr>
          <w:rFonts w:cs="Segoe UI"/>
          <w:sz w:val="18"/>
          <w:szCs w:val="18"/>
        </w:rPr>
        <w:t xml:space="preserve"> výroba recyklátu ze stavebních a demoličních odpadů; </w:t>
      </w:r>
      <w:r w:rsidRPr="00D77C59">
        <w:rPr>
          <w:rFonts w:cs="Segoe UI"/>
          <w:b/>
          <w:bCs/>
          <w:sz w:val="18"/>
          <w:szCs w:val="18"/>
        </w:rPr>
        <w:t>činnost:</w:t>
      </w:r>
      <w:r w:rsidRPr="00D77C59">
        <w:rPr>
          <w:rFonts w:cs="Segoe UI"/>
          <w:sz w:val="18"/>
          <w:szCs w:val="18"/>
        </w:rPr>
        <w:t xml:space="preserve"> 5.10.2; </w:t>
      </w:r>
      <w:r w:rsidRPr="00D77C59">
        <w:rPr>
          <w:rFonts w:cs="Segoe UI"/>
          <w:b/>
          <w:bCs/>
          <w:sz w:val="18"/>
          <w:szCs w:val="18"/>
        </w:rPr>
        <w:t>způsob nakládání:</w:t>
      </w:r>
      <w:r w:rsidRPr="00D77C59">
        <w:rPr>
          <w:rFonts w:cs="Segoe UI"/>
          <w:sz w:val="18"/>
          <w:szCs w:val="18"/>
        </w:rPr>
        <w:t xml:space="preserve"> R5d</w:t>
      </w:r>
      <w:r w:rsidR="002968EC">
        <w:rPr>
          <w:rFonts w:cs="Segoe UI"/>
          <w:sz w:val="18"/>
          <w:szCs w:val="18"/>
        </w:rPr>
        <w:t>.</w:t>
      </w:r>
    </w:p>
    <w:p w14:paraId="2D91D070" w14:textId="77777777" w:rsidR="00A32A7E" w:rsidRPr="00D77C59" w:rsidRDefault="00A32A7E" w:rsidP="00A32A7E">
      <w:pPr>
        <w:pStyle w:val="Textpoznpodarou"/>
        <w:numPr>
          <w:ilvl w:val="0"/>
          <w:numId w:val="55"/>
        </w:numPr>
        <w:rPr>
          <w:rFonts w:cs="Segoe UI"/>
          <w:sz w:val="18"/>
          <w:szCs w:val="18"/>
        </w:rPr>
      </w:pPr>
      <w:r w:rsidRPr="00D77C59">
        <w:rPr>
          <w:rFonts w:cs="Segoe UI"/>
          <w:b/>
          <w:bCs/>
          <w:sz w:val="18"/>
          <w:szCs w:val="18"/>
        </w:rPr>
        <w:t>Typ zařízení (název technologie / činnosti):</w:t>
      </w:r>
      <w:r w:rsidRPr="00D77C59">
        <w:rPr>
          <w:rFonts w:cs="Segoe UI"/>
          <w:sz w:val="18"/>
          <w:szCs w:val="18"/>
        </w:rPr>
        <w:t xml:space="preserve"> sběr odpadů; </w:t>
      </w:r>
      <w:r w:rsidRPr="00D77C59">
        <w:rPr>
          <w:rFonts w:cs="Segoe UI"/>
          <w:b/>
          <w:bCs/>
          <w:sz w:val="18"/>
          <w:szCs w:val="18"/>
        </w:rPr>
        <w:t>činnost:</w:t>
      </w:r>
      <w:r w:rsidRPr="00D77C59">
        <w:rPr>
          <w:rFonts w:cs="Segoe UI"/>
          <w:sz w:val="18"/>
          <w:szCs w:val="18"/>
        </w:rPr>
        <w:t xml:space="preserve"> 11.1.0; (v případě, že zařízení ke sběru odpadů na základě interní smlouvy zpětně doloží žadateli vážní lístek o předání odpadu do zařízení k recyklaci dle § 17 odst. 1 písm. c) zákona č. 541/2020 Sb., o odpadech.</w:t>
      </w:r>
    </w:p>
    <w:p w14:paraId="4DF611A2" w14:textId="77777777" w:rsidR="00A32A7E" w:rsidRPr="00D77C59" w:rsidRDefault="00A32A7E" w:rsidP="00A32A7E">
      <w:pPr>
        <w:pStyle w:val="Textpoznpodarou"/>
        <w:numPr>
          <w:ilvl w:val="0"/>
          <w:numId w:val="55"/>
        </w:numPr>
        <w:rPr>
          <w:rFonts w:cs="Segoe UI"/>
          <w:b/>
          <w:bCs/>
          <w:i/>
          <w:iCs/>
          <w:sz w:val="18"/>
          <w:szCs w:val="18"/>
        </w:rPr>
      </w:pPr>
      <w:hyperlink r:id="rId29" w:history="1">
        <w:r w:rsidRPr="00D77C59">
          <w:rPr>
            <w:rStyle w:val="Hypertextovodkaz"/>
            <w:rFonts w:cs="Segoe UI"/>
            <w:b/>
            <w:bCs/>
            <w:i/>
            <w:iCs/>
            <w:sz w:val="18"/>
            <w:szCs w:val="18"/>
          </w:rPr>
          <w:t>Registr zařízení pro nakládání s odpady provozovaných dle zákona o odpadech</w:t>
        </w:r>
      </w:hyperlink>
      <w:r w:rsidR="00C365E3">
        <w:t>.</w:t>
      </w:r>
    </w:p>
    <w:p w14:paraId="740F4F7C" w14:textId="77777777" w:rsidR="00A32A7E" w:rsidRPr="00D77C59" w:rsidRDefault="00A32A7E" w:rsidP="00A32A7E">
      <w:pPr>
        <w:pStyle w:val="Textpoznpodarou"/>
        <w:ind w:left="720"/>
        <w:rPr>
          <w:rFonts w:cs="Segoe UI"/>
          <w:sz w:val="18"/>
          <w:szCs w:val="18"/>
        </w:rPr>
      </w:pPr>
    </w:p>
  </w:footnote>
  <w:footnote w:id="63">
    <w:p w14:paraId="60F49774" w14:textId="77777777" w:rsidR="00D27E31" w:rsidRPr="00D77C59" w:rsidRDefault="00D27E31" w:rsidP="00D27E31">
      <w:pPr>
        <w:pStyle w:val="Textpoznpodarou"/>
        <w:jc w:val="left"/>
        <w:rPr>
          <w:rFonts w:cs="Segoe UI"/>
          <w:sz w:val="18"/>
          <w:szCs w:val="18"/>
        </w:rPr>
      </w:pPr>
      <w:r w:rsidRPr="00D77C59">
        <w:rPr>
          <w:rStyle w:val="Znakapoznpodarou"/>
          <w:rFonts w:cs="Segoe UI"/>
          <w:sz w:val="18"/>
          <w:szCs w:val="18"/>
        </w:rPr>
        <w:footnoteRef/>
      </w:r>
      <w:r w:rsidRPr="00D77C59">
        <w:rPr>
          <w:rFonts w:cs="Segoe UI"/>
          <w:sz w:val="18"/>
          <w:szCs w:val="18"/>
        </w:rPr>
        <w:tab/>
        <w:t>Postup, kterým příslušný orgán určuje, zda projekty uvedené v příloze II směrnice 2011/92/EU mají podléhat posouzení vlivů na životní prostředí (podle čl. 4 odst. 2 uvedené směrnice).</w:t>
      </w:r>
    </w:p>
  </w:footnote>
  <w:footnote w:id="64">
    <w:p w14:paraId="22631E2D" w14:textId="77777777" w:rsidR="00D27E31" w:rsidRPr="00D77C59" w:rsidRDefault="00D27E31" w:rsidP="00D27E31">
      <w:pPr>
        <w:pStyle w:val="Textpoznpodarou"/>
        <w:jc w:val="left"/>
        <w:rPr>
          <w:rFonts w:cs="Segoe UI"/>
          <w:sz w:val="18"/>
          <w:szCs w:val="18"/>
        </w:rPr>
      </w:pPr>
      <w:r w:rsidRPr="00D77C59">
        <w:rPr>
          <w:rStyle w:val="Znakapoznpodarou"/>
          <w:rFonts w:cs="Segoe UI"/>
          <w:sz w:val="18"/>
          <w:szCs w:val="18"/>
        </w:rPr>
        <w:footnoteRef/>
      </w:r>
      <w:r w:rsidRPr="00D77C59">
        <w:rPr>
          <w:rFonts w:cs="Segoe UI"/>
          <w:sz w:val="18"/>
          <w:szCs w:val="18"/>
        </w:rPr>
        <w:tab/>
        <w:t>V případě činností ve třetích zemích v souladu s rovnocennými platnými vnitrostátními předpisy nebo mezinárodními normami, například s normou výkonnosti IFC č. 1: Posuzování a řízení environmentálních a sociálních rizik.</w:t>
      </w:r>
    </w:p>
  </w:footnote>
  <w:footnote w:id="65">
    <w:p w14:paraId="7F02920E" w14:textId="19386FB7" w:rsidR="003732CC" w:rsidRPr="00D77C59" w:rsidRDefault="003732CC">
      <w:pPr>
        <w:pStyle w:val="Textpoznpodarou"/>
        <w:rPr>
          <w:rFonts w:cs="Segoe UI"/>
          <w:sz w:val="18"/>
          <w:szCs w:val="18"/>
        </w:rPr>
      </w:pPr>
      <w:r w:rsidRPr="00D77C59">
        <w:rPr>
          <w:rStyle w:val="Znakapoznpodarou"/>
          <w:rFonts w:cs="Segoe UI"/>
          <w:sz w:val="18"/>
          <w:szCs w:val="18"/>
        </w:rPr>
        <w:footnoteRef/>
      </w:r>
      <w:r w:rsidRPr="00D77C59">
        <w:rPr>
          <w:rFonts w:cs="Segoe UI"/>
          <w:sz w:val="18"/>
          <w:szCs w:val="18"/>
        </w:rPr>
        <w:t xml:space="preserve"> </w:t>
      </w:r>
      <w:r w:rsidR="006C6775" w:rsidRPr="00D77C59">
        <w:rPr>
          <w:rFonts w:cs="Segoe UI"/>
          <w:sz w:val="18"/>
          <w:szCs w:val="18"/>
        </w:rPr>
        <w:t>Souhrnný přehled postupů je obsažený v </w:t>
      </w:r>
      <w:hyperlink w:anchor="_Přehled_postupů_pro" w:history="1">
        <w:r w:rsidR="006C6775" w:rsidRPr="00D77C59">
          <w:rPr>
            <w:rStyle w:val="Hypertextovodkaz"/>
            <w:rFonts w:cs="Segoe UI"/>
            <w:sz w:val="18"/>
            <w:szCs w:val="18"/>
          </w:rPr>
          <w:t>příloze 5.8</w:t>
        </w:r>
      </w:hyperlink>
    </w:p>
  </w:footnote>
  <w:footnote w:id="66">
    <w:p w14:paraId="6F143C31" w14:textId="6F31BB22" w:rsidR="00A32A7E" w:rsidRPr="00D77C59" w:rsidRDefault="00A32A7E" w:rsidP="00A32A7E">
      <w:pPr>
        <w:pStyle w:val="Textpoznpodarou"/>
        <w:jc w:val="left"/>
        <w:rPr>
          <w:rFonts w:cs="Segoe UI"/>
          <w:sz w:val="18"/>
          <w:szCs w:val="18"/>
        </w:rPr>
      </w:pPr>
      <w:r w:rsidRPr="00D77C59">
        <w:rPr>
          <w:rStyle w:val="Znakapoznpodarou"/>
          <w:rFonts w:cs="Segoe UI"/>
          <w:sz w:val="18"/>
          <w:szCs w:val="18"/>
        </w:rPr>
        <w:footnoteRef/>
      </w:r>
      <w:r w:rsidRPr="00D77C59">
        <w:rPr>
          <w:rFonts w:cs="Segoe UI"/>
          <w:sz w:val="18"/>
          <w:szCs w:val="18"/>
        </w:rPr>
        <w:t xml:space="preserve"> Viz </w:t>
      </w:r>
      <w:hyperlink r:id="rId30" w:history="1">
        <w:r w:rsidR="0041030E" w:rsidRPr="00D77C59">
          <w:rPr>
            <w:rStyle w:val="Hypertextovodkaz"/>
            <w:rFonts w:cs="Segoe UI"/>
            <w:sz w:val="18"/>
            <w:szCs w:val="18"/>
          </w:rPr>
          <w:t>https://mzp.gov.cz/system/files/2024-09/OES-c1_vestnik_mzp-3_2011_20140318_0.pdf</w:t>
        </w:r>
      </w:hyperlink>
      <w:r w:rsidR="002968EC">
        <w:t>.</w:t>
      </w:r>
      <w:r w:rsidR="0041030E" w:rsidRPr="00D77C59">
        <w:rPr>
          <w:rFonts w:cs="Segoe UI"/>
          <w:sz w:val="18"/>
          <w:szCs w:val="18"/>
        </w:rPr>
        <w:t xml:space="preserve"> </w:t>
      </w:r>
    </w:p>
  </w:footnote>
  <w:footnote w:id="67">
    <w:p w14:paraId="7656256C" w14:textId="683EF49F" w:rsidR="00A32A7E" w:rsidRPr="00D77C59" w:rsidRDefault="00A32A7E" w:rsidP="00A32A7E">
      <w:pPr>
        <w:pStyle w:val="Textpoznpodarou"/>
        <w:jc w:val="left"/>
        <w:rPr>
          <w:rFonts w:cs="Segoe UI"/>
          <w:sz w:val="18"/>
          <w:szCs w:val="18"/>
        </w:rPr>
      </w:pPr>
      <w:r w:rsidRPr="00D77C59">
        <w:rPr>
          <w:rStyle w:val="Znakapoznpodarou"/>
          <w:rFonts w:cs="Segoe UI"/>
          <w:sz w:val="18"/>
          <w:szCs w:val="18"/>
        </w:rPr>
        <w:footnoteRef/>
      </w:r>
      <w:r w:rsidRPr="00D77C59">
        <w:rPr>
          <w:rFonts w:cs="Segoe UI"/>
          <w:sz w:val="18"/>
          <w:szCs w:val="18"/>
        </w:rPr>
        <w:t xml:space="preserve"> Ostatní metodiky týkající se kontaminovaných území viz </w:t>
      </w:r>
      <w:hyperlink r:id="rId31" w:history="1">
        <w:r w:rsidR="0041030E" w:rsidRPr="00D77C59">
          <w:rPr>
            <w:rStyle w:val="Hypertextovodkaz"/>
            <w:rFonts w:cs="Segoe UI"/>
            <w:sz w:val="18"/>
            <w:szCs w:val="18"/>
          </w:rPr>
          <w:t>https://mzp.gov.cz/cz/agenda/rizika-pro-zivotni-prostredi/kontaminovana-mista/metodiky</w:t>
        </w:r>
      </w:hyperlink>
      <w:r w:rsidR="002968EC">
        <w:rPr>
          <w:rFonts w:cs="Segoe UI"/>
          <w:sz w:val="18"/>
          <w:szCs w:val="18"/>
        </w:rPr>
        <w:t>.</w:t>
      </w:r>
    </w:p>
  </w:footnote>
  <w:footnote w:id="68">
    <w:p w14:paraId="61E6A9BA" w14:textId="523B7198" w:rsidR="00A32A7E" w:rsidRPr="00D77C59" w:rsidRDefault="00A32A7E" w:rsidP="00A32A7E">
      <w:pPr>
        <w:pStyle w:val="Textpoznpodarou"/>
        <w:jc w:val="left"/>
        <w:rPr>
          <w:rFonts w:cs="Segoe UI"/>
          <w:sz w:val="18"/>
          <w:szCs w:val="18"/>
        </w:rPr>
      </w:pPr>
      <w:r w:rsidRPr="00D77C59">
        <w:rPr>
          <w:rStyle w:val="Znakapoznpodarou"/>
          <w:rFonts w:cs="Segoe UI"/>
          <w:sz w:val="18"/>
          <w:szCs w:val="18"/>
        </w:rPr>
        <w:footnoteRef/>
      </w:r>
      <w:r w:rsidRPr="00D77C59">
        <w:rPr>
          <w:rFonts w:cs="Segoe UI"/>
          <w:sz w:val="18"/>
          <w:szCs w:val="18"/>
        </w:rPr>
        <w:t xml:space="preserve"> </w:t>
      </w:r>
      <w:hyperlink r:id="rId32" w:tooltip="https://www.sekm.cz/portal/" w:history="1">
        <w:r w:rsidRPr="00D77C59">
          <w:rPr>
            <w:rStyle w:val="Hypertextovodkaz"/>
            <w:rFonts w:cs="Segoe UI"/>
            <w:sz w:val="18"/>
            <w:szCs w:val="18"/>
          </w:rPr>
          <w:t>https://www.sekm.cz/portal/</w:t>
        </w:r>
      </w:hyperlink>
      <w:r w:rsidR="002968EC">
        <w:rPr>
          <w:rFonts w:cs="Segoe UI"/>
          <w:sz w:val="18"/>
          <w:szCs w:val="18"/>
        </w:rPr>
        <w:t>.</w:t>
      </w:r>
    </w:p>
  </w:footnote>
  <w:footnote w:id="69">
    <w:p w14:paraId="1C2091C7" w14:textId="77777777" w:rsidR="000937D0" w:rsidRPr="00D77C59" w:rsidRDefault="000937D0" w:rsidP="000937D0">
      <w:pPr>
        <w:pStyle w:val="Textpoznpodarou"/>
        <w:jc w:val="left"/>
        <w:rPr>
          <w:rFonts w:cs="Segoe UI"/>
          <w:sz w:val="18"/>
          <w:szCs w:val="18"/>
        </w:rPr>
      </w:pPr>
      <w:r w:rsidRPr="00D77C59">
        <w:rPr>
          <w:rStyle w:val="Znakapoznpodarou"/>
          <w:rFonts w:cs="Segoe UI"/>
          <w:sz w:val="18"/>
          <w:szCs w:val="18"/>
        </w:rPr>
        <w:footnoteRef/>
      </w:r>
      <w:r w:rsidRPr="00D77C59">
        <w:rPr>
          <w:rFonts w:cs="Segoe UI"/>
          <w:sz w:val="18"/>
          <w:szCs w:val="18"/>
        </w:rPr>
        <w:tab/>
        <w:t>Postup, kterým příslušný orgán určuje, zda projekty uvedené v příloze II směrnice 2011/92/EU mají podléhat posouzení vlivů na životní prostředí (podle čl. 4 odst. 2 uvedené směrnice).</w:t>
      </w:r>
    </w:p>
  </w:footnote>
  <w:footnote w:id="70">
    <w:p w14:paraId="28853132" w14:textId="77777777" w:rsidR="000937D0" w:rsidRPr="00D77C59" w:rsidRDefault="000937D0" w:rsidP="000937D0">
      <w:pPr>
        <w:pStyle w:val="Textpoznpodarou"/>
        <w:jc w:val="left"/>
        <w:rPr>
          <w:rFonts w:cs="Segoe UI"/>
          <w:sz w:val="18"/>
          <w:szCs w:val="18"/>
        </w:rPr>
      </w:pPr>
      <w:r w:rsidRPr="00D77C59">
        <w:rPr>
          <w:rStyle w:val="Znakapoznpodarou"/>
          <w:rFonts w:cs="Segoe UI"/>
          <w:sz w:val="18"/>
          <w:szCs w:val="18"/>
        </w:rPr>
        <w:footnoteRef/>
      </w:r>
      <w:r w:rsidRPr="00D77C59">
        <w:rPr>
          <w:rFonts w:cs="Segoe UI"/>
          <w:sz w:val="18"/>
          <w:szCs w:val="18"/>
        </w:rPr>
        <w:tab/>
        <w:t>V případě činností ve třetích zemích v souladu s rovnocennými platnými vnitrostátními předpisy nebo mezinárodními normami, například s normou výkonnosti IFC č. 1: Posuzování a řízení environmentálních a sociálních rizik.</w:t>
      </w:r>
    </w:p>
  </w:footnote>
  <w:footnote w:id="71">
    <w:p w14:paraId="709320D2" w14:textId="77777777" w:rsidR="00A32A7E" w:rsidRPr="00D77C59" w:rsidRDefault="00A32A7E" w:rsidP="00A32A7E">
      <w:pPr>
        <w:pStyle w:val="Textpoznpodarou"/>
        <w:jc w:val="left"/>
        <w:rPr>
          <w:rFonts w:cs="Segoe UI"/>
          <w:sz w:val="18"/>
          <w:szCs w:val="18"/>
        </w:rPr>
      </w:pPr>
      <w:r w:rsidRPr="00D77C59">
        <w:rPr>
          <w:rStyle w:val="Znakapoznpodarou"/>
          <w:rFonts w:cs="Segoe UI"/>
          <w:sz w:val="18"/>
          <w:szCs w:val="18"/>
        </w:rPr>
        <w:footnoteRef/>
      </w:r>
      <w:r w:rsidRPr="00D77C59">
        <w:rPr>
          <w:rFonts w:cs="Segoe UI"/>
          <w:sz w:val="18"/>
          <w:szCs w:val="18"/>
        </w:rPr>
        <w:t xml:space="preserve"> Tato otázka se zabývá prevencí a omezováním znečištění způsobeného průmyslovými činnostmi. Ustanovení čl. 3 bodu 18 směrnice 2010/75/EU („směrnice o průmyslových emisích“) definuje „nebezpečné látky“ jako: „látky nebo směsi vymezené v článku 3 nařízení Evropského parlamentu a Rady (ES) č. 1272/2008 ze dne 16. prosince 2008 o klasifikaci, označování a balení látek a směsí“. Článek 58 směrnice o průmyslových emisích dále stanoví: „Látky nebo směsi, které jsou z důvodu obsahu těkavých organických sloučenin klasifikovány nařízením (ES) č. 1272/2008 jako karcinogenní, mutagenní nebo toxické pro reprodukci a kterým jsou přiřazeny standardní věty o nebezpečnosti H340, H350, H350i, H360D nebo H360F nebo které musí být těmito větami označovány, musí být co nejdříve a v nejvyšší možné míře nahrazeny méně škodlivými látkami nebo směsmi.“</w:t>
      </w:r>
    </w:p>
  </w:footnote>
  <w:footnote w:id="72">
    <w:p w14:paraId="575EFC18" w14:textId="77777777" w:rsidR="00A32A7E" w:rsidRPr="00D77C59" w:rsidRDefault="00A32A7E" w:rsidP="00A32A7E">
      <w:pPr>
        <w:pStyle w:val="Textpoznpodarou"/>
        <w:rPr>
          <w:rFonts w:cs="Segoe UI"/>
          <w:sz w:val="18"/>
          <w:szCs w:val="18"/>
        </w:rPr>
      </w:pPr>
      <w:r w:rsidRPr="00D77C59">
        <w:rPr>
          <w:rStyle w:val="Znakapoznpodarou"/>
          <w:rFonts w:cs="Segoe UI"/>
          <w:sz w:val="18"/>
          <w:szCs w:val="18"/>
        </w:rPr>
        <w:footnoteRef/>
      </w:r>
      <w:r w:rsidRPr="00D77C59">
        <w:rPr>
          <w:rFonts w:cs="Segoe UI"/>
          <w:sz w:val="18"/>
          <w:szCs w:val="18"/>
        </w:rPr>
        <w:t xml:space="preserve"> Kandidátský seznam látek vzbuzujících mimořádné obavy (SVHC) obsahující látky, které mohou mít vážný dopad na lidské zdraví nebo na životní prostředí: https://echa.europa.eu/cs/candidate-list-table</w:t>
      </w:r>
    </w:p>
  </w:footnote>
  <w:footnote w:id="73">
    <w:p w14:paraId="1557A0F8" w14:textId="77777777" w:rsidR="00D27E31" w:rsidRPr="00D77C59" w:rsidRDefault="00D27E31" w:rsidP="00D27E31">
      <w:pPr>
        <w:pStyle w:val="Textpoznpodarou"/>
        <w:jc w:val="left"/>
        <w:rPr>
          <w:rFonts w:cs="Segoe UI"/>
          <w:sz w:val="18"/>
          <w:szCs w:val="18"/>
        </w:rPr>
      </w:pPr>
      <w:r w:rsidRPr="00D77C59">
        <w:rPr>
          <w:rStyle w:val="Znakapoznpodarou"/>
          <w:rFonts w:cs="Segoe UI"/>
          <w:sz w:val="18"/>
          <w:szCs w:val="18"/>
        </w:rPr>
        <w:footnoteRef/>
      </w:r>
      <w:r w:rsidRPr="00D77C59">
        <w:rPr>
          <w:rFonts w:cs="Segoe UI"/>
          <w:sz w:val="18"/>
          <w:szCs w:val="18"/>
        </w:rPr>
        <w:tab/>
        <w:t>Postup, kterým příslušný orgán určuje, zda projekty uvedené v příloze II směrnice 2011/92/EU mají podléhat posouzení vlivů na životní prostředí (podle čl. 4 odst. 2 uvedené směrnice).</w:t>
      </w:r>
    </w:p>
  </w:footnote>
  <w:footnote w:id="74">
    <w:p w14:paraId="5DC710C0" w14:textId="77777777" w:rsidR="00D27E31" w:rsidRPr="00D77C59" w:rsidRDefault="00D27E31" w:rsidP="00D27E31">
      <w:pPr>
        <w:pStyle w:val="Textpoznpodarou"/>
        <w:jc w:val="left"/>
        <w:rPr>
          <w:rFonts w:cs="Segoe UI"/>
          <w:sz w:val="18"/>
          <w:szCs w:val="18"/>
        </w:rPr>
      </w:pPr>
      <w:r w:rsidRPr="00D77C59">
        <w:rPr>
          <w:rStyle w:val="Znakapoznpodarou"/>
          <w:rFonts w:cs="Segoe UI"/>
          <w:sz w:val="18"/>
          <w:szCs w:val="18"/>
        </w:rPr>
        <w:footnoteRef/>
      </w:r>
      <w:r w:rsidRPr="00D77C59">
        <w:rPr>
          <w:rFonts w:cs="Segoe UI"/>
          <w:sz w:val="18"/>
          <w:szCs w:val="18"/>
        </w:rPr>
        <w:tab/>
        <w:t>V případě činností ve třetích zemích v souladu s rovnocennými platnými vnitrostátními předpisy nebo mezinárodními normami, například s normou výkonnosti IFC č. 1: Posuzování a řízení environmentálních a sociálních rizik.</w:t>
      </w:r>
    </w:p>
  </w:footnote>
  <w:footnote w:id="75">
    <w:p w14:paraId="71F9FC75" w14:textId="77777777" w:rsidR="00A32A7E" w:rsidRPr="00D77C59" w:rsidRDefault="00A32A7E" w:rsidP="00A32A7E">
      <w:pPr>
        <w:pStyle w:val="Textpoznpodarou"/>
        <w:jc w:val="left"/>
        <w:rPr>
          <w:rFonts w:cs="Segoe UI"/>
          <w:sz w:val="18"/>
          <w:szCs w:val="18"/>
        </w:rPr>
      </w:pPr>
      <w:r w:rsidRPr="00D77C59">
        <w:rPr>
          <w:rStyle w:val="Znakapoznpodarou"/>
          <w:rFonts w:cs="Segoe UI"/>
          <w:sz w:val="18"/>
          <w:szCs w:val="18"/>
        </w:rPr>
        <w:footnoteRef/>
      </w:r>
      <w:r w:rsidRPr="00D77C59">
        <w:rPr>
          <w:rFonts w:cs="Segoe UI"/>
          <w:sz w:val="18"/>
          <w:szCs w:val="18"/>
        </w:rPr>
        <w:t xml:space="preserve"> Jak je stanoveno ve směrnici 2009/128/ES o udržitelném používání.</w:t>
      </w:r>
    </w:p>
  </w:footnote>
  <w:footnote w:id="76">
    <w:p w14:paraId="1E57093F" w14:textId="3A4835EC" w:rsidR="00A32A7E" w:rsidRPr="00D77C59" w:rsidRDefault="00A32A7E" w:rsidP="00A32A7E">
      <w:pPr>
        <w:spacing w:after="0" w:line="240" w:lineRule="auto"/>
        <w:jc w:val="left"/>
        <w:rPr>
          <w:rFonts w:cs="Segoe UI"/>
          <w:sz w:val="18"/>
          <w:szCs w:val="18"/>
        </w:rPr>
      </w:pPr>
      <w:r w:rsidRPr="00D77C59">
        <w:rPr>
          <w:rStyle w:val="Znakapoznpodarou"/>
          <w:rFonts w:cs="Segoe UI"/>
          <w:sz w:val="18"/>
          <w:szCs w:val="18"/>
        </w:rPr>
        <w:footnoteRef/>
      </w:r>
      <w:r w:rsidRPr="00D77C59">
        <w:rPr>
          <w:rFonts w:cs="Segoe UI"/>
          <w:sz w:val="18"/>
          <w:szCs w:val="18"/>
        </w:rPr>
        <w:t xml:space="preserve"> </w:t>
      </w:r>
      <w:r w:rsidR="003857EA" w:rsidRPr="00D77C59">
        <w:rPr>
          <w:rFonts w:cs="Segoe UI"/>
          <w:sz w:val="18"/>
          <w:szCs w:val="18"/>
        </w:rPr>
        <w:t xml:space="preserve">Metodický pokyn ke stanovování podmínek k omezení emisí ze stavebních strojů a z dalších stavebních činností </w:t>
      </w:r>
    </w:p>
    <w:p w14:paraId="0C0A695E" w14:textId="294CCE25" w:rsidR="00A32A7E" w:rsidRPr="00D77C59" w:rsidRDefault="00A32A7E" w:rsidP="00A32A7E">
      <w:pPr>
        <w:spacing w:after="0" w:line="240" w:lineRule="auto"/>
        <w:jc w:val="left"/>
        <w:rPr>
          <w:rFonts w:cs="Segoe UI"/>
          <w:sz w:val="18"/>
          <w:szCs w:val="18"/>
        </w:rPr>
      </w:pPr>
      <w:r w:rsidRPr="00D77C59">
        <w:rPr>
          <w:rFonts w:cs="Segoe UI"/>
          <w:sz w:val="18"/>
          <w:szCs w:val="18"/>
        </w:rPr>
        <w:t xml:space="preserve"> (</w:t>
      </w:r>
      <w:r w:rsidR="003857EA" w:rsidRPr="00D77C59">
        <w:rPr>
          <w:rFonts w:cs="Segoe UI"/>
          <w:sz w:val="18"/>
          <w:szCs w:val="18"/>
        </w:rPr>
        <w:t>https://mzp.gov.cz/system/files/2024-11/OOO-MP_omezovani_prasnosti_ze_stavebni_cinnosti-20190918.pdf</w:t>
      </w:r>
      <w:r w:rsidRPr="00D77C59">
        <w:rPr>
          <w:rFonts w:cs="Segoe UI"/>
          <w:sz w:val="18"/>
          <w:szCs w:val="18"/>
        </w:rPr>
        <w:t>)</w:t>
      </w:r>
      <w:r w:rsidR="00B03551">
        <w:rPr>
          <w:rFonts w:cs="Segoe UI"/>
          <w:sz w:val="18"/>
          <w:szCs w:val="18"/>
        </w:rPr>
        <w:t>.</w:t>
      </w:r>
      <w:r w:rsidRPr="00D77C59">
        <w:rPr>
          <w:rFonts w:cs="Segoe UI"/>
          <w:sz w:val="18"/>
          <w:szCs w:val="18"/>
        </w:rPr>
        <w:t xml:space="preserve"> (</w:t>
      </w:r>
      <w:hyperlink r:id="rId33" w:history="1">
        <w:r w:rsidR="005B2BA8" w:rsidRPr="00405F29">
          <w:rPr>
            <w:rStyle w:val="Hypertextovodkaz"/>
            <w:rFonts w:cs="Segoe UI"/>
            <w:sz w:val="18"/>
            <w:szCs w:val="18"/>
          </w:rPr>
          <w:t>https://mzp.gov.cz/system/files/2024-11/OOO-MP_omezovani_prasnosti_ze_stavebni_cinnosti-20190918.pdf</w:t>
        </w:r>
      </w:hyperlink>
      <w:r w:rsidRPr="00D77C59">
        <w:rPr>
          <w:rFonts w:cs="Segoe UI"/>
          <w:sz w:val="18"/>
          <w:szCs w:val="18"/>
        </w:rPr>
        <w:t>)</w:t>
      </w:r>
    </w:p>
  </w:footnote>
  <w:footnote w:id="77">
    <w:p w14:paraId="0678E676" w14:textId="04FEF01B" w:rsidR="00A32A7E" w:rsidRPr="00D77C59" w:rsidRDefault="00A32A7E" w:rsidP="00A32A7E">
      <w:pPr>
        <w:pStyle w:val="Textpoznpodarou"/>
        <w:rPr>
          <w:rFonts w:cs="Segoe UI"/>
          <w:sz w:val="18"/>
          <w:szCs w:val="18"/>
        </w:rPr>
      </w:pPr>
      <w:r w:rsidRPr="00D77C59">
        <w:rPr>
          <w:rStyle w:val="Znakapoznpodarou"/>
          <w:rFonts w:cs="Segoe UI"/>
          <w:sz w:val="18"/>
          <w:szCs w:val="18"/>
        </w:rPr>
        <w:footnoteRef/>
      </w:r>
      <w:r w:rsidRPr="00D77C59">
        <w:rPr>
          <w:rFonts w:cs="Segoe UI"/>
          <w:sz w:val="18"/>
          <w:szCs w:val="18"/>
        </w:rPr>
        <w:t xml:space="preserve"> Průvodce udržitelností a zásadou DNSH pro budovy (</w:t>
      </w:r>
      <w:hyperlink r:id="rId34" w:history="1">
        <w:r w:rsidRPr="00D77C59">
          <w:rPr>
            <w:rStyle w:val="Hypertextovodkaz"/>
            <w:rFonts w:cs="Segoe UI"/>
            <w:sz w:val="18"/>
            <w:szCs w:val="18"/>
          </w:rPr>
          <w:t>https://sfpi.cz/komponenta-4-1/assets/documents/SFPI_Pr%C5%AFvodce%20udr%C5%BEitelnost%C3%AD%20a%20z%C3%A1sadou%20DNSH%20pro%20budovy_2024-09.pdf</w:t>
        </w:r>
      </w:hyperlink>
      <w:r w:rsidRPr="00D77C59">
        <w:rPr>
          <w:rFonts w:cs="Segoe UI"/>
          <w:sz w:val="18"/>
          <w:szCs w:val="18"/>
        </w:rPr>
        <w:t>, str. 39)</w:t>
      </w:r>
      <w:r w:rsidR="00B03551">
        <w:rPr>
          <w:rFonts w:cs="Segoe UI"/>
          <w:sz w:val="18"/>
          <w:szCs w:val="18"/>
        </w:rPr>
        <w:t>.</w:t>
      </w:r>
    </w:p>
  </w:footnote>
  <w:footnote w:id="78">
    <w:p w14:paraId="672DEFE4" w14:textId="4E89A23D" w:rsidR="00A32A7E" w:rsidRPr="00D77C59" w:rsidRDefault="00A32A7E" w:rsidP="00A32A7E">
      <w:pPr>
        <w:pStyle w:val="Textpoznpodarou"/>
        <w:jc w:val="left"/>
        <w:rPr>
          <w:rFonts w:cs="Segoe UI"/>
          <w:sz w:val="18"/>
          <w:szCs w:val="18"/>
        </w:rPr>
      </w:pPr>
      <w:r w:rsidRPr="00D77C59">
        <w:rPr>
          <w:rStyle w:val="Znakapoznpodarou"/>
          <w:rFonts w:cs="Segoe UI"/>
          <w:sz w:val="18"/>
          <w:szCs w:val="18"/>
        </w:rPr>
        <w:footnoteRef/>
      </w:r>
      <w:r w:rsidRPr="00D77C59">
        <w:rPr>
          <w:rFonts w:cs="Segoe UI"/>
          <w:sz w:val="18"/>
          <w:szCs w:val="18"/>
        </w:rPr>
        <w:t xml:space="preserve"> </w:t>
      </w:r>
      <w:hyperlink r:id="rId35" w:history="1">
        <w:r w:rsidR="008E3CB5" w:rsidRPr="00D77C59">
          <w:rPr>
            <w:rStyle w:val="Hypertextovodkaz"/>
            <w:rFonts w:cs="Segoe UI"/>
            <w:sz w:val="18"/>
            <w:szCs w:val="18"/>
          </w:rPr>
          <w:t>https://mzp.gov.cz/cz/agenda/ochrana-ovzdusi/kvalita-ovzdusi/strategicke-dokumenty/programy-zlepsovani-kvality-ovzdusi</w:t>
        </w:r>
      </w:hyperlink>
      <w:r w:rsidR="00B03551">
        <w:rPr>
          <w:rFonts w:cs="Segoe UI"/>
          <w:sz w:val="18"/>
          <w:szCs w:val="18"/>
        </w:rPr>
        <w:t>.</w:t>
      </w:r>
    </w:p>
  </w:footnote>
  <w:footnote w:id="79">
    <w:p w14:paraId="6858F26A" w14:textId="59B051F3" w:rsidR="00A32A7E" w:rsidRPr="00D77C59" w:rsidRDefault="00A32A7E" w:rsidP="00A32A7E">
      <w:pPr>
        <w:pStyle w:val="Textpoznpodarou"/>
        <w:rPr>
          <w:rFonts w:cs="Segoe UI"/>
          <w:sz w:val="18"/>
          <w:szCs w:val="18"/>
        </w:rPr>
      </w:pPr>
      <w:r w:rsidRPr="00D77C59">
        <w:rPr>
          <w:rStyle w:val="Znakapoznpodarou"/>
          <w:rFonts w:cs="Segoe UI"/>
          <w:sz w:val="18"/>
          <w:szCs w:val="18"/>
        </w:rPr>
        <w:footnoteRef/>
      </w:r>
      <w:r w:rsidRPr="00D77C59">
        <w:rPr>
          <w:rFonts w:cs="Segoe UI"/>
          <w:sz w:val="18"/>
          <w:szCs w:val="18"/>
        </w:rPr>
        <w:t xml:space="preserve"> Odkaz na novou směrnici o kvalitě: </w:t>
      </w:r>
      <w:hyperlink r:id="rId36" w:history="1">
        <w:r w:rsidR="005B2BA8" w:rsidRPr="00405F29">
          <w:rPr>
            <w:rStyle w:val="Hypertextovodkaz"/>
            <w:rFonts w:cs="Segoe UI"/>
            <w:sz w:val="18"/>
            <w:szCs w:val="18"/>
          </w:rPr>
          <w:t>https://eur-lex.europa.eu/legal-content/CS/TXT/PDF/?uri=OJ:L_202402881</w:t>
        </w:r>
      </w:hyperlink>
      <w:r w:rsidR="00B03551">
        <w:rPr>
          <w:rFonts w:cs="Segoe UI"/>
          <w:sz w:val="18"/>
          <w:szCs w:val="18"/>
        </w:rPr>
        <w:t>.</w:t>
      </w:r>
      <w:r w:rsidR="005B2BA8">
        <w:rPr>
          <w:rFonts w:cs="Segoe UI"/>
          <w:sz w:val="18"/>
          <w:szCs w:val="18"/>
        </w:rPr>
        <w:t xml:space="preserve"> </w:t>
      </w:r>
    </w:p>
  </w:footnote>
  <w:footnote w:id="80">
    <w:p w14:paraId="38C197C6" w14:textId="1EC7EE43" w:rsidR="003732CC" w:rsidRPr="00D77C59" w:rsidRDefault="003732CC">
      <w:pPr>
        <w:pStyle w:val="Textpoznpodarou"/>
        <w:rPr>
          <w:rFonts w:cs="Segoe UI"/>
          <w:sz w:val="18"/>
          <w:szCs w:val="18"/>
        </w:rPr>
      </w:pPr>
      <w:r w:rsidRPr="00D77C59">
        <w:rPr>
          <w:rStyle w:val="Znakapoznpodarou"/>
          <w:rFonts w:cs="Segoe UI"/>
          <w:sz w:val="18"/>
          <w:szCs w:val="18"/>
        </w:rPr>
        <w:footnoteRef/>
      </w:r>
      <w:r w:rsidRPr="00D77C59">
        <w:rPr>
          <w:rFonts w:cs="Segoe UI"/>
          <w:sz w:val="18"/>
          <w:szCs w:val="18"/>
        </w:rPr>
        <w:t xml:space="preserve"> </w:t>
      </w:r>
      <w:r w:rsidR="006C6775" w:rsidRPr="00D77C59">
        <w:rPr>
          <w:rFonts w:cs="Segoe UI"/>
          <w:sz w:val="18"/>
          <w:szCs w:val="18"/>
        </w:rPr>
        <w:t>Souhrnný přehled postupů je obsažený v </w:t>
      </w:r>
      <w:hyperlink w:anchor="_Přehled_postupů_pro" w:history="1">
        <w:r w:rsidR="006C6775" w:rsidRPr="00D77C59">
          <w:rPr>
            <w:rStyle w:val="Hypertextovodkaz"/>
            <w:rFonts w:cs="Segoe UI"/>
            <w:sz w:val="18"/>
            <w:szCs w:val="18"/>
          </w:rPr>
          <w:t>příloze 5.8</w:t>
        </w:r>
      </w:hyperlink>
      <w:r w:rsidR="002968EC">
        <w:t>.</w:t>
      </w:r>
    </w:p>
  </w:footnote>
  <w:footnote w:id="81">
    <w:p w14:paraId="14591F30" w14:textId="77777777" w:rsidR="00C47580" w:rsidRPr="00D77C59" w:rsidRDefault="00C47580" w:rsidP="00C47580">
      <w:pPr>
        <w:pStyle w:val="Textpoznpodarou"/>
        <w:rPr>
          <w:rFonts w:cs="Segoe UI"/>
          <w:sz w:val="18"/>
          <w:szCs w:val="18"/>
        </w:rPr>
      </w:pPr>
      <w:r w:rsidRPr="00D77C59">
        <w:rPr>
          <w:rStyle w:val="Znakapoznpodarou"/>
          <w:rFonts w:cs="Segoe UI"/>
          <w:sz w:val="18"/>
          <w:szCs w:val="18"/>
        </w:rPr>
        <w:footnoteRef/>
      </w:r>
      <w:r w:rsidRPr="00D77C59">
        <w:rPr>
          <w:rFonts w:cs="Segoe UI"/>
          <w:sz w:val="18"/>
          <w:szCs w:val="18"/>
        </w:rPr>
        <w:t xml:space="preserve"> Směrnice Rady 92/43/EHS ze dne 21. května 1992 o ochraně přírodních stanovišť, volně žijících živočichů a planě rostoucích rostlin</w:t>
      </w:r>
    </w:p>
  </w:footnote>
  <w:footnote w:id="82">
    <w:p w14:paraId="3A0E2405" w14:textId="77777777" w:rsidR="00C47580" w:rsidRPr="00D77C59" w:rsidRDefault="00C47580" w:rsidP="00C47580">
      <w:pPr>
        <w:pStyle w:val="Textpoznpodarou"/>
        <w:rPr>
          <w:rFonts w:cs="Segoe UI"/>
          <w:sz w:val="18"/>
          <w:szCs w:val="18"/>
        </w:rPr>
      </w:pPr>
      <w:r w:rsidRPr="00D77C59">
        <w:rPr>
          <w:rStyle w:val="Znakapoznpodarou"/>
          <w:rFonts w:cs="Segoe UI"/>
          <w:sz w:val="18"/>
          <w:szCs w:val="18"/>
        </w:rPr>
        <w:footnoteRef/>
      </w:r>
      <w:r w:rsidRPr="00D77C59">
        <w:rPr>
          <w:rFonts w:cs="Segoe UI"/>
          <w:sz w:val="18"/>
          <w:szCs w:val="18"/>
        </w:rPr>
        <w:t xml:space="preserve"> Půda o rozloze větší než 0,5 hektaru se stromy vyššími než pět metrů a korunovým zápojem tvořícím více než 10 % nebo se stromy schopnými dosáhnout těchto limitů </w:t>
      </w:r>
      <w:r w:rsidRPr="00D77C59">
        <w:rPr>
          <w:rFonts w:cs="Segoe UI"/>
          <w:i/>
          <w:iCs/>
          <w:sz w:val="18"/>
          <w:szCs w:val="18"/>
        </w:rPr>
        <w:t>in situ</w:t>
      </w:r>
      <w:r w:rsidRPr="00D77C59">
        <w:rPr>
          <w:rFonts w:cs="Segoe UI"/>
          <w:sz w:val="18"/>
          <w:szCs w:val="18"/>
        </w:rPr>
        <w:t xml:space="preserve">. Nezahrnuje území, u něhož převažuje zemědělské nebo městské využití. Posouzení globálních lesních zdrojů FAO 2020. Pojmy a definice (verze ze dne [datum přijetí]: </w:t>
      </w:r>
      <w:hyperlink r:id="rId37" w:tooltip="http://www.fao.org/3/I8661EN/i8661en.pdf" w:history="1">
        <w:r w:rsidRPr="00D77C59">
          <w:rPr>
            <w:rStyle w:val="Hypertextovodkaz"/>
            <w:rFonts w:cs="Segoe UI"/>
            <w:sz w:val="18"/>
            <w:szCs w:val="18"/>
          </w:rPr>
          <w:t>http://www.fao.org/3/I8661EN/i8661en.pdf</w:t>
        </w:r>
      </w:hyperlink>
      <w:r w:rsidRPr="00D77C59">
        <w:rPr>
          <w:rFonts w:cs="Segoe UI"/>
          <w:sz w:val="18"/>
          <w:szCs w:val="18"/>
        </w:rPr>
        <w:t>).</w:t>
      </w:r>
    </w:p>
  </w:footnote>
  <w:footnote w:id="83">
    <w:p w14:paraId="4B889467" w14:textId="77777777" w:rsidR="00C47580" w:rsidRPr="00D77C59" w:rsidRDefault="00C47580" w:rsidP="00C47580">
      <w:pPr>
        <w:pStyle w:val="Textpoznpodarou"/>
        <w:rPr>
          <w:rFonts w:cs="Segoe UI"/>
          <w:sz w:val="18"/>
          <w:szCs w:val="18"/>
        </w:rPr>
      </w:pPr>
      <w:r w:rsidRPr="00D77C59">
        <w:rPr>
          <w:rStyle w:val="Znakapoznpodarou"/>
          <w:rFonts w:cs="Segoe UI"/>
          <w:sz w:val="18"/>
          <w:szCs w:val="18"/>
        </w:rPr>
        <w:footnoteRef/>
      </w:r>
      <w:r w:rsidRPr="00D77C59">
        <w:rPr>
          <w:rFonts w:cs="Segoe UI"/>
          <w:sz w:val="18"/>
          <w:szCs w:val="18"/>
        </w:rPr>
        <w:t xml:space="preserve"> </w:t>
      </w:r>
      <w:hyperlink r:id="rId38" w:history="1">
        <w:r w:rsidRPr="00D77C59">
          <w:rPr>
            <w:rStyle w:val="Hypertextovodkaz"/>
            <w:rFonts w:cs="Segoe UI"/>
            <w:sz w:val="18"/>
            <w:szCs w:val="18"/>
          </w:rPr>
          <w:t>https://eur-lex.europa.eu/legal-content/EN/TXT/?uri=CELEX%3A32024R1991</w:t>
        </w:r>
      </w:hyperlink>
      <w:r w:rsidRPr="00D77C59">
        <w:rPr>
          <w:rFonts w:cs="Segoe UI"/>
          <w:sz w:val="18"/>
          <w:szCs w:val="18"/>
        </w:rPr>
        <w:t xml:space="preserve"> </w:t>
      </w:r>
    </w:p>
  </w:footnote>
  <w:footnote w:id="84">
    <w:p w14:paraId="51B22349" w14:textId="77777777" w:rsidR="00C47580" w:rsidRPr="00D77C59" w:rsidRDefault="00C47580" w:rsidP="00C47580">
      <w:pPr>
        <w:pStyle w:val="Textpoznpodarou"/>
        <w:rPr>
          <w:rFonts w:cs="Segoe UI"/>
          <w:sz w:val="18"/>
          <w:szCs w:val="18"/>
        </w:rPr>
      </w:pPr>
      <w:r w:rsidRPr="00D77C59">
        <w:rPr>
          <w:rStyle w:val="Znakapoznpodarou"/>
          <w:rFonts w:cs="Segoe UI"/>
          <w:sz w:val="18"/>
          <w:szCs w:val="18"/>
        </w:rPr>
        <w:footnoteRef/>
      </w:r>
      <w:r w:rsidRPr="00D77C59">
        <w:rPr>
          <w:rFonts w:cs="Segoe UI"/>
          <w:sz w:val="18"/>
          <w:szCs w:val="18"/>
        </w:rPr>
        <w:t xml:space="preserve"> </w:t>
      </w:r>
      <w:hyperlink r:id="rId39" w:history="1">
        <w:r w:rsidRPr="00D77C59">
          <w:rPr>
            <w:rStyle w:val="Hypertextovodkaz"/>
            <w:rFonts w:cs="Segoe UI"/>
            <w:sz w:val="18"/>
            <w:szCs w:val="18"/>
          </w:rPr>
          <w:t>https://eur-lex.europa.eu/legal-content/EN/TXT/?uri=CELEX%3A32014R1143&amp;qid=1740667735932</w:t>
        </w:r>
      </w:hyperlink>
    </w:p>
  </w:footnote>
  <w:footnote w:id="85">
    <w:p w14:paraId="5906A56E" w14:textId="77777777" w:rsidR="000708A5" w:rsidRPr="00D77C59" w:rsidRDefault="000708A5" w:rsidP="000708A5">
      <w:pPr>
        <w:pStyle w:val="Textpoznpodarou"/>
        <w:rPr>
          <w:rFonts w:cs="Segoe UI"/>
          <w:sz w:val="18"/>
          <w:szCs w:val="18"/>
        </w:rPr>
      </w:pPr>
      <w:r w:rsidRPr="00D77C59">
        <w:rPr>
          <w:rStyle w:val="Znakapoznpodarou"/>
          <w:rFonts w:cs="Segoe UI"/>
          <w:sz w:val="18"/>
          <w:szCs w:val="18"/>
        </w:rPr>
        <w:footnoteRef/>
      </w:r>
      <w:r w:rsidRPr="00D77C59">
        <w:rPr>
          <w:rFonts w:cs="Segoe UI"/>
          <w:sz w:val="18"/>
          <w:szCs w:val="18"/>
        </w:rPr>
        <w:t xml:space="preserve"> dle vyhlášky č. 131/2024 Sb. o dokumentaci staveb </w:t>
      </w:r>
    </w:p>
  </w:footnote>
  <w:footnote w:id="86">
    <w:p w14:paraId="05EA1C83" w14:textId="77777777" w:rsidR="00362191" w:rsidRPr="00D77C59" w:rsidRDefault="00362191" w:rsidP="00362191">
      <w:pPr>
        <w:pStyle w:val="Textpoznpodarou"/>
        <w:rPr>
          <w:rFonts w:cs="Segoe UI"/>
          <w:sz w:val="18"/>
          <w:szCs w:val="18"/>
        </w:rPr>
      </w:pPr>
      <w:r w:rsidRPr="00D77C59">
        <w:rPr>
          <w:rStyle w:val="Znakapoznpodarou"/>
          <w:rFonts w:cs="Segoe UI"/>
          <w:sz w:val="18"/>
          <w:szCs w:val="18"/>
        </w:rPr>
        <w:footnoteRef/>
      </w:r>
      <w:r w:rsidRPr="00D77C59">
        <w:rPr>
          <w:rFonts w:cs="Segoe UI"/>
          <w:sz w:val="18"/>
          <w:szCs w:val="18"/>
        </w:rPr>
        <w:t xml:space="preserve"> Viz </w:t>
      </w:r>
      <w:hyperlink r:id="rId40" w:history="1">
        <w:r w:rsidRPr="00D77C59">
          <w:rPr>
            <w:rStyle w:val="Hypertextovodkaz"/>
            <w:rFonts w:cs="Segoe UI"/>
            <w:sz w:val="18"/>
            <w:szCs w:val="18"/>
          </w:rPr>
          <w:t>https://mzp.gov.cz/cz/agenda/priroda-a-krajina/hodnoceni-vlivu-zasahu-na-prirodu-a-krajinu</w:t>
        </w:r>
      </w:hyperlink>
      <w:r w:rsidRPr="00D77C59">
        <w:rPr>
          <w:rFonts w:cs="Segoe UI"/>
          <w:sz w:val="18"/>
          <w:szCs w:val="18"/>
        </w:rPr>
        <w:t xml:space="preserve"> </w:t>
      </w:r>
    </w:p>
  </w:footnote>
  <w:footnote w:id="87">
    <w:p w14:paraId="015485A4" w14:textId="77777777" w:rsidR="00362191" w:rsidRPr="00D77C59" w:rsidRDefault="00362191" w:rsidP="00362191">
      <w:pPr>
        <w:pStyle w:val="Textpoznpodarou"/>
        <w:rPr>
          <w:rFonts w:cs="Segoe UI"/>
          <w:sz w:val="18"/>
          <w:szCs w:val="18"/>
        </w:rPr>
      </w:pPr>
      <w:r w:rsidRPr="00D77C59">
        <w:rPr>
          <w:rStyle w:val="Znakapoznpodarou"/>
          <w:rFonts w:cs="Segoe UI"/>
          <w:sz w:val="18"/>
          <w:szCs w:val="18"/>
        </w:rPr>
        <w:footnoteRef/>
      </w:r>
      <w:r w:rsidRPr="00D77C59">
        <w:rPr>
          <w:rFonts w:cs="Segoe UI"/>
          <w:sz w:val="18"/>
          <w:szCs w:val="18"/>
        </w:rPr>
        <w:t xml:space="preserve"> Uvedené požadavky jsou v souladu s § 148 z. č. 283/2021 Sb. Stavební zákon ve vazbě na přímou použitelné předpisy EU.</w:t>
      </w:r>
    </w:p>
  </w:footnote>
  <w:footnote w:id="88">
    <w:p w14:paraId="0FE3E106" w14:textId="77777777" w:rsidR="000B79A6" w:rsidRPr="00D77C59" w:rsidRDefault="000B79A6" w:rsidP="000B79A6">
      <w:pPr>
        <w:pStyle w:val="Textpoznpodarou"/>
        <w:rPr>
          <w:rFonts w:cs="Segoe UI"/>
          <w:sz w:val="18"/>
          <w:szCs w:val="18"/>
        </w:rPr>
      </w:pPr>
      <w:r w:rsidRPr="00D77C59">
        <w:rPr>
          <w:rStyle w:val="Znakapoznpodarou"/>
          <w:rFonts w:cs="Segoe UI"/>
          <w:sz w:val="18"/>
          <w:szCs w:val="18"/>
        </w:rPr>
        <w:footnoteRef/>
      </w:r>
      <w:r w:rsidRPr="00D77C59">
        <w:rPr>
          <w:rFonts w:cs="Segoe UI"/>
          <w:sz w:val="18"/>
          <w:szCs w:val="18"/>
        </w:rPr>
        <w:t xml:space="preserve"> Textace vychází z návrhu zákona o urychlení využívání OZE (ZOZE), kdy vymezování akceleračních oblastí budou provádět obce, kraje nebo stát, a to postupem podle finální metodiky a legislativně podle ukotvení v zákoně o urychlení využívání OZE, kde každá akcelerační oblast bude mít svoji kartu podmínek tzv. územním opatření o podmínkách pro akcelerační oblast. Aplikace tohoto postupu je proto podmíněna schválení zákona a jeho finálnímu znění. </w:t>
      </w:r>
    </w:p>
  </w:footnote>
  <w:footnote w:id="89">
    <w:p w14:paraId="4B792D49" w14:textId="5C44ABDF" w:rsidR="00D27E31" w:rsidRPr="00D77C59" w:rsidRDefault="00D27E31" w:rsidP="006C1B48">
      <w:pPr>
        <w:pStyle w:val="Textpoznpodarou"/>
        <w:jc w:val="left"/>
        <w:rPr>
          <w:rFonts w:cs="Segoe UI"/>
          <w:sz w:val="18"/>
          <w:szCs w:val="18"/>
        </w:rPr>
      </w:pPr>
      <w:r w:rsidRPr="00D77C59">
        <w:rPr>
          <w:rStyle w:val="Znakapoznpodarou"/>
          <w:rFonts w:cs="Segoe UI"/>
          <w:sz w:val="18"/>
          <w:szCs w:val="18"/>
        </w:rPr>
        <w:footnoteRef/>
      </w:r>
      <w:r w:rsidR="00796FFE">
        <w:rPr>
          <w:rFonts w:cs="Segoe UI"/>
          <w:sz w:val="18"/>
          <w:szCs w:val="18"/>
        </w:rPr>
        <w:t> </w:t>
      </w:r>
      <w:r w:rsidRPr="00D77C59">
        <w:rPr>
          <w:rFonts w:cs="Segoe UI"/>
          <w:sz w:val="18"/>
          <w:szCs w:val="18"/>
        </w:rPr>
        <w:t>Postup, kterým příslušný orgán určuje, zda projekty uvedené v příloze II směrnice 2011/92/EU mají podléhat posouzení vlivů na životní prostředí (podle čl. 4 odst. 2 uvedené směrnice).</w:t>
      </w:r>
    </w:p>
  </w:footnote>
  <w:footnote w:id="90">
    <w:p w14:paraId="02CB37AB" w14:textId="5182669F" w:rsidR="00D27E31" w:rsidRPr="00D77C59" w:rsidRDefault="00D27E31" w:rsidP="006C1B48">
      <w:pPr>
        <w:pStyle w:val="Textpoznpodarou"/>
        <w:jc w:val="left"/>
        <w:rPr>
          <w:rFonts w:cs="Segoe UI"/>
          <w:sz w:val="18"/>
          <w:szCs w:val="18"/>
        </w:rPr>
      </w:pPr>
      <w:r w:rsidRPr="00D77C59">
        <w:rPr>
          <w:rStyle w:val="Znakapoznpodarou"/>
          <w:rFonts w:cs="Segoe UI"/>
          <w:sz w:val="18"/>
          <w:szCs w:val="18"/>
        </w:rPr>
        <w:footnoteRef/>
      </w:r>
      <w:r w:rsidR="00796FFE">
        <w:rPr>
          <w:rFonts w:cs="Segoe UI"/>
          <w:sz w:val="18"/>
          <w:szCs w:val="18"/>
        </w:rPr>
        <w:t> </w:t>
      </w:r>
      <w:r w:rsidRPr="00D77C59">
        <w:rPr>
          <w:rFonts w:cs="Segoe UI"/>
          <w:sz w:val="18"/>
          <w:szCs w:val="18"/>
        </w:rPr>
        <w:t>V případě činností ve třetích zemích v souladu s rovnocennými platnými vnitrostátními předpisy nebo mezinárodními normami, například s normou výkonnosti IFC č. 1: Posuzování a řízení environmentálních a sociálních rizik.</w:t>
      </w:r>
    </w:p>
  </w:footnote>
  <w:footnote w:id="91">
    <w:p w14:paraId="49234F0C" w14:textId="77777777" w:rsidR="00D27E31" w:rsidRPr="00D77C59" w:rsidRDefault="00D27E31" w:rsidP="00D27E31">
      <w:pPr>
        <w:pStyle w:val="Textpoznpodarou"/>
        <w:rPr>
          <w:rFonts w:cs="Segoe UI"/>
          <w:sz w:val="18"/>
          <w:szCs w:val="18"/>
        </w:rPr>
      </w:pPr>
      <w:r w:rsidRPr="00D77C59">
        <w:rPr>
          <w:rStyle w:val="Znakapoznpodarou"/>
          <w:rFonts w:cs="Segoe UI"/>
          <w:sz w:val="18"/>
          <w:szCs w:val="18"/>
        </w:rPr>
        <w:footnoteRef/>
      </w:r>
      <w:r w:rsidRPr="00D77C59">
        <w:rPr>
          <w:rFonts w:cs="Segoe UI"/>
          <w:sz w:val="18"/>
          <w:szCs w:val="18"/>
        </w:rPr>
        <w:t xml:space="preserve"> Do JES nejsou integrovány správní úkony vydávané orgány ochrany přírody ve zvláště chráněných územích, v evropsky významných lokalitách a v ptačích oblastech. V těchto nejcennějších územích ochrany přírody (v nichž vykonávají státní správu i management speciální orgány ochrany přírody) je pro účely povolení záměru nezbytné rozhodnutí příslušného orgánu ochrany přírody, tj. Agentury ochrany přírody a krajiny ČR (v CHKO, NPR a NPP), správ národních parků (v NP) a krajských úřadů (v PR a PP). Na těchto území jsou vydávána tzv. společná rozhodnutí dle Metodického pokynu k aplikaci institutu společného rozhodnutí v zákoně č. 114/1992 Sb., o ochraně přírody a krajiny v návaznosti na přijetí zákona č. 149/2023 Sb., kterým se mění některé zákony v souvislosti s přijetím zákona o jednotném environmentálním stanovisku.</w:t>
      </w:r>
    </w:p>
  </w:footnote>
  <w:footnote w:id="92">
    <w:p w14:paraId="6A9C547A" w14:textId="12A7CF16" w:rsidR="00D27E31" w:rsidRPr="00D77C59" w:rsidRDefault="00D27E31" w:rsidP="00D27E31">
      <w:pPr>
        <w:pStyle w:val="Textpoznpodarou"/>
        <w:rPr>
          <w:rFonts w:cs="Segoe UI"/>
          <w:sz w:val="18"/>
          <w:szCs w:val="18"/>
        </w:rPr>
      </w:pPr>
      <w:r w:rsidRPr="00D77C59">
        <w:rPr>
          <w:rStyle w:val="Znakapoznpodarou"/>
          <w:rFonts w:cs="Segoe UI"/>
          <w:sz w:val="18"/>
          <w:szCs w:val="18"/>
        </w:rPr>
        <w:footnoteRef/>
      </w:r>
      <w:r w:rsidRPr="00D77C59">
        <w:rPr>
          <w:rFonts w:cs="Segoe UI"/>
          <w:sz w:val="18"/>
          <w:szCs w:val="18"/>
        </w:rPr>
        <w:t xml:space="preserve"> dle vyhlášky č. 131/2024 Sb. o dokumentaci staveb</w:t>
      </w:r>
      <w:r w:rsidR="00796FFE">
        <w:rPr>
          <w:rFonts w:cs="Segoe UI"/>
          <w:sz w:val="18"/>
          <w:szCs w:val="18"/>
        </w:rPr>
        <w:t>.</w:t>
      </w:r>
    </w:p>
  </w:footnote>
  <w:footnote w:id="93">
    <w:p w14:paraId="1C41AC09" w14:textId="77777777" w:rsidR="006A30D5" w:rsidRPr="00D77C59" w:rsidRDefault="006A30D5" w:rsidP="006A30D5">
      <w:pPr>
        <w:pStyle w:val="Textpoznpodarou"/>
        <w:rPr>
          <w:rFonts w:cs="Segoe UI"/>
          <w:sz w:val="18"/>
          <w:szCs w:val="18"/>
        </w:rPr>
      </w:pPr>
      <w:r w:rsidRPr="00D77C59">
        <w:rPr>
          <w:rStyle w:val="Znakapoznpodarou"/>
          <w:rFonts w:cs="Segoe UI"/>
          <w:sz w:val="18"/>
          <w:szCs w:val="18"/>
        </w:rPr>
        <w:footnoteRef/>
      </w:r>
      <w:r w:rsidRPr="00D77C59">
        <w:rPr>
          <w:rFonts w:cs="Segoe UI"/>
          <w:sz w:val="18"/>
          <w:szCs w:val="18"/>
        </w:rPr>
        <w:t xml:space="preserve"> Odborný technický dozor je technický dozor stavebníka, případně dozor projektanta vykonávaný dle § 161 odst. (2) stavebního zákona. Vykonávat jej mohou pouze autorizované osoby dle zákona č. 360/1992 Sb. o výkonu povolání autorizovaných architektů a o výkonu povolání autorizovaných inženýrů a techniků činných ve výstavbě, ve znění pozdějších předpisů.</w:t>
      </w:r>
    </w:p>
  </w:footnote>
  <w:footnote w:id="94">
    <w:p w14:paraId="1E718A9F" w14:textId="77777777" w:rsidR="006A30D5" w:rsidRPr="00D77C59" w:rsidRDefault="006A30D5" w:rsidP="006A30D5">
      <w:pPr>
        <w:pStyle w:val="Textpoznpodarou"/>
        <w:rPr>
          <w:rFonts w:cs="Segoe UI"/>
          <w:sz w:val="18"/>
          <w:szCs w:val="18"/>
        </w:rPr>
      </w:pPr>
      <w:r w:rsidRPr="00D77C59">
        <w:rPr>
          <w:rStyle w:val="Znakapoznpodarou"/>
          <w:rFonts w:cs="Segoe UI"/>
          <w:sz w:val="18"/>
          <w:szCs w:val="18"/>
        </w:rPr>
        <w:footnoteRef/>
      </w:r>
      <w:r w:rsidRPr="00D77C59">
        <w:rPr>
          <w:rFonts w:cs="Segoe UI"/>
          <w:sz w:val="18"/>
          <w:szCs w:val="18"/>
        </w:rPr>
        <w:t xml:space="preserve"> </w:t>
      </w:r>
      <w:r w:rsidRPr="00D77C59">
        <w:rPr>
          <w:rFonts w:cs="Segoe UI"/>
          <w:i/>
          <w:iCs/>
          <w:sz w:val="18"/>
          <w:szCs w:val="18"/>
        </w:rPr>
        <w:t xml:space="preserve">Požadavek se nevztahuje na soklovou část budovy. V případě vícebarevné fasády, keramických a kamenných obkladů a moderních trendů ve fasádních úpravách (např. dřeva, kamene, betonu a jejich imitací), musí být takováto fasádní úprava navržena autorizovaným architektem. </w:t>
      </w:r>
      <w:r w:rsidRPr="00D77C59">
        <w:rPr>
          <w:rFonts w:cs="Segoe UI"/>
          <w:sz w:val="18"/>
          <w:szCs w:val="18"/>
        </w:rPr>
        <w:t xml:space="preserve"> </w:t>
      </w:r>
    </w:p>
  </w:footnote>
  <w:footnote w:id="95">
    <w:p w14:paraId="04DFB5D4" w14:textId="77777777" w:rsidR="006A30D5" w:rsidRPr="00D77C59" w:rsidRDefault="006A30D5" w:rsidP="006A30D5">
      <w:pPr>
        <w:pStyle w:val="Textpoznpodarou"/>
        <w:rPr>
          <w:rFonts w:cs="Segoe UI"/>
          <w:sz w:val="18"/>
          <w:szCs w:val="18"/>
        </w:rPr>
      </w:pPr>
      <w:r w:rsidRPr="00D77C59">
        <w:rPr>
          <w:rStyle w:val="Znakapoznpodarou"/>
          <w:rFonts w:cs="Segoe UI"/>
          <w:sz w:val="18"/>
          <w:szCs w:val="18"/>
        </w:rPr>
        <w:footnoteRef/>
      </w:r>
      <w:r w:rsidRPr="00D77C59">
        <w:rPr>
          <w:rFonts w:cs="Segoe UI"/>
          <w:sz w:val="18"/>
          <w:szCs w:val="18"/>
        </w:rPr>
        <w:t xml:space="preserve"> U bytových budov se zkoušky provádějí pro reprezentativní soubor druhů bytových jednotek. Zkoušky se provádějí v souladu s normou EN 13187 (Tepelné chování budov – Kvalitativní určení tepelných nepravidelností v pláštích budov – Infračervená metoda) a EN 13829 (Tepelné chování budov – Stanovení průvzdušnosti budov – Tlaková metoda) nebo rovnocennými normami akceptovanými příslušným stavebním kontrolním orgánem v místě, kde se budova nachází.</w:t>
      </w:r>
    </w:p>
  </w:footnote>
  <w:footnote w:id="96">
    <w:p w14:paraId="154F451C" w14:textId="4AC032FE" w:rsidR="006A30D5" w:rsidRPr="00D77C59" w:rsidRDefault="006A30D5" w:rsidP="006A30D5">
      <w:pPr>
        <w:pStyle w:val="Textpoznpodarou"/>
        <w:rPr>
          <w:rFonts w:cs="Segoe UI"/>
          <w:sz w:val="18"/>
          <w:szCs w:val="18"/>
        </w:rPr>
      </w:pPr>
      <w:r w:rsidRPr="00D77C59">
        <w:rPr>
          <w:rStyle w:val="Znakapoznpodarou"/>
          <w:rFonts w:cs="Segoe UI"/>
          <w:sz w:val="18"/>
          <w:szCs w:val="18"/>
        </w:rPr>
        <w:footnoteRef/>
      </w:r>
      <w:r w:rsidRPr="00D77C59">
        <w:rPr>
          <w:rFonts w:cs="Segoe UI"/>
          <w:sz w:val="18"/>
          <w:szCs w:val="18"/>
        </w:rPr>
        <w:t xml:space="preserve"> Potenciál globálního oteplování je uveden jako číselný ukazatel pro každou fázi životního cyklu vyjádřený v kg ekvivalentu CO</w:t>
      </w:r>
      <w:r w:rsidRPr="006C1B48">
        <w:rPr>
          <w:sz w:val="18"/>
          <w:vertAlign w:val="subscript"/>
        </w:rPr>
        <w:t>2</w:t>
      </w:r>
      <w:r w:rsidRPr="00D77C59">
        <w:rPr>
          <w:rFonts w:cs="Segoe UI"/>
          <w:sz w:val="18"/>
          <w:szCs w:val="18"/>
        </w:rPr>
        <w:t xml:space="preserve"> (užitné vnitřní podlahové plochy) jako roční průměr z 50letého referenčního období. Výběr údajů, vymezení scénářů a výpočty se provádějí v souladu s normou EN 15978 (BS EN 15978:2011. Udržitelnost staveb – Posuzování environmentálních vlastností budov – Výpočtová metoda). Rozsah stavebních prvků a technického vybavení odpovídá definicím uvedeným ve společném rámci EU Level(s) pro ukazatel 1.2. Pokud existuje vnitrostátní výpočetní nástroj nebo pokud je tento nástroj nutný pro sdělování informací nebo pro získávání stavebních povolení, lze k poskytnutí požadovaných údajů použít příslušný nástroj. Lze použít i jiné výpočetní nástroje, pokud splňují minimální kritéria stanovená společným rámcem EU Level(s)(verze z 4.</w:t>
      </w:r>
      <w:r w:rsidR="002A2376">
        <w:rPr>
          <w:rFonts w:cs="Segoe UI"/>
          <w:sz w:val="18"/>
          <w:szCs w:val="18"/>
        </w:rPr>
        <w:t> </w:t>
      </w:r>
      <w:r w:rsidRPr="00D77C59">
        <w:rPr>
          <w:rFonts w:cs="Segoe UI"/>
          <w:sz w:val="18"/>
          <w:szCs w:val="18"/>
        </w:rPr>
        <w:t>6.</w:t>
      </w:r>
      <w:r w:rsidR="002A2376">
        <w:rPr>
          <w:rFonts w:cs="Segoe UI"/>
          <w:sz w:val="18"/>
          <w:szCs w:val="18"/>
        </w:rPr>
        <w:t> </w:t>
      </w:r>
      <w:r w:rsidRPr="00D77C59">
        <w:rPr>
          <w:rFonts w:cs="Segoe UI"/>
          <w:sz w:val="18"/>
          <w:szCs w:val="18"/>
        </w:rPr>
        <w:t xml:space="preserve">2021: </w:t>
      </w:r>
      <w:hyperlink r:id="rId41" w:history="1">
        <w:r w:rsidR="002A2376" w:rsidRPr="00814094">
          <w:rPr>
            <w:rStyle w:val="Hypertextovodkaz"/>
            <w:rFonts w:cs="Segoe UI"/>
            <w:sz w:val="18"/>
            <w:szCs w:val="18"/>
          </w:rPr>
          <w:t>https://susproc.jrc.ec.europa.eu/product-bureau/product-groups/412/documents</w:t>
        </w:r>
      </w:hyperlink>
      <w:r w:rsidRPr="00D77C59">
        <w:rPr>
          <w:rFonts w:cs="Segoe UI"/>
          <w:sz w:val="18"/>
          <w:szCs w:val="18"/>
        </w:rPr>
        <w:t>), viz uživatelská příručka pro ukazatel 1.2.</w:t>
      </w:r>
    </w:p>
  </w:footnote>
  <w:footnote w:id="97">
    <w:p w14:paraId="688FBFDD" w14:textId="137FF89D" w:rsidR="00EB5E38" w:rsidRDefault="00EB5E38">
      <w:pPr>
        <w:pStyle w:val="Textpoznpodarou"/>
      </w:pPr>
      <w:r w:rsidRPr="006C1B48">
        <w:rPr>
          <w:rStyle w:val="Znakapoznpodarou"/>
          <w:sz w:val="18"/>
          <w:szCs w:val="18"/>
        </w:rPr>
        <w:footnoteRef/>
      </w:r>
      <w:r w:rsidRPr="006C1B48">
        <w:rPr>
          <w:sz w:val="18"/>
          <w:szCs w:val="18"/>
        </w:rPr>
        <w:t xml:space="preserve"> Směrnice Evropského parlamentu a Rady (EU) 2023/1791 ze dne 13. září 2023 o energetické účinnosti a o změně nařízení (EU) 2023/955 (přepracované znění) (Úř. věst. L 231, 20.9.2023, s. 1, ELI: http://data.europa.eu/eli/dir/2023/1791/oj).</w:t>
      </w:r>
    </w:p>
  </w:footnote>
  <w:footnote w:id="98">
    <w:p w14:paraId="26B3E1B5" w14:textId="7E5A52ED" w:rsidR="0076646F" w:rsidRPr="00A95C15" w:rsidRDefault="0076646F" w:rsidP="00A95C15">
      <w:pPr>
        <w:spacing w:after="0"/>
        <w:rPr>
          <w:sz w:val="18"/>
          <w:szCs w:val="18"/>
        </w:rPr>
      </w:pPr>
      <w:r w:rsidRPr="00A95C15">
        <w:rPr>
          <w:rStyle w:val="Znakapoznpodarou"/>
          <w:sz w:val="18"/>
          <w:szCs w:val="18"/>
        </w:rPr>
        <w:footnoteRef/>
      </w:r>
      <w:r w:rsidRPr="00A95C15">
        <w:rPr>
          <w:sz w:val="18"/>
          <w:szCs w:val="18"/>
        </w:rPr>
        <w:t xml:space="preserve"> </w:t>
      </w:r>
      <w:r>
        <w:rPr>
          <w:sz w:val="18"/>
          <w:szCs w:val="18"/>
        </w:rPr>
        <w:t>T</w:t>
      </w:r>
      <w:r w:rsidRPr="00A95C15">
        <w:rPr>
          <w:sz w:val="18"/>
          <w:szCs w:val="18"/>
        </w:rPr>
        <w:t xml:space="preserve">ranspozice čl. 26 odst. 5 směrnice 2023/1791 je provedena do zákona č. 165/2012 Sb., o podporovaných zdrojích energie v § 26f s účinností od 1. 8. 2025. Podle výše uvedených ustanovení mají neúčinné SZTE předložit plán transformace do 30. září 2026. Plány pak bude ERÚ posuzovat, během roku 2027 bude zřejmé, které neúčinné SZTE plán mají a které ne. Kontrolu existence plánu tedy bude možné provést až v tomto časovém horizontu. </w:t>
      </w:r>
      <w:r>
        <w:rPr>
          <w:sz w:val="18"/>
          <w:szCs w:val="18"/>
        </w:rPr>
        <w:t>ERÚ</w:t>
      </w:r>
      <w:r w:rsidRPr="0076646F">
        <w:rPr>
          <w:sz w:val="18"/>
          <w:szCs w:val="18"/>
        </w:rPr>
        <w:t xml:space="preserve"> </w:t>
      </w:r>
      <w:r>
        <w:rPr>
          <w:sz w:val="18"/>
          <w:szCs w:val="18"/>
        </w:rPr>
        <w:t xml:space="preserve">dle </w:t>
      </w:r>
      <w:r w:rsidRPr="0076646F">
        <w:rPr>
          <w:sz w:val="18"/>
          <w:szCs w:val="18"/>
        </w:rPr>
        <w:t>§ 26e odst. 5</w:t>
      </w:r>
      <w:r>
        <w:rPr>
          <w:sz w:val="18"/>
          <w:szCs w:val="18"/>
        </w:rPr>
        <w:t xml:space="preserve"> </w:t>
      </w:r>
      <w:r w:rsidRPr="0076646F">
        <w:rPr>
          <w:sz w:val="18"/>
          <w:szCs w:val="18"/>
        </w:rPr>
        <w:t>zveřejní na svých internetových stránkách soustavy zásobování tepelnou energií, do kterých je dodávána tepelná energie ze zdrojů tepelné energie se souhrnným instalovaným výkonem vyšším než 5 MWt, které nejsou účinnými soustavami zásobování tepelnou energií a pro které nebyl Úřadem schválen plán na zajištění účinnější spotřeby primární energie, snížení distribučních ztrát a zvýšení podílu tepelné energie z obnovitelných zdrojů na dodávce tepelné energie.</w:t>
      </w:r>
    </w:p>
  </w:footnote>
  <w:footnote w:id="99">
    <w:p w14:paraId="363181E4" w14:textId="77777777" w:rsidR="002F4C62" w:rsidRPr="00D77C59" w:rsidRDefault="002F4C62" w:rsidP="002F4C62">
      <w:pPr>
        <w:pStyle w:val="Textpoznpodarou"/>
        <w:rPr>
          <w:rFonts w:cs="Segoe UI"/>
          <w:sz w:val="18"/>
          <w:szCs w:val="18"/>
        </w:rPr>
      </w:pPr>
      <w:r w:rsidRPr="00D77C59">
        <w:rPr>
          <w:rStyle w:val="Znakapoznpodarou"/>
          <w:rFonts w:cs="Segoe UI"/>
          <w:sz w:val="18"/>
          <w:szCs w:val="18"/>
        </w:rPr>
        <w:footnoteRef/>
      </w:r>
      <w:r w:rsidRPr="00D77C59">
        <w:rPr>
          <w:rFonts w:cs="Segoe UI"/>
          <w:sz w:val="18"/>
          <w:szCs w:val="18"/>
        </w:rPr>
        <w:t xml:space="preserve"> V souladu s čl. 17 odst. 15 a recitál 14 EPBD</w:t>
      </w:r>
      <w:r>
        <w:rPr>
          <w:rFonts w:cs="Segoe UI"/>
          <w:sz w:val="18"/>
          <w:szCs w:val="18"/>
        </w:rPr>
        <w:t>.</w:t>
      </w:r>
    </w:p>
  </w:footnote>
  <w:footnote w:id="100">
    <w:p w14:paraId="2450EACF" w14:textId="77777777" w:rsidR="002F4C62" w:rsidRPr="00D77C59" w:rsidRDefault="002F4C62" w:rsidP="002F4C62">
      <w:pPr>
        <w:pStyle w:val="Textpoznpodarou"/>
        <w:rPr>
          <w:rFonts w:cs="Segoe UI"/>
          <w:sz w:val="18"/>
          <w:szCs w:val="18"/>
        </w:rPr>
      </w:pPr>
      <w:r w:rsidRPr="00D77C59">
        <w:rPr>
          <w:rStyle w:val="Znakapoznpodarou"/>
          <w:rFonts w:cs="Segoe UI"/>
          <w:sz w:val="18"/>
          <w:szCs w:val="18"/>
        </w:rPr>
        <w:footnoteRef/>
      </w:r>
      <w:r w:rsidRPr="00D77C59">
        <w:rPr>
          <w:rFonts w:cs="Segoe UI"/>
          <w:sz w:val="18"/>
          <w:szCs w:val="18"/>
        </w:rPr>
        <w:t xml:space="preserve"> V souladu s čl. 17 odst. 15 a recitál 14 EPBD</w:t>
      </w:r>
      <w:r>
        <w:rPr>
          <w:rFonts w:cs="Segoe UI"/>
          <w:sz w:val="18"/>
          <w:szCs w:val="18"/>
        </w:rPr>
        <w:t>.</w:t>
      </w:r>
    </w:p>
  </w:footnote>
  <w:footnote w:id="101">
    <w:p w14:paraId="4F4CDF04" w14:textId="77777777" w:rsidR="002F4C62" w:rsidRPr="00D77C59" w:rsidRDefault="002F4C62" w:rsidP="002F4C62">
      <w:pPr>
        <w:pStyle w:val="Textpoznpodarou"/>
        <w:rPr>
          <w:rFonts w:cs="Segoe UI"/>
          <w:sz w:val="18"/>
          <w:szCs w:val="18"/>
        </w:rPr>
      </w:pPr>
      <w:r w:rsidRPr="00D77C59">
        <w:rPr>
          <w:rStyle w:val="Znakapoznpodarou"/>
          <w:rFonts w:cs="Segoe UI"/>
          <w:sz w:val="18"/>
          <w:szCs w:val="18"/>
        </w:rPr>
        <w:footnoteRef/>
      </w:r>
      <w:r w:rsidRPr="00D77C59">
        <w:rPr>
          <w:rFonts w:cs="Segoe UI"/>
          <w:sz w:val="18"/>
          <w:szCs w:val="18"/>
        </w:rPr>
        <w:t xml:space="preserve"> V souladu s čl. 17 odst. 15 a recitál 14 EPBD</w:t>
      </w:r>
      <w:r>
        <w:rPr>
          <w:rFonts w:cs="Segoe UI"/>
          <w:sz w:val="18"/>
          <w:szCs w:val="18"/>
        </w:rPr>
        <w:t>.</w:t>
      </w:r>
    </w:p>
  </w:footnote>
  <w:footnote w:id="102">
    <w:p w14:paraId="7585249D" w14:textId="77777777" w:rsidR="00B351EF" w:rsidRPr="00D77C59" w:rsidRDefault="00B351EF" w:rsidP="00B351EF">
      <w:pPr>
        <w:pStyle w:val="Textpoznpodarou"/>
        <w:rPr>
          <w:rFonts w:cs="Segoe UI"/>
          <w:sz w:val="18"/>
          <w:szCs w:val="18"/>
        </w:rPr>
      </w:pPr>
      <w:r w:rsidRPr="00D77C59">
        <w:rPr>
          <w:rStyle w:val="Znakapoznpodarou"/>
          <w:rFonts w:cs="Segoe UI"/>
          <w:sz w:val="18"/>
          <w:szCs w:val="18"/>
        </w:rPr>
        <w:footnoteRef/>
      </w:r>
      <w:r w:rsidRPr="00D77C59">
        <w:rPr>
          <w:rFonts w:cs="Segoe UI"/>
          <w:sz w:val="18"/>
          <w:szCs w:val="18"/>
        </w:rPr>
        <w:t xml:space="preserve"> </w:t>
      </w:r>
      <w:r w:rsidRPr="00D77C59">
        <w:rPr>
          <w:rFonts w:cs="Segoe UI"/>
          <w:i/>
          <w:iCs/>
          <w:sz w:val="18"/>
          <w:szCs w:val="18"/>
        </w:rPr>
        <w:t xml:space="preserve">Bez použití strojního chlazení. Posouzení není vyžadováno v případě, že jsou všechna okna na jižní, jihozápadní, západní, jihovýchodní a východní straně opatřena vnějšími aktivními stínicími prvky. </w:t>
      </w:r>
      <w:r w:rsidRPr="00D77C59">
        <w:rPr>
          <w:rFonts w:cs="Segoe UI"/>
          <w:sz w:val="18"/>
          <w:szCs w:val="18"/>
        </w:rPr>
        <w:t xml:space="preserve"> </w:t>
      </w:r>
    </w:p>
  </w:footnote>
  <w:footnote w:id="103">
    <w:p w14:paraId="0FDA9F49" w14:textId="77777777" w:rsidR="00B351EF" w:rsidRPr="00D77C59" w:rsidRDefault="00B351EF" w:rsidP="00B351EF">
      <w:pPr>
        <w:pStyle w:val="Textpoznpodarou"/>
        <w:rPr>
          <w:rFonts w:cs="Segoe UI"/>
          <w:sz w:val="18"/>
          <w:szCs w:val="18"/>
        </w:rPr>
      </w:pPr>
      <w:r w:rsidRPr="00D77C59">
        <w:rPr>
          <w:rStyle w:val="Znakapoznpodarou"/>
          <w:rFonts w:cs="Segoe UI"/>
          <w:sz w:val="18"/>
          <w:szCs w:val="18"/>
        </w:rPr>
        <w:footnoteRef/>
      </w:r>
      <w:r w:rsidRPr="00D77C59">
        <w:rPr>
          <w:rFonts w:cs="Segoe UI"/>
          <w:sz w:val="18"/>
          <w:szCs w:val="18"/>
        </w:rPr>
        <w:t xml:space="preserve"> </w:t>
      </w:r>
      <w:r w:rsidRPr="00D77C59">
        <w:rPr>
          <w:rFonts w:cs="Segoe UI"/>
          <w:i/>
          <w:iCs/>
          <w:sz w:val="18"/>
          <w:szCs w:val="18"/>
        </w:rPr>
        <w:t xml:space="preserve">Minimální požadovaná účinnost výměníku zpětného zisku tepla jednotky řízeného větrání je 75 % při v projektu stanoveném průtoku, doložená měřením dle EN 308, popř. EN 13141-7, EN 13141-8 nebo certifikace PHI - Passive House Institute. </w:t>
      </w:r>
      <w:r w:rsidRPr="00D77C59">
        <w:rPr>
          <w:rFonts w:cs="Segoe UI"/>
          <w:sz w:val="18"/>
          <w:szCs w:val="18"/>
        </w:rPr>
        <w:t xml:space="preserve"> </w:t>
      </w:r>
    </w:p>
  </w:footnote>
  <w:footnote w:id="104">
    <w:p w14:paraId="73FC360F" w14:textId="77777777" w:rsidR="00F010A1" w:rsidRPr="00D77C59" w:rsidRDefault="00F010A1">
      <w:pPr>
        <w:pStyle w:val="Textpoznpodarou"/>
        <w:rPr>
          <w:rFonts w:cs="Segoe UI"/>
          <w:sz w:val="18"/>
          <w:szCs w:val="18"/>
        </w:rPr>
      </w:pPr>
      <w:r w:rsidRPr="00D77C59">
        <w:rPr>
          <w:rStyle w:val="Znakapoznpodarou"/>
          <w:rFonts w:cs="Segoe UI"/>
          <w:sz w:val="18"/>
          <w:szCs w:val="18"/>
        </w:rPr>
        <w:footnoteRef/>
      </w:r>
      <w:r w:rsidRPr="00D77C59">
        <w:rPr>
          <w:rFonts w:cs="Segoe UI"/>
          <w:sz w:val="18"/>
          <w:szCs w:val="18"/>
        </w:rPr>
        <w:t xml:space="preserve"> Klasifikační třída (energetické náročnosti budovy) dle vyhl. </w:t>
      </w:r>
      <w:r w:rsidR="007C42EB">
        <w:rPr>
          <w:rFonts w:cs="Segoe UI"/>
          <w:sz w:val="18"/>
          <w:szCs w:val="18"/>
        </w:rPr>
        <w:t xml:space="preserve">č. </w:t>
      </w:r>
      <w:r w:rsidRPr="00D77C59">
        <w:rPr>
          <w:rFonts w:cs="Segoe UI"/>
          <w:sz w:val="18"/>
          <w:szCs w:val="18"/>
        </w:rPr>
        <w:t>264/2020 Sb. o energetické náročnosti budov.</w:t>
      </w:r>
    </w:p>
  </w:footnote>
  <w:footnote w:id="105">
    <w:p w14:paraId="511D7DEC" w14:textId="77777777" w:rsidR="00B351EF" w:rsidRPr="00D77C59" w:rsidRDefault="00B351EF" w:rsidP="00B351EF">
      <w:pPr>
        <w:pStyle w:val="Textpoznpodarou"/>
        <w:rPr>
          <w:rFonts w:cs="Segoe UI"/>
          <w:sz w:val="18"/>
          <w:szCs w:val="18"/>
        </w:rPr>
      </w:pPr>
      <w:r w:rsidRPr="00D77C59">
        <w:rPr>
          <w:rStyle w:val="Znakapoznpodarou"/>
          <w:rFonts w:cs="Segoe UI"/>
          <w:sz w:val="18"/>
          <w:szCs w:val="18"/>
        </w:rPr>
        <w:footnoteRef/>
      </w:r>
      <w:r w:rsidRPr="00D77C59">
        <w:rPr>
          <w:rFonts w:cs="Segoe UI"/>
          <w:sz w:val="18"/>
          <w:szCs w:val="18"/>
        </w:rPr>
        <w:t xml:space="preserve"> Výjimky jsou přípustné v technicky odůvodněných případech, a pouze pokud nemají vliv na splnění ostatních požadavků. Splnění podmínky součinitele prostupu tepla pro výplně otvorů se posuzuje pro standardizované rozměry dle vyhl. č. 264/2020 Sb. o energetické náročnosti budov, příloha 5, část C, odst. 3, písm. b).</w:t>
      </w:r>
    </w:p>
  </w:footnote>
  <w:footnote w:id="106">
    <w:p w14:paraId="7374AEBB" w14:textId="77777777" w:rsidR="00B351EF" w:rsidRPr="00D77C59" w:rsidRDefault="00B351EF" w:rsidP="00B351EF">
      <w:pPr>
        <w:pStyle w:val="Textpoznpodarou"/>
        <w:rPr>
          <w:rFonts w:cs="Segoe UI"/>
          <w:sz w:val="18"/>
          <w:szCs w:val="18"/>
        </w:rPr>
      </w:pPr>
      <w:r w:rsidRPr="00D77C59">
        <w:rPr>
          <w:rStyle w:val="Znakapoznpodarou"/>
          <w:rFonts w:cs="Segoe UI"/>
          <w:sz w:val="18"/>
          <w:szCs w:val="18"/>
        </w:rPr>
        <w:footnoteRef/>
      </w:r>
      <w:r w:rsidRPr="00D77C59">
        <w:rPr>
          <w:rFonts w:cs="Segoe UI"/>
          <w:sz w:val="18"/>
          <w:szCs w:val="18"/>
        </w:rPr>
        <w:t xml:space="preserve"> Klasifikační třída (energetické náročnosti budovy) dle vyhl. </w:t>
      </w:r>
      <w:r w:rsidR="007C42EB">
        <w:rPr>
          <w:rFonts w:cs="Segoe UI"/>
          <w:sz w:val="18"/>
          <w:szCs w:val="18"/>
        </w:rPr>
        <w:t xml:space="preserve">č. </w:t>
      </w:r>
      <w:r w:rsidRPr="00D77C59">
        <w:rPr>
          <w:rFonts w:cs="Segoe UI"/>
          <w:sz w:val="18"/>
          <w:szCs w:val="18"/>
        </w:rPr>
        <w:t>264/2020 Sb. o energetické náročnosti budov.</w:t>
      </w:r>
    </w:p>
  </w:footnote>
  <w:footnote w:id="107">
    <w:p w14:paraId="5E6040A1" w14:textId="77777777" w:rsidR="00B351EF" w:rsidRPr="00D77C59" w:rsidRDefault="00B351EF" w:rsidP="00B351EF">
      <w:pPr>
        <w:pStyle w:val="Textpoznpodarou"/>
        <w:rPr>
          <w:rFonts w:cs="Segoe UI"/>
          <w:sz w:val="18"/>
          <w:szCs w:val="18"/>
        </w:rPr>
      </w:pPr>
      <w:r w:rsidRPr="00D77C59">
        <w:rPr>
          <w:rStyle w:val="Znakapoznpodarou"/>
          <w:rFonts w:cs="Segoe UI"/>
          <w:sz w:val="18"/>
          <w:szCs w:val="18"/>
        </w:rPr>
        <w:footnoteRef/>
      </w:r>
      <w:r w:rsidRPr="00D77C59">
        <w:rPr>
          <w:rFonts w:cs="Segoe UI"/>
          <w:sz w:val="18"/>
          <w:szCs w:val="18"/>
        </w:rPr>
        <w:t xml:space="preserve"> Bez použití strojního chlazení. Posouzení není vyžadováno v případě, že jsou všechna okna na jižní, jihozápadní, západní, jihovýchodní a východní straně opatřena vnějšími aktivními stínicími prvky.</w:t>
      </w:r>
    </w:p>
  </w:footnote>
  <w:footnote w:id="108">
    <w:p w14:paraId="2D9C54B4" w14:textId="77777777" w:rsidR="00B351EF" w:rsidRPr="00D77C59" w:rsidRDefault="00B351EF" w:rsidP="00B351EF">
      <w:pPr>
        <w:pStyle w:val="Textpoznpodarou"/>
        <w:rPr>
          <w:rFonts w:cs="Segoe UI"/>
          <w:sz w:val="18"/>
          <w:szCs w:val="18"/>
        </w:rPr>
      </w:pPr>
      <w:r w:rsidRPr="00D77C59">
        <w:rPr>
          <w:rStyle w:val="Znakapoznpodarou"/>
          <w:rFonts w:cs="Segoe UI"/>
          <w:sz w:val="18"/>
          <w:szCs w:val="18"/>
        </w:rPr>
        <w:footnoteRef/>
      </w:r>
      <w:r w:rsidRPr="00D77C59">
        <w:rPr>
          <w:rFonts w:cs="Segoe UI"/>
          <w:sz w:val="18"/>
          <w:szCs w:val="18"/>
        </w:rPr>
        <w:t xml:space="preserve"> Minimální požadovaná účinnost výměníku zpětného zisku tepla jednotky řízeného větrání je 75 % při v projektu stanoveném průtoku, doložená měřením dle EN 308, popř. EN 13141-7, EN 13141-8 nebo certifikace PHI - Passive House Institute.</w:t>
      </w:r>
    </w:p>
  </w:footnote>
  <w:footnote w:id="109">
    <w:p w14:paraId="616A4CAA" w14:textId="77777777" w:rsidR="00B351EF" w:rsidRPr="00D77C59" w:rsidRDefault="00B351EF" w:rsidP="00B351EF">
      <w:pPr>
        <w:pStyle w:val="Textpoznpodarou"/>
        <w:rPr>
          <w:rFonts w:cs="Segoe UI"/>
          <w:sz w:val="18"/>
          <w:szCs w:val="18"/>
        </w:rPr>
      </w:pPr>
      <w:r w:rsidRPr="00D77C59">
        <w:rPr>
          <w:rStyle w:val="Znakapoznpodarou"/>
          <w:rFonts w:cs="Segoe UI"/>
          <w:sz w:val="18"/>
          <w:szCs w:val="18"/>
        </w:rPr>
        <w:footnoteRef/>
      </w:r>
      <w:r w:rsidRPr="00D77C59">
        <w:rPr>
          <w:rFonts w:cs="Segoe UI"/>
          <w:sz w:val="18"/>
          <w:szCs w:val="18"/>
        </w:rPr>
        <w:t xml:space="preserve"> Systém řízeného větrání se zpětným získáváním tepla je rovnotlaké větrací zařízení (tj. s nuceným přívodem a odvodem vzduchu) se vzduchotechnickým rozvodem napojeným na centrální větrací jednotku se zpětným získáváním tepla a elektronickou regulací otáček ventilátorů (centrální systém) či soustava lokálních větracích jednotek se zpětným získáváním tepla a elektronickou regulací otáček ventilátorů bez vzduchotechnického rozvodu. Centrální větrací jednotka zpravidla zajišťuje výměnu vzduchu prostřednictvím vzduchotechnických rozvodů pro více místností, zatímco decentrální jednotky zajišťují výměnu vzduchu pro jednu místnost.</w:t>
      </w:r>
    </w:p>
  </w:footnote>
  <w:footnote w:id="110">
    <w:p w14:paraId="43470454" w14:textId="4A71165C" w:rsidR="001B15BC" w:rsidRPr="00D77C59" w:rsidRDefault="001B15BC">
      <w:pPr>
        <w:pStyle w:val="Textpoznpodarou"/>
        <w:rPr>
          <w:rFonts w:cs="Segoe UI"/>
          <w:sz w:val="18"/>
          <w:szCs w:val="18"/>
        </w:rPr>
      </w:pPr>
      <w:r w:rsidRPr="00D77C59">
        <w:rPr>
          <w:rStyle w:val="Znakapoznpodarou"/>
          <w:rFonts w:cs="Segoe UI"/>
          <w:sz w:val="18"/>
          <w:szCs w:val="18"/>
        </w:rPr>
        <w:footnoteRef/>
      </w:r>
      <w:r w:rsidRPr="00D77C59">
        <w:rPr>
          <w:rFonts w:cs="Segoe UI"/>
          <w:sz w:val="18"/>
          <w:szCs w:val="18"/>
        </w:rPr>
        <w:t xml:space="preserve"> </w:t>
      </w:r>
      <w:hyperlink r:id="rId42" w:history="1">
        <w:r w:rsidRPr="00D77C59">
          <w:rPr>
            <w:rStyle w:val="Hypertextovodkaz"/>
            <w:rFonts w:cs="Segoe UI"/>
            <w:sz w:val="18"/>
            <w:szCs w:val="18"/>
          </w:rPr>
          <w:t>https://opzp.cz/dokument/2786</w:t>
        </w:r>
      </w:hyperlink>
      <w:r w:rsidR="003D29F1">
        <w:rPr>
          <w:rFonts w:cs="Segoe UI"/>
          <w:sz w:val="18"/>
          <w:szCs w:val="18"/>
        </w:rPr>
        <w:t>.</w:t>
      </w:r>
    </w:p>
  </w:footnote>
  <w:footnote w:id="111">
    <w:p w14:paraId="794FCC6E" w14:textId="6F73AA53" w:rsidR="001B15BC" w:rsidRPr="00D77C59" w:rsidRDefault="001B15BC">
      <w:pPr>
        <w:pStyle w:val="Textpoznpodarou"/>
        <w:rPr>
          <w:rFonts w:cs="Segoe UI"/>
          <w:sz w:val="18"/>
          <w:szCs w:val="18"/>
        </w:rPr>
      </w:pPr>
      <w:r w:rsidRPr="00D77C59">
        <w:rPr>
          <w:rStyle w:val="Znakapoznpodarou"/>
          <w:rFonts w:cs="Segoe UI"/>
          <w:sz w:val="18"/>
          <w:szCs w:val="18"/>
        </w:rPr>
        <w:footnoteRef/>
      </w:r>
      <w:r w:rsidRPr="00D77C59">
        <w:rPr>
          <w:rFonts w:cs="Segoe UI"/>
          <w:sz w:val="18"/>
          <w:szCs w:val="18"/>
        </w:rPr>
        <w:t xml:space="preserve"> </w:t>
      </w:r>
      <w:hyperlink r:id="rId43" w:history="1">
        <w:r w:rsidRPr="00D77C59">
          <w:rPr>
            <w:rStyle w:val="Hypertextovodkaz"/>
            <w:rFonts w:cs="Segoe UI"/>
            <w:sz w:val="18"/>
            <w:szCs w:val="18"/>
          </w:rPr>
          <w:t>https://opzp.cz/dokument/3108</w:t>
        </w:r>
      </w:hyperlink>
      <w:r w:rsidR="003D29F1">
        <w:rPr>
          <w:rFonts w:cs="Segoe UI"/>
          <w:sz w:val="18"/>
          <w:szCs w:val="18"/>
        </w:rPr>
        <w:t>.</w:t>
      </w:r>
    </w:p>
  </w:footnote>
  <w:footnote w:id="112">
    <w:p w14:paraId="62C2A693" w14:textId="77777777" w:rsidR="001B15BC" w:rsidRPr="00D77C59" w:rsidRDefault="001B15BC" w:rsidP="001B15BC">
      <w:pPr>
        <w:spacing w:after="0" w:line="240" w:lineRule="auto"/>
        <w:rPr>
          <w:rFonts w:cs="Segoe UI"/>
          <w:sz w:val="18"/>
          <w:szCs w:val="18"/>
        </w:rPr>
      </w:pPr>
      <w:r w:rsidRPr="00D77C59">
        <w:rPr>
          <w:rStyle w:val="Znakapoznpodarou"/>
          <w:rFonts w:eastAsiaTheme="majorEastAsia" w:cs="Segoe UI"/>
          <w:sz w:val="18"/>
          <w:szCs w:val="18"/>
        </w:rPr>
        <w:footnoteRef/>
      </w:r>
      <w:r w:rsidRPr="00D77C59">
        <w:rPr>
          <w:rFonts w:eastAsiaTheme="majorEastAsia" w:cs="Segoe UI"/>
          <w:sz w:val="18"/>
          <w:szCs w:val="18"/>
        </w:rPr>
        <w:t xml:space="preserve"> </w:t>
      </w:r>
      <w:r w:rsidRPr="00D77C59">
        <w:rPr>
          <w:rFonts w:eastAsiaTheme="majorEastAsia" w:cs="Segoe UI"/>
          <w:b/>
          <w:sz w:val="18"/>
          <w:szCs w:val="18"/>
        </w:rPr>
        <w:t>Extenzivní zelená střecha</w:t>
      </w:r>
      <w:r w:rsidRPr="00D77C59">
        <w:rPr>
          <w:rFonts w:eastAsiaTheme="majorEastAsia" w:cs="Segoe UI"/>
          <w:sz w:val="18"/>
          <w:szCs w:val="18"/>
        </w:rPr>
        <w:t xml:space="preserve"> je typ zelené střechy se suchomilnou vegetací, která dokáže snášet náročné až extrémní podmínky z pohledu expozice a povětrnosti, nedostatek živin a vláhy. Mocnost souvrství extenzivních zelených střech se pohybuje zpravidla mezi 3–15 cm. Z rostlinných druhů převládají rozchodníky, suchomilné trávy a byliny, netřesky. Za vegetaci lze také považovat různé druhy mechů, které se v konkrétních specifických případech mohou jevit jako vhodná alternativa konvenčního ozelenění. Hlavním rysem extenzivních zelených střech je jejich odolnost vůči suchým obdobím, které je spojeno s absencí závlahové infrastruktury na střeše.</w:t>
      </w:r>
    </w:p>
  </w:footnote>
  <w:footnote w:id="113">
    <w:p w14:paraId="607D2F04" w14:textId="77777777" w:rsidR="001B15BC" w:rsidRPr="00D77C59" w:rsidRDefault="001B15BC" w:rsidP="001B15BC">
      <w:pPr>
        <w:pStyle w:val="Textpoznpodarou"/>
        <w:rPr>
          <w:rFonts w:cs="Segoe UI"/>
          <w:sz w:val="18"/>
          <w:szCs w:val="18"/>
        </w:rPr>
      </w:pPr>
      <w:r w:rsidRPr="00D77C59">
        <w:rPr>
          <w:rStyle w:val="Znakapoznpodarou"/>
          <w:rFonts w:eastAsiaTheme="majorEastAsia" w:cs="Segoe UI"/>
          <w:sz w:val="18"/>
          <w:szCs w:val="18"/>
        </w:rPr>
        <w:footnoteRef/>
      </w:r>
      <w:r w:rsidRPr="00D77C59">
        <w:rPr>
          <w:rFonts w:eastAsiaTheme="majorEastAsia" w:cs="Segoe UI"/>
          <w:sz w:val="18"/>
          <w:szCs w:val="18"/>
        </w:rPr>
        <w:t xml:space="preserve"> </w:t>
      </w:r>
      <w:r w:rsidRPr="00D77C59">
        <w:rPr>
          <w:rFonts w:cs="Segoe UI"/>
          <w:b/>
          <w:sz w:val="18"/>
          <w:szCs w:val="18"/>
        </w:rPr>
        <w:t>Intenzivní zelená</w:t>
      </w:r>
      <w:r w:rsidRPr="00D77C59">
        <w:rPr>
          <w:rFonts w:cs="Segoe UI"/>
          <w:sz w:val="18"/>
          <w:szCs w:val="18"/>
        </w:rPr>
        <w:t xml:space="preserve"> střecha je typem střechy, jenž je osazena dřevinami, křovinami a travnatými plochami, tak jako v běžné zahradnické praxi a přírodních podmínkách. Rostliny dle svého typu vyžadují větší mocnost substrátu – nejméně 20 cm a výše, kromě toho je nezbytné zásobovat instalovanou zeleň doplňkovými živinami a většinou pravidelnou zálivkou. Pro semi-intenzivní střechy platí podmínky jako pro střechy intenzivní. </w:t>
      </w:r>
    </w:p>
  </w:footnote>
  <w:footnote w:id="114">
    <w:p w14:paraId="3D818F95" w14:textId="77777777" w:rsidR="001B15BC" w:rsidRPr="00D77C59" w:rsidRDefault="001B15BC" w:rsidP="001B15BC">
      <w:pPr>
        <w:spacing w:after="0" w:line="240" w:lineRule="auto"/>
        <w:rPr>
          <w:rFonts w:cs="Segoe UI"/>
          <w:sz w:val="18"/>
          <w:szCs w:val="18"/>
        </w:rPr>
      </w:pPr>
      <w:r w:rsidRPr="00D77C59">
        <w:rPr>
          <w:rStyle w:val="Znakapoznpodarou"/>
          <w:rFonts w:eastAsiaTheme="majorEastAsia" w:cs="Segoe UI"/>
          <w:sz w:val="18"/>
          <w:szCs w:val="18"/>
        </w:rPr>
        <w:footnoteRef/>
      </w:r>
      <w:r w:rsidRPr="00D77C59">
        <w:rPr>
          <w:rFonts w:eastAsiaTheme="majorEastAsia" w:cs="Segoe UI"/>
          <w:sz w:val="18"/>
          <w:szCs w:val="18"/>
        </w:rPr>
        <w:t xml:space="preserve"> </w:t>
      </w:r>
      <w:r w:rsidRPr="00D77C59">
        <w:rPr>
          <w:rFonts w:cs="Segoe UI"/>
          <w:sz w:val="18"/>
          <w:szCs w:val="18"/>
        </w:rPr>
        <w:t xml:space="preserve">Podrobný popis a zdůvodnění technických a ekonomických limitů, které vyvolávají potřebu využití vody z vodovodního řadu či jiných zdrojů, musí být uvedeny přímo v projektové dokumentaci. </w:t>
      </w:r>
    </w:p>
  </w:footnote>
  <w:footnote w:id="115">
    <w:p w14:paraId="0545D1CD" w14:textId="435A295D" w:rsidR="001B15BC" w:rsidRPr="00D77C59" w:rsidRDefault="001B15BC">
      <w:pPr>
        <w:pStyle w:val="Textpoznpodarou"/>
        <w:rPr>
          <w:rFonts w:cs="Segoe UI"/>
          <w:sz w:val="18"/>
          <w:szCs w:val="18"/>
        </w:rPr>
      </w:pPr>
      <w:r w:rsidRPr="00D77C59">
        <w:rPr>
          <w:rStyle w:val="Znakapoznpodarou"/>
          <w:rFonts w:cs="Segoe UI"/>
          <w:sz w:val="18"/>
          <w:szCs w:val="18"/>
        </w:rPr>
        <w:footnoteRef/>
      </w:r>
      <w:r w:rsidRPr="00D77C59">
        <w:rPr>
          <w:rFonts w:cs="Segoe UI"/>
          <w:sz w:val="18"/>
          <w:szCs w:val="18"/>
        </w:rPr>
        <w:t xml:space="preserve"> </w:t>
      </w:r>
      <w:hyperlink r:id="rId44" w:history="1">
        <w:r w:rsidRPr="00D77C59">
          <w:rPr>
            <w:rStyle w:val="Hypertextovodkaz"/>
            <w:rFonts w:cs="Segoe UI"/>
            <w:sz w:val="18"/>
            <w:szCs w:val="18"/>
          </w:rPr>
          <w:t>https://opzp.cz/dokument/3241</w:t>
        </w:r>
      </w:hyperlink>
      <w:r w:rsidR="007C42EB">
        <w:rPr>
          <w:rFonts w:cs="Segoe UI"/>
          <w:sz w:val="18"/>
          <w:szCs w:val="18"/>
        </w:rPr>
        <w:t>.</w:t>
      </w:r>
    </w:p>
  </w:footnote>
  <w:footnote w:id="116">
    <w:p w14:paraId="4A6CDAE4" w14:textId="76B98250" w:rsidR="003D7C06" w:rsidRPr="00D77C59" w:rsidRDefault="003D7C06" w:rsidP="001A199F">
      <w:pPr>
        <w:pStyle w:val="Textpoznpodarou"/>
        <w:jc w:val="left"/>
        <w:rPr>
          <w:rFonts w:cs="Segoe UI"/>
          <w:sz w:val="18"/>
          <w:szCs w:val="18"/>
        </w:rPr>
      </w:pPr>
      <w:r w:rsidRPr="00D77C59">
        <w:rPr>
          <w:rStyle w:val="Znakapoznpodarou"/>
          <w:rFonts w:cs="Segoe UI"/>
          <w:sz w:val="18"/>
          <w:szCs w:val="18"/>
        </w:rPr>
        <w:footnoteRef/>
      </w:r>
      <w:r w:rsidRPr="00D77C59">
        <w:rPr>
          <w:rFonts w:cs="Segoe UI"/>
          <w:sz w:val="18"/>
          <w:szCs w:val="18"/>
        </w:rPr>
        <w:t xml:space="preserve"> Další příklady mitigačních opatření jsou k dispozici v průvodci udržitelností a zásadou DNSH pro budovy (</w:t>
      </w:r>
      <w:hyperlink r:id="rId45" w:history="1">
        <w:r w:rsidRPr="00D77C59">
          <w:rPr>
            <w:rStyle w:val="Hypertextovodkaz"/>
            <w:rFonts w:cs="Segoe UI"/>
            <w:sz w:val="18"/>
            <w:szCs w:val="18"/>
          </w:rPr>
          <w:t>https://sfpi.cz/komponenta-4-1/assets/documents/SFPI_Pr%C5%AFvodce%20udr%C5%BEitelnost%C3%AD%20a%20z%C3%A1sadou%20DNSH%20pro%20budovy_2024-09.pdf</w:t>
        </w:r>
      </w:hyperlink>
      <w:r w:rsidRPr="00D77C59">
        <w:rPr>
          <w:rFonts w:cs="Segoe UI"/>
          <w:sz w:val="18"/>
          <w:szCs w:val="18"/>
        </w:rPr>
        <w:t>, str. 14)</w:t>
      </w:r>
      <w:r w:rsidR="00F4290B">
        <w:rPr>
          <w:rFonts w:cs="Segoe UI"/>
          <w:sz w:val="18"/>
          <w:szCs w:val="18"/>
        </w:rPr>
        <w:t>.</w:t>
      </w:r>
    </w:p>
  </w:footnote>
  <w:footnote w:id="117">
    <w:p w14:paraId="2C8FAD41" w14:textId="45C92116" w:rsidR="003D7C06" w:rsidRPr="00D77C59" w:rsidRDefault="003D7C06">
      <w:pPr>
        <w:pStyle w:val="Textpoznpodarou"/>
        <w:jc w:val="left"/>
        <w:rPr>
          <w:rFonts w:cs="Segoe UI"/>
          <w:sz w:val="18"/>
          <w:szCs w:val="18"/>
        </w:rPr>
      </w:pPr>
      <w:r w:rsidRPr="00D77C59">
        <w:rPr>
          <w:rStyle w:val="Znakapoznpodarou"/>
          <w:rFonts w:cs="Segoe UI"/>
          <w:sz w:val="18"/>
          <w:szCs w:val="18"/>
        </w:rPr>
        <w:footnoteRef/>
      </w:r>
      <w:r w:rsidR="00F4290B">
        <w:rPr>
          <w:rFonts w:cs="Segoe UI"/>
          <w:sz w:val="18"/>
          <w:szCs w:val="18"/>
        </w:rPr>
        <w:t> </w:t>
      </w:r>
      <w:r w:rsidRPr="00D77C59">
        <w:rPr>
          <w:rFonts w:cs="Segoe UI"/>
          <w:sz w:val="18"/>
          <w:szCs w:val="18"/>
        </w:rPr>
        <w:t>Vypočtené množství energie nutné k pokrytí energetické potřeby spojené s typickým využitím budovy, vyjádřené číselným ukazatelem celkové spotřeby primární energie v kWh/m</w:t>
      </w:r>
      <w:r w:rsidRPr="006C1B48">
        <w:rPr>
          <w:sz w:val="18"/>
          <w:vertAlign w:val="superscript"/>
        </w:rPr>
        <w:t>2</w:t>
      </w:r>
      <w:r w:rsidRPr="00D77C59">
        <w:rPr>
          <w:rFonts w:cs="Segoe UI"/>
          <w:sz w:val="18"/>
          <w:szCs w:val="18"/>
        </w:rPr>
        <w:t xml:space="preserve"> za rok a vycházející z příslušné národní metodiky výpočtu, které je uvedeno v průkazu energetické náročnosti.</w:t>
      </w:r>
    </w:p>
  </w:footnote>
  <w:footnote w:id="118">
    <w:p w14:paraId="1EF66584" w14:textId="500723BB" w:rsidR="003D7C06" w:rsidRPr="00D77C59" w:rsidRDefault="003D7C06">
      <w:pPr>
        <w:pStyle w:val="Textpoznpodarou"/>
        <w:jc w:val="left"/>
        <w:rPr>
          <w:rFonts w:cs="Segoe UI"/>
          <w:sz w:val="18"/>
          <w:szCs w:val="18"/>
        </w:rPr>
      </w:pPr>
      <w:r w:rsidRPr="00D77C59">
        <w:rPr>
          <w:rStyle w:val="Znakapoznpodarou"/>
          <w:rFonts w:cs="Segoe UI"/>
          <w:sz w:val="18"/>
          <w:szCs w:val="18"/>
        </w:rPr>
        <w:footnoteRef/>
      </w:r>
      <w:r w:rsidR="00F4290B">
        <w:rPr>
          <w:rFonts w:cs="Segoe UI"/>
          <w:sz w:val="18"/>
          <w:szCs w:val="18"/>
        </w:rPr>
        <w:t> </w:t>
      </w:r>
      <w:r w:rsidRPr="00D77C59">
        <w:rPr>
          <w:rFonts w:cs="Segoe UI"/>
          <w:sz w:val="18"/>
          <w:szCs w:val="18"/>
        </w:rPr>
        <w:t>U bytových budov jsou údaje vypočteny a sděleny pro reprezentativní soubor druhů bytových jednotek.</w:t>
      </w:r>
    </w:p>
  </w:footnote>
  <w:footnote w:id="119">
    <w:p w14:paraId="6DA136B1" w14:textId="3CF29580" w:rsidR="003D7C06" w:rsidRPr="00D77C59" w:rsidRDefault="003D7C06">
      <w:pPr>
        <w:pStyle w:val="Textpoznpodarou"/>
        <w:jc w:val="left"/>
        <w:rPr>
          <w:rFonts w:cs="Segoe UI"/>
          <w:sz w:val="18"/>
          <w:szCs w:val="18"/>
        </w:rPr>
      </w:pPr>
      <w:r w:rsidRPr="00D77C59">
        <w:rPr>
          <w:rStyle w:val="Znakapoznpodarou"/>
          <w:rFonts w:cs="Segoe UI"/>
          <w:sz w:val="18"/>
          <w:szCs w:val="18"/>
        </w:rPr>
        <w:footnoteRef/>
      </w:r>
      <w:r w:rsidR="00F4290B">
        <w:rPr>
          <w:rFonts w:cs="Segoe UI"/>
          <w:sz w:val="18"/>
          <w:szCs w:val="18"/>
        </w:rPr>
        <w:t> </w:t>
      </w:r>
      <w:r w:rsidRPr="00D77C59">
        <w:rPr>
          <w:rFonts w:cs="Segoe UI"/>
          <w:sz w:val="18"/>
          <w:szCs w:val="18"/>
        </w:rPr>
        <w:t>Vypočtené množství energie nutné k pokrytí energetické potřeby spojené s typickým využitím budovy, vyjádřené číselným ukazatelem celkové spotřeby primární energie v kWh/m</w:t>
      </w:r>
      <w:r w:rsidRPr="00D77C59">
        <w:rPr>
          <w:rFonts w:cs="Segoe UI"/>
          <w:sz w:val="18"/>
          <w:szCs w:val="18"/>
          <w:vertAlign w:val="superscript"/>
        </w:rPr>
        <w:t>2</w:t>
      </w:r>
      <w:r w:rsidRPr="00D77C59">
        <w:rPr>
          <w:rFonts w:cs="Segoe UI"/>
          <w:sz w:val="18"/>
          <w:szCs w:val="18"/>
        </w:rPr>
        <w:t xml:space="preserve"> za rok a vycházející z příslušné národní metodiky výpočtu, které je uvedeno v průkazu energetické náročnosti.</w:t>
      </w:r>
    </w:p>
  </w:footnote>
  <w:footnote w:id="120">
    <w:p w14:paraId="5CBC17EA" w14:textId="4F64F40D" w:rsidR="003D7C06" w:rsidRPr="00D77C59" w:rsidRDefault="003D7C06">
      <w:pPr>
        <w:pStyle w:val="Textpoznpodarou"/>
        <w:jc w:val="left"/>
        <w:rPr>
          <w:rFonts w:cs="Segoe UI"/>
          <w:sz w:val="18"/>
          <w:szCs w:val="18"/>
        </w:rPr>
      </w:pPr>
      <w:r w:rsidRPr="00D77C59">
        <w:rPr>
          <w:rStyle w:val="Znakapoznpodarou"/>
          <w:rFonts w:cs="Segoe UI"/>
          <w:sz w:val="18"/>
          <w:szCs w:val="18"/>
        </w:rPr>
        <w:footnoteRef/>
      </w:r>
      <w:r w:rsidRPr="00D77C59">
        <w:rPr>
          <w:rFonts w:cs="Segoe UI"/>
          <w:sz w:val="18"/>
          <w:szCs w:val="18"/>
        </w:rPr>
        <w:t xml:space="preserve"> Směrnice Evropského parlamentu a Rady 2010/31/EU ze dne 19. května 2010 o energetické náročnosti budov (Úř. věst. L 153, 18.</w:t>
      </w:r>
      <w:r w:rsidR="00E73232">
        <w:rPr>
          <w:rFonts w:cs="Segoe UI"/>
          <w:sz w:val="18"/>
          <w:szCs w:val="18"/>
        </w:rPr>
        <w:t> </w:t>
      </w:r>
      <w:r w:rsidRPr="00D77C59">
        <w:rPr>
          <w:rFonts w:cs="Segoe UI"/>
          <w:sz w:val="18"/>
          <w:szCs w:val="18"/>
        </w:rPr>
        <w:t>6.</w:t>
      </w:r>
      <w:r w:rsidR="00E73232">
        <w:rPr>
          <w:rFonts w:cs="Segoe UI"/>
          <w:sz w:val="18"/>
          <w:szCs w:val="18"/>
        </w:rPr>
        <w:t> </w:t>
      </w:r>
      <w:r w:rsidRPr="00D77C59">
        <w:rPr>
          <w:rFonts w:cs="Segoe UI"/>
          <w:sz w:val="18"/>
          <w:szCs w:val="18"/>
        </w:rPr>
        <w:t>2010, s. 13).</w:t>
      </w:r>
    </w:p>
  </w:footnote>
  <w:footnote w:id="121">
    <w:p w14:paraId="36EE5056" w14:textId="6EF37EA5" w:rsidR="003D7C06" w:rsidRPr="00D77C59" w:rsidRDefault="003D7C06">
      <w:pPr>
        <w:pStyle w:val="Textpoznpodarou"/>
        <w:jc w:val="left"/>
        <w:rPr>
          <w:rFonts w:cs="Segoe UI"/>
          <w:sz w:val="18"/>
          <w:szCs w:val="18"/>
        </w:rPr>
      </w:pPr>
      <w:r w:rsidRPr="00D77C59">
        <w:rPr>
          <w:rStyle w:val="Znakapoznpodarou"/>
          <w:rFonts w:cs="Segoe UI"/>
          <w:sz w:val="18"/>
          <w:szCs w:val="18"/>
        </w:rPr>
        <w:footnoteRef/>
      </w:r>
      <w:r w:rsidRPr="00D77C59">
        <w:rPr>
          <w:rFonts w:cs="Segoe UI"/>
          <w:sz w:val="18"/>
          <w:szCs w:val="18"/>
        </w:rPr>
        <w:t xml:space="preserve"> U bytových budov se zkoušky provádějí pro reprezentativní soubor druhů bytových jednotek.</w:t>
      </w:r>
    </w:p>
  </w:footnote>
  <w:footnote w:id="122">
    <w:p w14:paraId="6F8CD565" w14:textId="0E4E7DAD" w:rsidR="003D7C06" w:rsidRPr="00D77C59" w:rsidRDefault="003D7C06">
      <w:pPr>
        <w:pStyle w:val="Textpoznpodarou"/>
        <w:jc w:val="left"/>
        <w:rPr>
          <w:rFonts w:cs="Segoe UI"/>
          <w:sz w:val="18"/>
          <w:szCs w:val="18"/>
        </w:rPr>
      </w:pPr>
      <w:r w:rsidRPr="00D77C59">
        <w:rPr>
          <w:rStyle w:val="Znakapoznpodarou"/>
          <w:rFonts w:cs="Segoe UI"/>
          <w:sz w:val="18"/>
          <w:szCs w:val="18"/>
        </w:rPr>
        <w:footnoteRef/>
      </w:r>
      <w:r w:rsidRPr="00D77C59">
        <w:rPr>
          <w:rFonts w:cs="Segoe UI"/>
          <w:sz w:val="18"/>
          <w:szCs w:val="18"/>
        </w:rPr>
        <w:t xml:space="preserve"> Zkoušky se provádějí v souladu s normou EN 13187 (Tepelné chování budov – Kvalitativní určení tepelných nepravidelností v pláštích budov – Infračervená metoda) a EN 13829 (Tepelné chování budov – Stanovení průvzdušnosti budov – Tlaková metoda) nebo rovnocennými normami akceptovanými příslušným stavebním kontrolním orgánem v místě, kde se budova nachází. </w:t>
      </w:r>
    </w:p>
  </w:footnote>
  <w:footnote w:id="123">
    <w:p w14:paraId="08E381F3" w14:textId="415E1DCD" w:rsidR="003D7C06" w:rsidRPr="00D77C59" w:rsidRDefault="003D7C06">
      <w:pPr>
        <w:pStyle w:val="Textpoznpodarou"/>
        <w:jc w:val="left"/>
        <w:rPr>
          <w:rFonts w:cs="Segoe UI"/>
          <w:sz w:val="18"/>
          <w:szCs w:val="18"/>
        </w:rPr>
      </w:pPr>
      <w:r w:rsidRPr="00D77C59">
        <w:rPr>
          <w:rStyle w:val="Znakapoznpodarou"/>
          <w:rFonts w:cs="Segoe UI"/>
          <w:sz w:val="18"/>
          <w:szCs w:val="18"/>
        </w:rPr>
        <w:footnoteRef/>
      </w:r>
      <w:r w:rsidR="00E73232">
        <w:rPr>
          <w:rFonts w:cs="Segoe UI"/>
          <w:sz w:val="18"/>
          <w:szCs w:val="18"/>
        </w:rPr>
        <w:t> </w:t>
      </w:r>
      <w:r w:rsidRPr="00D77C59">
        <w:rPr>
          <w:rFonts w:cs="Segoe UI"/>
          <w:sz w:val="18"/>
          <w:szCs w:val="18"/>
        </w:rPr>
        <w:t>U bytových budov jsou údaje vypočteny a sděleny pro reprezentativní soubor druhů bytových jednotek.</w:t>
      </w:r>
    </w:p>
  </w:footnote>
  <w:footnote w:id="124">
    <w:p w14:paraId="1AFCFD4E" w14:textId="52AA1431" w:rsidR="003D7C06" w:rsidRPr="00D77C59" w:rsidRDefault="003D7C06">
      <w:pPr>
        <w:pStyle w:val="Textpoznpodarou"/>
        <w:jc w:val="left"/>
        <w:rPr>
          <w:rFonts w:cs="Segoe UI"/>
          <w:sz w:val="18"/>
          <w:szCs w:val="18"/>
        </w:rPr>
      </w:pPr>
      <w:r w:rsidRPr="00D77C59">
        <w:rPr>
          <w:rStyle w:val="Znakapoznpodarou"/>
          <w:rFonts w:cs="Segoe UI"/>
          <w:sz w:val="18"/>
          <w:szCs w:val="18"/>
        </w:rPr>
        <w:footnoteRef/>
      </w:r>
      <w:r w:rsidR="00E73232">
        <w:rPr>
          <w:rFonts w:cs="Segoe UI"/>
          <w:sz w:val="18"/>
          <w:szCs w:val="18"/>
        </w:rPr>
        <w:t> </w:t>
      </w:r>
      <w:r w:rsidRPr="00D77C59">
        <w:rPr>
          <w:rFonts w:cs="Segoe UI"/>
          <w:sz w:val="18"/>
          <w:szCs w:val="18"/>
        </w:rPr>
        <w:t>Potenciál globálního oteplování je uveden jako číselný ukazatel pro každou fázi životního cyklu vyjádřený v kg ekvivalentu CO</w:t>
      </w:r>
      <w:r w:rsidRPr="006C1B48">
        <w:rPr>
          <w:sz w:val="18"/>
          <w:vertAlign w:val="subscript"/>
        </w:rPr>
        <w:t>2</w:t>
      </w:r>
      <w:r w:rsidRPr="00D77C59">
        <w:rPr>
          <w:rFonts w:cs="Segoe UI"/>
          <w:sz w:val="18"/>
          <w:szCs w:val="18"/>
        </w:rPr>
        <w:t xml:space="preserve"> (užitné vnitřní podlahové plochy) jako roční průměr z 50letého referenčního období. Výběr údajů, vymezení scénářů a výpočty se provádějí v souladu s normou EN 15978 (BS EN 15978:2011. Udržitelnost staveb – Posuzování environmentálních vlastností budov – Výpočtová metoda). Rozsah stavebních prvků a technického vybavení odpovídá definicím uvedeným ve společném rámci EU Level(s) pro ukazatel 1.2. Pokud existuje vnitrostátní výpočetní nástroj nebo pokud je tento nástroj nutný pro sdělování informací nebo pro získávání stavebních povolení, lze k poskytnutí požadovaných údajů použít příslušný nástroj. Lze použít i jiné výpočetní nástroje, pokud splňují minimální kritéria stanovená společným rámcem EU Level(s)(verze ze dne [datum přijetí]: </w:t>
      </w:r>
      <w:hyperlink r:id="rId46" w:tooltip="https://susproc.jrc.ec.europa.eu/product-bureau/product-groups/412/documents" w:history="1">
        <w:r w:rsidRPr="00D77C59">
          <w:rPr>
            <w:rStyle w:val="Hypertextovodkaz"/>
            <w:rFonts w:cs="Segoe UI"/>
            <w:sz w:val="18"/>
            <w:szCs w:val="18"/>
          </w:rPr>
          <w:t>https://susproc.jrc.ec.europa.eu/product-bureau/product-groups/412/documents</w:t>
        </w:r>
      </w:hyperlink>
      <w:r w:rsidRPr="00D77C59">
        <w:rPr>
          <w:rFonts w:cs="Segoe UI"/>
          <w:sz w:val="18"/>
          <w:szCs w:val="18"/>
        </w:rPr>
        <w:t>), viz uživatelská příručka pro ukazatel 1.2.</w:t>
      </w:r>
    </w:p>
  </w:footnote>
  <w:footnote w:id="125">
    <w:p w14:paraId="7E99C662" w14:textId="11E117B4" w:rsidR="003B795A" w:rsidRPr="00D77C59" w:rsidRDefault="003B795A">
      <w:pPr>
        <w:pStyle w:val="Textpoznpodarou"/>
        <w:rPr>
          <w:rFonts w:cs="Segoe UI"/>
          <w:sz w:val="18"/>
          <w:szCs w:val="18"/>
        </w:rPr>
      </w:pPr>
      <w:r w:rsidRPr="00D77C59">
        <w:rPr>
          <w:rStyle w:val="Znakapoznpodarou"/>
          <w:rFonts w:cs="Segoe UI"/>
          <w:sz w:val="18"/>
          <w:szCs w:val="18"/>
        </w:rPr>
        <w:footnoteRef/>
      </w:r>
      <w:r w:rsidRPr="00D77C59">
        <w:rPr>
          <w:rFonts w:cs="Segoe UI"/>
          <w:sz w:val="18"/>
          <w:szCs w:val="18"/>
        </w:rPr>
        <w:t xml:space="preserve"> </w:t>
      </w:r>
      <w:r w:rsidR="005006A0" w:rsidRPr="00D77C59">
        <w:rPr>
          <w:rFonts w:cs="Segoe UI"/>
          <w:sz w:val="18"/>
          <w:szCs w:val="18"/>
        </w:rPr>
        <w:t xml:space="preserve">Pro </w:t>
      </w:r>
      <w:r w:rsidRPr="00D77C59">
        <w:rPr>
          <w:rFonts w:cs="Segoe UI"/>
          <w:sz w:val="18"/>
          <w:szCs w:val="18"/>
        </w:rPr>
        <w:t xml:space="preserve">tuto oblast bude Ministerstvo průmyslu a obchodu zpracovávat metodiku </w:t>
      </w:r>
      <w:r w:rsidRPr="00D77C59">
        <w:rPr>
          <w:rFonts w:cs="Segoe UI"/>
          <w:i/>
          <w:iCs/>
          <w:sz w:val="18"/>
          <w:szCs w:val="18"/>
        </w:rPr>
        <w:t>Podporované energetické třídy u pořizovaných zařízení, na která se vztahují předpisy pro označování energetickými štítky</w:t>
      </w:r>
      <w:r w:rsidRPr="00D77C59">
        <w:rPr>
          <w:rFonts w:cs="Segoe UI"/>
          <w:sz w:val="18"/>
          <w:szCs w:val="18"/>
        </w:rPr>
        <w:t>.  Metodiku bude možné následně dohledat na webu MPO, v kategorii Energetika/Úspory energie/Úspory v praxi/Ekodesign a štítkování výrobků.</w:t>
      </w:r>
    </w:p>
  </w:footnote>
  <w:footnote w:id="126">
    <w:p w14:paraId="768E4B63" w14:textId="77777777" w:rsidR="00FE7E4F" w:rsidRPr="00D77C59" w:rsidRDefault="00FE7E4F">
      <w:pPr>
        <w:pStyle w:val="Textpoznpodarou"/>
        <w:jc w:val="left"/>
        <w:rPr>
          <w:rFonts w:cs="Segoe UI"/>
          <w:sz w:val="18"/>
          <w:szCs w:val="18"/>
        </w:rPr>
      </w:pPr>
      <w:r w:rsidRPr="00D77C59">
        <w:rPr>
          <w:rStyle w:val="Znakapoznpodarou"/>
          <w:rFonts w:cs="Segoe UI"/>
          <w:sz w:val="18"/>
          <w:szCs w:val="18"/>
        </w:rPr>
        <w:footnoteRef/>
      </w:r>
      <w:r w:rsidRPr="00D77C59">
        <w:rPr>
          <w:rFonts w:cs="Segoe UI"/>
          <w:sz w:val="18"/>
          <w:szCs w:val="18"/>
        </w:rPr>
        <w:tab/>
        <w:t>K posouzení technických specifikací výrobků je na úrovni EU k dispozici odkaz na normy EU: EN 200 „Zdravotnětechnické armatury – Výtokové ventily a ventilové směšovací baterie pro vnitřní vodovody typu 1 a 2 – Všeobecná technická specifikace“; EN 816 „Zdravotnětechnické armatury – Samočinné uzavírací armatury PN 10“;·EN 817 „Mechanické směšovací baterie (PN 10) – Všeobecné technické požadavky“;·EN 1111 „Zdravotnětechnické armatury – Termostatické směšovací baterie (PN10) – Všeobecné technické podmínky“; EN 1112 „Zdravotnětechnické armatury – Sprchy pro zdravotnětechnické armatury pro vnitřní vodovody typu 1 a typu 2 – Všeobecné technické požadavky“; EN 1113 pro „Zdravotnětechnické armatury – Sprchové hadice pro zdravotnětechnické armatury pro vnitřní vodovody typu 1 a typu 2 – Všeobecné technické požadavky“ včetně metody pro testování odolnosti hadice proti ohybu;·EN 1287 pro „Zdravotnětechnické armatury – Nízkotlaké termostatické směšovače – Všeobecné technické požadavky“; EN 15091 „Zdravotnětechnické armatury – Elektronicky otevírané a uzavírané zdravotnětechnické armatury“.</w:t>
      </w:r>
    </w:p>
  </w:footnote>
  <w:footnote w:id="127">
    <w:p w14:paraId="2E1B3F1D" w14:textId="61D58A05" w:rsidR="00FC16A3" w:rsidRPr="00D77C59" w:rsidRDefault="00FC16A3" w:rsidP="00FC16A3">
      <w:pPr>
        <w:pStyle w:val="Textpoznpodarou"/>
        <w:rPr>
          <w:rFonts w:cs="Segoe UI"/>
          <w:sz w:val="18"/>
          <w:szCs w:val="18"/>
        </w:rPr>
      </w:pPr>
      <w:r w:rsidRPr="00D77C59">
        <w:rPr>
          <w:rStyle w:val="Znakapoznpodarou"/>
          <w:rFonts w:cs="Segoe UI"/>
          <w:sz w:val="18"/>
          <w:szCs w:val="18"/>
        </w:rPr>
        <w:footnoteRef/>
      </w:r>
      <w:r w:rsidRPr="00D77C59">
        <w:rPr>
          <w:rFonts w:cs="Segoe UI"/>
          <w:sz w:val="18"/>
          <w:szCs w:val="18"/>
        </w:rPr>
        <w:t xml:space="preserve"> Podrobná metodika výpočtu dostupná v Průvodci udržitelností a zásadou DNSH pro budovy (</w:t>
      </w:r>
      <w:hyperlink r:id="rId47" w:history="1">
        <w:r w:rsidRPr="00D77C59">
          <w:rPr>
            <w:rStyle w:val="Hypertextovodkaz"/>
            <w:rFonts w:cs="Segoe UI"/>
            <w:sz w:val="18"/>
            <w:szCs w:val="18"/>
          </w:rPr>
          <w:t>https://sfpi.cz/komponenta-4-1/assets/documents/SFPI_Pr%C5%AFvodce%20udr%C5%BEitelnost%C3%AD%20a%20z%C3%A1sadou%20DNSH%20pro%20budovy_2024-09.pdf</w:t>
        </w:r>
      </w:hyperlink>
      <w:r w:rsidRPr="00D77C59">
        <w:rPr>
          <w:rFonts w:cs="Segoe UI"/>
          <w:sz w:val="18"/>
          <w:szCs w:val="18"/>
        </w:rPr>
        <w:t xml:space="preserve"> , str. 27)</w:t>
      </w:r>
      <w:r w:rsidR="003D29F1">
        <w:rPr>
          <w:rFonts w:cs="Segoe UI"/>
          <w:sz w:val="18"/>
          <w:szCs w:val="18"/>
        </w:rPr>
        <w:t>.</w:t>
      </w:r>
    </w:p>
  </w:footnote>
  <w:footnote w:id="128">
    <w:p w14:paraId="7ED8BF82" w14:textId="7607D5C7" w:rsidR="004C24A5" w:rsidRPr="00D77C59" w:rsidRDefault="004C24A5">
      <w:pPr>
        <w:pStyle w:val="Textpoznpodarou"/>
        <w:rPr>
          <w:rFonts w:cs="Segoe UI"/>
          <w:sz w:val="18"/>
          <w:szCs w:val="18"/>
        </w:rPr>
      </w:pPr>
      <w:r w:rsidRPr="00D77C59">
        <w:rPr>
          <w:rStyle w:val="Znakapoznpodarou"/>
          <w:rFonts w:cs="Segoe UI"/>
          <w:sz w:val="18"/>
          <w:szCs w:val="18"/>
        </w:rPr>
        <w:footnoteRef/>
      </w:r>
      <w:r w:rsidRPr="00D77C59">
        <w:rPr>
          <w:rFonts w:cs="Segoe UI"/>
          <w:sz w:val="18"/>
          <w:szCs w:val="18"/>
        </w:rPr>
        <w:t xml:space="preserve"> Podle definice ve směrnici Evropského parlamentu a Rady 2008/98/ES ze dne 19. listopadu 2008 o odpadech a o zrušení některých směrnic (Úř. věst. L 312, 22.</w:t>
      </w:r>
      <w:r w:rsidR="003D29F1">
        <w:rPr>
          <w:rFonts w:cs="Segoe UI"/>
          <w:sz w:val="18"/>
          <w:szCs w:val="18"/>
        </w:rPr>
        <w:t> </w:t>
      </w:r>
      <w:r w:rsidRPr="00D77C59">
        <w:rPr>
          <w:rFonts w:cs="Segoe UI"/>
          <w:sz w:val="18"/>
          <w:szCs w:val="18"/>
        </w:rPr>
        <w:t>11.</w:t>
      </w:r>
      <w:r w:rsidR="003D29F1">
        <w:rPr>
          <w:rFonts w:cs="Segoe UI"/>
          <w:sz w:val="18"/>
          <w:szCs w:val="18"/>
        </w:rPr>
        <w:t> </w:t>
      </w:r>
      <w:r w:rsidRPr="00D77C59">
        <w:rPr>
          <w:rFonts w:cs="Segoe UI"/>
          <w:sz w:val="18"/>
          <w:szCs w:val="18"/>
        </w:rPr>
        <w:t xml:space="preserve">2008, s. 3, ELI: </w:t>
      </w:r>
      <w:hyperlink r:id="rId48" w:history="1">
        <w:r w:rsidRPr="00D77C59">
          <w:rPr>
            <w:rStyle w:val="Hypertextovodkaz"/>
            <w:rFonts w:cs="Segoe UI"/>
            <w:sz w:val="18"/>
            <w:szCs w:val="18"/>
          </w:rPr>
          <w:t>http://data.europa.eu/eli/dir/2008/98/oj</w:t>
        </w:r>
      </w:hyperlink>
      <w:r w:rsidRPr="00D77C59">
        <w:rPr>
          <w:rFonts w:cs="Segoe UI"/>
          <w:sz w:val="18"/>
          <w:szCs w:val="18"/>
        </w:rPr>
        <w:t>): „přípravou k opětovnému použití“ se rozumí způsoby využití zahrnující kontrolu, čištění nebo opravu a spočívající v tom, že jsou výrobky nebo části výrobků, které se staly odpady, upraveny tak, že budou opětovně použity bez dalšího předzpracování; Patří sem například příprava k opětovnému použití některých částí budov, jako jsou střešní prvky, okna, dveře, cihly, kameny nebo betonové prvky. Předpokladem přípravy k opětovnému použití stavebních prvků je obvykle selektivní dekonstrukce budov nebo jiných konstrukcí.</w:t>
      </w:r>
    </w:p>
  </w:footnote>
  <w:footnote w:id="129">
    <w:p w14:paraId="4A4B47EF" w14:textId="5883D2D1" w:rsidR="004C24A5" w:rsidRPr="00D77C59" w:rsidRDefault="004C24A5">
      <w:pPr>
        <w:pStyle w:val="Textpoznpodarou"/>
        <w:rPr>
          <w:rFonts w:cs="Segoe UI"/>
          <w:sz w:val="18"/>
          <w:szCs w:val="18"/>
        </w:rPr>
      </w:pPr>
      <w:r w:rsidRPr="00D77C59">
        <w:rPr>
          <w:rStyle w:val="Znakapoznpodarou"/>
          <w:rFonts w:cs="Segoe UI"/>
          <w:sz w:val="18"/>
          <w:szCs w:val="18"/>
        </w:rPr>
        <w:footnoteRef/>
      </w:r>
      <w:r w:rsidRPr="00D77C59">
        <w:rPr>
          <w:rFonts w:cs="Segoe UI"/>
          <w:sz w:val="18"/>
          <w:szCs w:val="18"/>
        </w:rPr>
        <w:t xml:space="preserve"> Podle definice ve směrnici Evropského parlamentu a Rady 2008/98/ES ze dne 19. listopadu 2008 o odpadech a o zrušení některých směrnic (Úř. věst. L 312, 22.</w:t>
      </w:r>
      <w:r w:rsidR="003D29F1">
        <w:rPr>
          <w:rFonts w:cs="Segoe UI"/>
          <w:sz w:val="18"/>
          <w:szCs w:val="18"/>
        </w:rPr>
        <w:t> </w:t>
      </w:r>
      <w:r w:rsidRPr="00D77C59">
        <w:rPr>
          <w:rFonts w:cs="Segoe UI"/>
          <w:sz w:val="18"/>
          <w:szCs w:val="18"/>
        </w:rPr>
        <w:t>11.</w:t>
      </w:r>
      <w:r w:rsidR="003D29F1">
        <w:rPr>
          <w:rFonts w:cs="Segoe UI"/>
          <w:sz w:val="18"/>
          <w:szCs w:val="18"/>
        </w:rPr>
        <w:t> </w:t>
      </w:r>
      <w:r w:rsidRPr="00D77C59">
        <w:rPr>
          <w:rFonts w:cs="Segoe UI"/>
          <w:sz w:val="18"/>
          <w:szCs w:val="18"/>
        </w:rPr>
        <w:t xml:space="preserve">2008, s. 3, ELI: </w:t>
      </w:r>
      <w:hyperlink r:id="rId49" w:history="1">
        <w:r w:rsidRPr="00D77C59">
          <w:rPr>
            <w:rStyle w:val="Hypertextovodkaz"/>
            <w:rFonts w:cs="Segoe UI"/>
            <w:sz w:val="18"/>
            <w:szCs w:val="18"/>
          </w:rPr>
          <w:t>http://data.europa.eu/eli/dir/2008/98/oj</w:t>
        </w:r>
      </w:hyperlink>
      <w:r w:rsidRPr="00D77C59">
        <w:rPr>
          <w:rFonts w:cs="Segoe UI"/>
          <w:sz w:val="18"/>
          <w:szCs w:val="18"/>
        </w:rPr>
        <w:t>): „recyklací“ se rozumí jakýkoli způsob využití, jímž je odpad znovu zpracován na výrobky, materiály nebo látky, ať pro původní nebo pro jiné účely. Recyklací je i opětovné zpracování organických materiálů, avšak nikoli rekuperace energie nebo opětovné zpracování na materiály určené k použití jako paliva nebo jako zásypový materiál.</w:t>
      </w:r>
    </w:p>
  </w:footnote>
  <w:footnote w:id="130">
    <w:p w14:paraId="524846BD" w14:textId="4D1E89C6" w:rsidR="004C24A5" w:rsidRPr="00D77C59" w:rsidRDefault="004C24A5">
      <w:pPr>
        <w:pStyle w:val="Textpoznpodarou"/>
        <w:rPr>
          <w:rFonts w:cs="Segoe UI"/>
          <w:sz w:val="18"/>
          <w:szCs w:val="18"/>
        </w:rPr>
      </w:pPr>
      <w:r w:rsidRPr="00D77C59">
        <w:rPr>
          <w:rStyle w:val="Znakapoznpodarou"/>
          <w:rFonts w:cs="Segoe UI"/>
          <w:sz w:val="18"/>
          <w:szCs w:val="18"/>
        </w:rPr>
        <w:footnoteRef/>
      </w:r>
      <w:r w:rsidRPr="00D77C59">
        <w:rPr>
          <w:rFonts w:cs="Segoe UI"/>
          <w:sz w:val="18"/>
          <w:szCs w:val="18"/>
        </w:rPr>
        <w:t xml:space="preserve"> odle definice ve směrnici Evropského parlamentu a Rady 2008/98/ES ze dne 19. listopadu 2008 o odpadech a o zrušení některých směrnic (Úř. věst. L 312, 22.</w:t>
      </w:r>
      <w:r w:rsidR="003D29F1">
        <w:rPr>
          <w:rFonts w:cs="Segoe UI"/>
          <w:sz w:val="18"/>
          <w:szCs w:val="18"/>
        </w:rPr>
        <w:t> </w:t>
      </w:r>
      <w:r w:rsidRPr="00D77C59">
        <w:rPr>
          <w:rFonts w:cs="Segoe UI"/>
          <w:sz w:val="18"/>
          <w:szCs w:val="18"/>
        </w:rPr>
        <w:t>11.</w:t>
      </w:r>
      <w:r w:rsidR="003D29F1">
        <w:rPr>
          <w:rFonts w:cs="Segoe UI"/>
          <w:sz w:val="18"/>
          <w:szCs w:val="18"/>
        </w:rPr>
        <w:t> </w:t>
      </w:r>
      <w:r w:rsidRPr="00D77C59">
        <w:rPr>
          <w:rFonts w:cs="Segoe UI"/>
          <w:sz w:val="18"/>
          <w:szCs w:val="18"/>
        </w:rPr>
        <w:t xml:space="preserve">2008, s. 3, ELI: </w:t>
      </w:r>
      <w:hyperlink r:id="rId50" w:history="1">
        <w:r w:rsidRPr="00D77C59">
          <w:rPr>
            <w:rStyle w:val="Hypertextovodkaz"/>
            <w:rFonts w:cs="Segoe UI"/>
            <w:sz w:val="18"/>
            <w:szCs w:val="18"/>
          </w:rPr>
          <w:t>http://data.europa.eu/eli/dir/2008/98/oj</w:t>
        </w:r>
      </w:hyperlink>
      <w:r w:rsidRPr="00D77C59">
        <w:rPr>
          <w:rFonts w:cs="Segoe UI"/>
          <w:sz w:val="18"/>
          <w:szCs w:val="18"/>
        </w:rPr>
        <w:t>): „zasypáváním“ se rozumí jakýkoli způsob využití, při němž je vhodný nikoliv nebezpečný odpad použit pro účely rekultivace vytěžených oblastí nebo pro technické účely při terénních úpravách. Odpad použitý k zasypávání by měl nahrazovat materiály, které nejsou odpadem, vyhovovat daným účelům a být omezen na množství nezbytně nutné pro dosažení uvedených účelů.</w:t>
      </w:r>
    </w:p>
  </w:footnote>
  <w:footnote w:id="131">
    <w:p w14:paraId="5725963C" w14:textId="627480E6" w:rsidR="00FE7E4F" w:rsidRPr="00D77C59" w:rsidRDefault="00FE7E4F">
      <w:pPr>
        <w:pStyle w:val="Textpoznpodarou"/>
        <w:rPr>
          <w:rFonts w:cs="Segoe UI"/>
          <w:sz w:val="18"/>
          <w:szCs w:val="18"/>
        </w:rPr>
      </w:pPr>
      <w:r w:rsidRPr="00D77C59">
        <w:rPr>
          <w:rStyle w:val="Znakapoznpodarou"/>
          <w:rFonts w:cs="Segoe UI"/>
          <w:sz w:val="18"/>
          <w:szCs w:val="18"/>
        </w:rPr>
        <w:footnoteRef/>
      </w:r>
      <w:r w:rsidRPr="00D77C59">
        <w:rPr>
          <w:rFonts w:cs="Segoe UI"/>
          <w:sz w:val="18"/>
          <w:szCs w:val="18"/>
        </w:rPr>
        <w:t xml:space="preserve"> </w:t>
      </w:r>
      <w:r w:rsidR="00E73232">
        <w:rPr>
          <w:rFonts w:cs="Segoe UI"/>
          <w:sz w:val="18"/>
          <w:szCs w:val="18"/>
        </w:rPr>
        <w:t> </w:t>
      </w:r>
      <w:r w:rsidRPr="00D77C59">
        <w:rPr>
          <w:rFonts w:cs="Segoe UI"/>
          <w:sz w:val="18"/>
          <w:szCs w:val="18"/>
        </w:rPr>
        <w:t>Typová zařízení dle Příloha č. 2 k zákonu č. 541/2020 Sb. (viz str. 179)</w:t>
      </w:r>
      <w:r w:rsidR="003D29F1">
        <w:rPr>
          <w:rFonts w:cs="Segoe UI"/>
          <w:sz w:val="18"/>
          <w:szCs w:val="18"/>
        </w:rPr>
        <w:t>.</w:t>
      </w:r>
    </w:p>
  </w:footnote>
  <w:footnote w:id="132">
    <w:p w14:paraId="163DA752" w14:textId="39505682" w:rsidR="004C24A5" w:rsidRPr="00D77C59" w:rsidRDefault="004C24A5">
      <w:pPr>
        <w:pStyle w:val="Textpoznpodarou"/>
        <w:rPr>
          <w:rFonts w:cs="Segoe UI"/>
          <w:sz w:val="18"/>
          <w:szCs w:val="18"/>
        </w:rPr>
      </w:pPr>
      <w:r w:rsidRPr="00D77C59">
        <w:rPr>
          <w:rStyle w:val="Znakapoznpodarou"/>
          <w:rFonts w:cs="Segoe UI"/>
          <w:sz w:val="18"/>
          <w:szCs w:val="18"/>
        </w:rPr>
        <w:footnoteRef/>
      </w:r>
      <w:r w:rsidRPr="00D77C59">
        <w:rPr>
          <w:rFonts w:cs="Segoe UI"/>
          <w:sz w:val="18"/>
          <w:szCs w:val="18"/>
        </w:rPr>
        <w:t xml:space="preserve"> Pozn.: Smlouvu dle zákona musí mít původce odpadu ještě před vznikem odpadu – doporučuje se proto dokládání smlouvy již při žádosti o podporu; doklad o převzetí – doloží žadatel po realizaci opatření.</w:t>
      </w:r>
    </w:p>
  </w:footnote>
  <w:footnote w:id="133">
    <w:p w14:paraId="4BEEFBB1" w14:textId="2A81DEF5" w:rsidR="00FE7E4F" w:rsidRPr="00D77C59" w:rsidRDefault="00FE7E4F">
      <w:pPr>
        <w:pStyle w:val="Textpoznpodarou"/>
        <w:jc w:val="left"/>
        <w:rPr>
          <w:rFonts w:cs="Segoe UI"/>
          <w:sz w:val="18"/>
          <w:szCs w:val="18"/>
        </w:rPr>
      </w:pPr>
      <w:r w:rsidRPr="00D77C59">
        <w:rPr>
          <w:rStyle w:val="Znakapoznpodarou"/>
          <w:rFonts w:cs="Segoe UI"/>
          <w:sz w:val="18"/>
          <w:szCs w:val="18"/>
        </w:rPr>
        <w:footnoteRef/>
      </w:r>
      <w:r w:rsidR="00E73232">
        <w:rPr>
          <w:rFonts w:cs="Segoe UI"/>
          <w:sz w:val="18"/>
          <w:szCs w:val="18"/>
        </w:rPr>
        <w:t> </w:t>
      </w:r>
      <w:r w:rsidRPr="00D77C59">
        <w:rPr>
          <w:rFonts w:cs="Segoe UI"/>
          <w:sz w:val="18"/>
          <w:szCs w:val="18"/>
        </w:rPr>
        <w:t>Protokol EU pro nakládání se stavebním a demoličním odpadem (verze ze dne [datum přijetí]: https://ec.europa.eu/growth/content/eu-construction-and-demolition-waste-protocol-0_en).</w:t>
      </w:r>
    </w:p>
  </w:footnote>
  <w:footnote w:id="134">
    <w:p w14:paraId="2A3A9057" w14:textId="535329F4" w:rsidR="00FE7E4F" w:rsidRPr="00D77C59" w:rsidRDefault="00FE7E4F">
      <w:pPr>
        <w:pStyle w:val="Textpoznpodarou"/>
        <w:jc w:val="left"/>
        <w:rPr>
          <w:rFonts w:cs="Segoe UI"/>
          <w:sz w:val="18"/>
          <w:szCs w:val="18"/>
        </w:rPr>
      </w:pPr>
      <w:r w:rsidRPr="00D77C59">
        <w:rPr>
          <w:rStyle w:val="Znakapoznpodarou"/>
          <w:rFonts w:cs="Segoe UI"/>
          <w:sz w:val="18"/>
          <w:szCs w:val="18"/>
        </w:rPr>
        <w:footnoteRef/>
      </w:r>
      <w:r w:rsidR="00E73232">
        <w:rPr>
          <w:rFonts w:cs="Segoe UI"/>
          <w:sz w:val="18"/>
          <w:szCs w:val="18"/>
        </w:rPr>
        <w:t> </w:t>
      </w:r>
      <w:r w:rsidRPr="00D77C59">
        <w:rPr>
          <w:rFonts w:cs="Segoe UI"/>
          <w:sz w:val="18"/>
          <w:szCs w:val="18"/>
        </w:rPr>
        <w:t>ISO 20887:2020, Udržitelnost u budov a inženýrských staveb – Návrh umožňující demontáž a přizpůsobivost – Zásady, požadavky a pokyny (verze ze dne [datum přijetí]: https://www.iso.org/standard/69370.html).</w:t>
      </w:r>
    </w:p>
  </w:footnote>
  <w:footnote w:id="135">
    <w:p w14:paraId="23C027AF" w14:textId="77777777" w:rsidR="006F000C" w:rsidRPr="00D77C59" w:rsidRDefault="006F000C">
      <w:pPr>
        <w:pStyle w:val="Textpoznpodarou"/>
        <w:jc w:val="left"/>
        <w:rPr>
          <w:rFonts w:cs="Segoe UI"/>
          <w:sz w:val="18"/>
          <w:szCs w:val="18"/>
        </w:rPr>
      </w:pPr>
      <w:r w:rsidRPr="00D77C59">
        <w:rPr>
          <w:rStyle w:val="Znakapoznpodarou"/>
          <w:rFonts w:cs="Segoe UI"/>
          <w:sz w:val="18"/>
          <w:szCs w:val="18"/>
        </w:rPr>
        <w:footnoteRef/>
      </w:r>
      <w:r w:rsidRPr="00D77C59">
        <w:rPr>
          <w:rFonts w:cs="Segoe UI"/>
          <w:sz w:val="18"/>
          <w:szCs w:val="18"/>
        </w:rPr>
        <w:tab/>
        <w:t>Nařízení Evropského parlamentu a Rady (EU) 2019/1021 ze dne 20. června 2019 o perzistentních organických znečišťujících látkách (Úř. věst. L 169, 25.</w:t>
      </w:r>
      <w:r w:rsidR="003D29F1">
        <w:rPr>
          <w:rFonts w:cs="Segoe UI"/>
          <w:sz w:val="18"/>
          <w:szCs w:val="18"/>
        </w:rPr>
        <w:t> </w:t>
      </w:r>
      <w:r w:rsidRPr="00D77C59">
        <w:rPr>
          <w:rFonts w:cs="Segoe UI"/>
          <w:sz w:val="18"/>
          <w:szCs w:val="18"/>
        </w:rPr>
        <w:t>6.</w:t>
      </w:r>
      <w:r w:rsidR="003D29F1">
        <w:rPr>
          <w:rFonts w:cs="Segoe UI"/>
          <w:sz w:val="18"/>
          <w:szCs w:val="18"/>
        </w:rPr>
        <w:t> </w:t>
      </w:r>
      <w:r w:rsidRPr="00D77C59">
        <w:rPr>
          <w:rFonts w:cs="Segoe UI"/>
          <w:sz w:val="18"/>
          <w:szCs w:val="18"/>
        </w:rPr>
        <w:t>2019, s. 45).</w:t>
      </w:r>
    </w:p>
  </w:footnote>
  <w:footnote w:id="136">
    <w:p w14:paraId="1DBF2264" w14:textId="77777777" w:rsidR="006F000C" w:rsidRPr="00D77C59" w:rsidRDefault="006F000C">
      <w:pPr>
        <w:pStyle w:val="Textpoznpodarou"/>
        <w:jc w:val="left"/>
        <w:rPr>
          <w:rFonts w:cs="Segoe UI"/>
          <w:sz w:val="18"/>
          <w:szCs w:val="18"/>
        </w:rPr>
      </w:pPr>
      <w:r w:rsidRPr="00D77C59">
        <w:rPr>
          <w:rStyle w:val="Znakapoznpodarou"/>
          <w:rFonts w:cs="Segoe UI"/>
          <w:sz w:val="18"/>
          <w:szCs w:val="18"/>
        </w:rPr>
        <w:footnoteRef/>
      </w:r>
      <w:r w:rsidRPr="00D77C59">
        <w:rPr>
          <w:rFonts w:cs="Segoe UI"/>
          <w:sz w:val="18"/>
          <w:szCs w:val="18"/>
        </w:rPr>
        <w:tab/>
        <w:t>Nařízení Evropského parlamentu a Rady (EU) 2017/852 ze dne 17. května 2017 o rtuti a o zrušení nařízení (ES) č. 1102/2008 (Úř. věst. L 137, 24.</w:t>
      </w:r>
      <w:r w:rsidR="003D29F1">
        <w:rPr>
          <w:rFonts w:cs="Segoe UI"/>
          <w:sz w:val="18"/>
          <w:szCs w:val="18"/>
        </w:rPr>
        <w:t> </w:t>
      </w:r>
      <w:r w:rsidRPr="00D77C59">
        <w:rPr>
          <w:rFonts w:cs="Segoe UI"/>
          <w:sz w:val="18"/>
          <w:szCs w:val="18"/>
        </w:rPr>
        <w:t>5.</w:t>
      </w:r>
      <w:r w:rsidR="003D29F1">
        <w:rPr>
          <w:rFonts w:cs="Segoe UI"/>
          <w:sz w:val="18"/>
          <w:szCs w:val="18"/>
        </w:rPr>
        <w:t> </w:t>
      </w:r>
      <w:r w:rsidRPr="00D77C59">
        <w:rPr>
          <w:rFonts w:cs="Segoe UI"/>
          <w:sz w:val="18"/>
          <w:szCs w:val="18"/>
        </w:rPr>
        <w:t>2017, s. 1).</w:t>
      </w:r>
    </w:p>
  </w:footnote>
  <w:footnote w:id="137">
    <w:p w14:paraId="48972A8C" w14:textId="387D6463" w:rsidR="006F000C" w:rsidRPr="00D77C59" w:rsidRDefault="006F000C">
      <w:pPr>
        <w:pStyle w:val="Textpoznpodarou"/>
        <w:jc w:val="left"/>
        <w:rPr>
          <w:rFonts w:cs="Segoe UI"/>
          <w:sz w:val="18"/>
          <w:szCs w:val="18"/>
        </w:rPr>
      </w:pPr>
      <w:r w:rsidRPr="00D77C59">
        <w:rPr>
          <w:rStyle w:val="Znakapoznpodarou"/>
          <w:rFonts w:cs="Segoe UI"/>
          <w:sz w:val="18"/>
          <w:szCs w:val="18"/>
        </w:rPr>
        <w:footnoteRef/>
      </w:r>
      <w:r w:rsidRPr="00D77C59">
        <w:rPr>
          <w:rFonts w:cs="Segoe UI"/>
          <w:sz w:val="18"/>
          <w:szCs w:val="18"/>
        </w:rPr>
        <w:tab/>
      </w:r>
      <w:r w:rsidR="002129CB" w:rsidRPr="00D77C59">
        <w:rPr>
          <w:rFonts w:cs="Segoe UI"/>
          <w:sz w:val="18"/>
          <w:szCs w:val="18"/>
        </w:rPr>
        <w:t>Nařízení Evropského parlamentu a Rady (EU) 2024/590 ze dne 7. února 2024 o látkách, které poškozují ozonovou vrstvu (Úř. věst. L, 2024/590, 20.</w:t>
      </w:r>
      <w:r w:rsidR="003D29F1">
        <w:rPr>
          <w:rFonts w:cs="Segoe UI"/>
          <w:sz w:val="18"/>
          <w:szCs w:val="18"/>
        </w:rPr>
        <w:t> </w:t>
      </w:r>
      <w:r w:rsidR="002129CB" w:rsidRPr="00D77C59">
        <w:rPr>
          <w:rFonts w:cs="Segoe UI"/>
          <w:sz w:val="18"/>
          <w:szCs w:val="18"/>
        </w:rPr>
        <w:t>2.</w:t>
      </w:r>
      <w:r w:rsidR="003D29F1">
        <w:rPr>
          <w:rFonts w:cs="Segoe UI"/>
          <w:sz w:val="18"/>
          <w:szCs w:val="18"/>
        </w:rPr>
        <w:t> </w:t>
      </w:r>
      <w:r w:rsidR="002129CB" w:rsidRPr="00D77C59">
        <w:rPr>
          <w:rFonts w:cs="Segoe UI"/>
          <w:sz w:val="18"/>
          <w:szCs w:val="18"/>
        </w:rPr>
        <w:t>2024)</w:t>
      </w:r>
      <w:r w:rsidR="003D29F1">
        <w:rPr>
          <w:rFonts w:cs="Segoe UI"/>
          <w:sz w:val="18"/>
          <w:szCs w:val="18"/>
        </w:rPr>
        <w:t>.</w:t>
      </w:r>
    </w:p>
  </w:footnote>
  <w:footnote w:id="138">
    <w:p w14:paraId="6A481CFD" w14:textId="77777777" w:rsidR="006F000C" w:rsidRPr="00D77C59" w:rsidRDefault="006F000C">
      <w:pPr>
        <w:pStyle w:val="Textpoznpodarou"/>
        <w:jc w:val="left"/>
        <w:rPr>
          <w:rFonts w:cs="Segoe UI"/>
          <w:sz w:val="18"/>
          <w:szCs w:val="18"/>
        </w:rPr>
      </w:pPr>
      <w:r w:rsidRPr="00D77C59">
        <w:rPr>
          <w:rStyle w:val="Znakapoznpodarou"/>
          <w:rFonts w:cs="Segoe UI"/>
          <w:sz w:val="18"/>
          <w:szCs w:val="18"/>
        </w:rPr>
        <w:footnoteRef/>
      </w:r>
      <w:r w:rsidRPr="00D77C59">
        <w:rPr>
          <w:rFonts w:cs="Segoe UI"/>
          <w:sz w:val="18"/>
          <w:szCs w:val="18"/>
        </w:rPr>
        <w:tab/>
        <w:t>Směrnice Evropského parlamentu a Rady 2011/65/EU ze dne 8. června 2011 o omezení používání některých nebezpečných látek v elektrických a elektronických zařízeních (Úř. věst. L 174, 1.</w:t>
      </w:r>
      <w:r w:rsidR="003D29F1">
        <w:rPr>
          <w:rFonts w:cs="Segoe UI"/>
          <w:sz w:val="18"/>
          <w:szCs w:val="18"/>
        </w:rPr>
        <w:t> </w:t>
      </w:r>
      <w:r w:rsidRPr="00D77C59">
        <w:rPr>
          <w:rFonts w:cs="Segoe UI"/>
          <w:sz w:val="18"/>
          <w:szCs w:val="18"/>
        </w:rPr>
        <w:t>7.</w:t>
      </w:r>
      <w:r w:rsidR="003D29F1">
        <w:rPr>
          <w:rFonts w:cs="Segoe UI"/>
          <w:sz w:val="18"/>
          <w:szCs w:val="18"/>
        </w:rPr>
        <w:t> </w:t>
      </w:r>
      <w:r w:rsidRPr="00D77C59">
        <w:rPr>
          <w:rFonts w:cs="Segoe UI"/>
          <w:sz w:val="18"/>
          <w:szCs w:val="18"/>
        </w:rPr>
        <w:t>2011, s. 88).</w:t>
      </w:r>
    </w:p>
  </w:footnote>
  <w:footnote w:id="139">
    <w:p w14:paraId="6B8D17D5" w14:textId="77777777" w:rsidR="006F000C" w:rsidRPr="00D77C59" w:rsidRDefault="006F000C">
      <w:pPr>
        <w:pStyle w:val="Textpoznpodarou"/>
        <w:jc w:val="left"/>
        <w:rPr>
          <w:rFonts w:cs="Segoe UI"/>
          <w:sz w:val="18"/>
          <w:szCs w:val="18"/>
        </w:rPr>
      </w:pPr>
      <w:r w:rsidRPr="00D77C59">
        <w:rPr>
          <w:rStyle w:val="Znakapoznpodarou"/>
          <w:rFonts w:cs="Segoe UI"/>
          <w:sz w:val="18"/>
          <w:szCs w:val="18"/>
        </w:rPr>
        <w:footnoteRef/>
      </w:r>
      <w:r w:rsidRPr="00D77C59">
        <w:rPr>
          <w:rFonts w:cs="Segoe UI"/>
          <w:sz w:val="18"/>
          <w:szCs w:val="18"/>
        </w:rPr>
        <w:tab/>
        <w:t>Nařízení Evropského parlamentu a Rady (ES) č. 1907/2006 ze dne 18. prosince 2006 o registraci, hodnocení, povolování a omezování chemických látek, o zřízení Evropské agentury pro chemické látky, o změně směrnice 1999/45/ES a o zrušení nařízení Rady (EHS) č. 793/93, nařízení Komise (ES) č. 1488/94, směrnice Rady 76/769/EHS a směrnic Komise 91/155/EHS, 93/67/EHS, 93/105/ES a 2000/21/ES (Úř. věst. L 396, 30.</w:t>
      </w:r>
      <w:r w:rsidR="003D29F1">
        <w:rPr>
          <w:rFonts w:cs="Segoe UI"/>
          <w:sz w:val="18"/>
          <w:szCs w:val="18"/>
        </w:rPr>
        <w:t> </w:t>
      </w:r>
      <w:r w:rsidRPr="00D77C59">
        <w:rPr>
          <w:rFonts w:cs="Segoe UI"/>
          <w:sz w:val="18"/>
          <w:szCs w:val="18"/>
        </w:rPr>
        <w:t>12.</w:t>
      </w:r>
      <w:r w:rsidR="003D29F1">
        <w:rPr>
          <w:rFonts w:cs="Segoe UI"/>
          <w:sz w:val="18"/>
          <w:szCs w:val="18"/>
        </w:rPr>
        <w:t> </w:t>
      </w:r>
      <w:r w:rsidRPr="00D77C59">
        <w:rPr>
          <w:rFonts w:cs="Segoe UI"/>
          <w:sz w:val="18"/>
          <w:szCs w:val="18"/>
        </w:rPr>
        <w:t>2006, s. 1).</w:t>
      </w:r>
    </w:p>
  </w:footnote>
  <w:footnote w:id="140">
    <w:p w14:paraId="1ED8453C" w14:textId="77777777" w:rsidR="006F000C" w:rsidRPr="00D77C59" w:rsidRDefault="006F000C">
      <w:pPr>
        <w:pStyle w:val="Textpoznpodarou"/>
        <w:jc w:val="left"/>
        <w:rPr>
          <w:rFonts w:cs="Segoe UI"/>
          <w:sz w:val="18"/>
          <w:szCs w:val="18"/>
        </w:rPr>
      </w:pPr>
      <w:r w:rsidRPr="00D77C59">
        <w:rPr>
          <w:rStyle w:val="Znakapoznpodarou"/>
          <w:rFonts w:cs="Segoe UI"/>
          <w:sz w:val="18"/>
          <w:szCs w:val="18"/>
        </w:rPr>
        <w:footnoteRef/>
      </w:r>
      <w:r w:rsidRPr="00D77C59">
        <w:rPr>
          <w:rFonts w:cs="Segoe UI"/>
          <w:sz w:val="18"/>
          <w:szCs w:val="18"/>
        </w:rPr>
        <w:tab/>
        <w:t>Nařízení Evropského parlamentu a Rady (EU) 2019/1021 ze dne 20. června 2019 o perzistentních organických znečišťujících látkách (Úř. věst. L 169, 25.</w:t>
      </w:r>
      <w:r w:rsidR="003D29F1">
        <w:rPr>
          <w:rFonts w:cs="Segoe UI"/>
          <w:sz w:val="18"/>
          <w:szCs w:val="18"/>
        </w:rPr>
        <w:t> </w:t>
      </w:r>
      <w:r w:rsidRPr="00D77C59">
        <w:rPr>
          <w:rFonts w:cs="Segoe UI"/>
          <w:sz w:val="18"/>
          <w:szCs w:val="18"/>
        </w:rPr>
        <w:t>6.</w:t>
      </w:r>
      <w:r w:rsidR="003D29F1">
        <w:rPr>
          <w:rFonts w:cs="Segoe UI"/>
          <w:sz w:val="18"/>
          <w:szCs w:val="18"/>
        </w:rPr>
        <w:t> </w:t>
      </w:r>
      <w:r w:rsidRPr="00D77C59">
        <w:rPr>
          <w:rFonts w:cs="Segoe UI"/>
          <w:sz w:val="18"/>
          <w:szCs w:val="18"/>
        </w:rPr>
        <w:t>2019, s. 45).</w:t>
      </w:r>
    </w:p>
  </w:footnote>
  <w:footnote w:id="141">
    <w:p w14:paraId="69E4D634" w14:textId="77777777" w:rsidR="006F000C" w:rsidRPr="00D77C59" w:rsidRDefault="006F000C">
      <w:pPr>
        <w:pStyle w:val="Textpoznpodarou"/>
        <w:jc w:val="left"/>
        <w:rPr>
          <w:rFonts w:cs="Segoe UI"/>
          <w:sz w:val="18"/>
          <w:szCs w:val="18"/>
        </w:rPr>
      </w:pPr>
      <w:r w:rsidRPr="00D77C59">
        <w:rPr>
          <w:rStyle w:val="Znakapoznpodarou"/>
          <w:rFonts w:cs="Segoe UI"/>
          <w:sz w:val="18"/>
          <w:szCs w:val="18"/>
        </w:rPr>
        <w:footnoteRef/>
      </w:r>
      <w:r w:rsidRPr="00D77C59">
        <w:rPr>
          <w:rFonts w:cs="Segoe UI"/>
          <w:sz w:val="18"/>
          <w:szCs w:val="18"/>
        </w:rPr>
        <w:tab/>
        <w:t>Nařízení Evropského parlamentu a Rady (EU) 2017/852 ze dne 17. května 2017 o rtuti a o zrušení nařízení (ES) č. 1102/2008 (Úř. věst. L 137, 24.</w:t>
      </w:r>
      <w:r w:rsidR="003D29F1">
        <w:rPr>
          <w:rFonts w:cs="Segoe UI"/>
          <w:sz w:val="18"/>
          <w:szCs w:val="18"/>
        </w:rPr>
        <w:t> </w:t>
      </w:r>
      <w:r w:rsidRPr="00D77C59">
        <w:rPr>
          <w:rFonts w:cs="Segoe UI"/>
          <w:sz w:val="18"/>
          <w:szCs w:val="18"/>
        </w:rPr>
        <w:t>5.</w:t>
      </w:r>
      <w:r w:rsidR="003D29F1">
        <w:rPr>
          <w:rFonts w:cs="Segoe UI"/>
          <w:sz w:val="18"/>
          <w:szCs w:val="18"/>
        </w:rPr>
        <w:t> </w:t>
      </w:r>
      <w:r w:rsidRPr="00D77C59">
        <w:rPr>
          <w:rFonts w:cs="Segoe UI"/>
          <w:sz w:val="18"/>
          <w:szCs w:val="18"/>
        </w:rPr>
        <w:t>2017, s. 1).</w:t>
      </w:r>
    </w:p>
  </w:footnote>
  <w:footnote w:id="142">
    <w:p w14:paraId="0AFA66B4" w14:textId="3D80EF46" w:rsidR="006F000C" w:rsidRPr="00D77C59" w:rsidRDefault="006F000C">
      <w:pPr>
        <w:pStyle w:val="Textpoznpodarou"/>
        <w:jc w:val="left"/>
        <w:rPr>
          <w:rFonts w:cs="Segoe UI"/>
          <w:sz w:val="18"/>
          <w:szCs w:val="18"/>
        </w:rPr>
      </w:pPr>
      <w:r w:rsidRPr="00D77C59">
        <w:rPr>
          <w:rStyle w:val="Znakapoznpodarou"/>
          <w:rFonts w:cs="Segoe UI"/>
          <w:sz w:val="18"/>
          <w:szCs w:val="18"/>
        </w:rPr>
        <w:footnoteRef/>
      </w:r>
      <w:r w:rsidRPr="00D77C59">
        <w:rPr>
          <w:rFonts w:cs="Segoe UI"/>
          <w:sz w:val="18"/>
          <w:szCs w:val="18"/>
        </w:rPr>
        <w:tab/>
      </w:r>
      <w:r w:rsidR="00B75A6B" w:rsidRPr="00D77C59">
        <w:rPr>
          <w:rFonts w:cs="Segoe UI"/>
          <w:sz w:val="18"/>
          <w:szCs w:val="18"/>
        </w:rPr>
        <w:t xml:space="preserve">V textu zmíněné </w:t>
      </w:r>
      <w:r w:rsidR="00653AAA" w:rsidRPr="00D77C59">
        <w:rPr>
          <w:rFonts w:cs="Segoe UI"/>
          <w:sz w:val="18"/>
          <w:szCs w:val="18"/>
        </w:rPr>
        <w:t>N</w:t>
      </w:r>
      <w:r w:rsidR="00B75A6B" w:rsidRPr="00D77C59">
        <w:rPr>
          <w:rFonts w:cs="Segoe UI"/>
          <w:sz w:val="18"/>
          <w:szCs w:val="18"/>
        </w:rPr>
        <w:t xml:space="preserve">ařízení (ES) č. 1005/2009 bylo zrušeno a nahrazeno </w:t>
      </w:r>
      <w:r w:rsidR="002129CB" w:rsidRPr="00D77C59">
        <w:rPr>
          <w:rFonts w:cs="Segoe UI"/>
          <w:sz w:val="18"/>
          <w:szCs w:val="18"/>
        </w:rPr>
        <w:t>Nařízení</w:t>
      </w:r>
      <w:r w:rsidR="00B75A6B" w:rsidRPr="00D77C59">
        <w:rPr>
          <w:rFonts w:cs="Segoe UI"/>
          <w:sz w:val="18"/>
          <w:szCs w:val="18"/>
        </w:rPr>
        <w:t>m</w:t>
      </w:r>
      <w:r w:rsidR="002129CB" w:rsidRPr="00D77C59">
        <w:rPr>
          <w:rFonts w:cs="Segoe UI"/>
          <w:sz w:val="18"/>
          <w:szCs w:val="18"/>
        </w:rPr>
        <w:t xml:space="preserve"> Evropského parlamentu a Rady (EU) 2024/590 ze dne 7. února 2024 o látkách, které poškozují ozonovou vrstvu (Úř. věst. L, 2024/590, 20.</w:t>
      </w:r>
      <w:r w:rsidR="003D29F1">
        <w:rPr>
          <w:rFonts w:cs="Segoe UI"/>
          <w:sz w:val="18"/>
          <w:szCs w:val="18"/>
        </w:rPr>
        <w:t> </w:t>
      </w:r>
      <w:r w:rsidR="002129CB" w:rsidRPr="00D77C59">
        <w:rPr>
          <w:rFonts w:cs="Segoe UI"/>
          <w:sz w:val="18"/>
          <w:szCs w:val="18"/>
        </w:rPr>
        <w:t>2.</w:t>
      </w:r>
      <w:r w:rsidR="003D29F1">
        <w:rPr>
          <w:rFonts w:cs="Segoe UI"/>
          <w:sz w:val="18"/>
          <w:szCs w:val="18"/>
        </w:rPr>
        <w:t> </w:t>
      </w:r>
      <w:r w:rsidR="002129CB" w:rsidRPr="00D77C59">
        <w:rPr>
          <w:rFonts w:cs="Segoe UI"/>
          <w:sz w:val="18"/>
          <w:szCs w:val="18"/>
        </w:rPr>
        <w:t>2024)</w:t>
      </w:r>
      <w:r w:rsidR="003D29F1">
        <w:rPr>
          <w:rFonts w:cs="Segoe UI"/>
          <w:sz w:val="18"/>
          <w:szCs w:val="18"/>
        </w:rPr>
        <w:t>.</w:t>
      </w:r>
    </w:p>
  </w:footnote>
  <w:footnote w:id="143">
    <w:p w14:paraId="4342CAC0" w14:textId="77777777" w:rsidR="006F000C" w:rsidRPr="00D77C59" w:rsidRDefault="006F000C">
      <w:pPr>
        <w:pStyle w:val="Textpoznpodarou"/>
        <w:jc w:val="left"/>
        <w:rPr>
          <w:rFonts w:cs="Segoe UI"/>
          <w:sz w:val="18"/>
          <w:szCs w:val="18"/>
        </w:rPr>
      </w:pPr>
      <w:r w:rsidRPr="00D77C59">
        <w:rPr>
          <w:rStyle w:val="Znakapoznpodarou"/>
          <w:rFonts w:cs="Segoe UI"/>
          <w:sz w:val="18"/>
          <w:szCs w:val="18"/>
        </w:rPr>
        <w:footnoteRef/>
      </w:r>
      <w:r w:rsidRPr="00D77C59">
        <w:rPr>
          <w:rFonts w:cs="Segoe UI"/>
          <w:sz w:val="18"/>
          <w:szCs w:val="18"/>
        </w:rPr>
        <w:tab/>
        <w:t>Směrnice Evropského parlamentu a Rady 2011/65/EU ze dne 8. června 2011 o omezení používání některých nebezpečných látek v elektrických a elektronických zařízeních (Úř. věst. L 174, 1.</w:t>
      </w:r>
      <w:r w:rsidR="003D29F1">
        <w:rPr>
          <w:rFonts w:cs="Segoe UI"/>
          <w:sz w:val="18"/>
          <w:szCs w:val="18"/>
        </w:rPr>
        <w:t> </w:t>
      </w:r>
      <w:r w:rsidRPr="00D77C59">
        <w:rPr>
          <w:rFonts w:cs="Segoe UI"/>
          <w:sz w:val="18"/>
          <w:szCs w:val="18"/>
        </w:rPr>
        <w:t>7.</w:t>
      </w:r>
      <w:r w:rsidR="003D29F1">
        <w:rPr>
          <w:rFonts w:cs="Segoe UI"/>
          <w:sz w:val="18"/>
          <w:szCs w:val="18"/>
        </w:rPr>
        <w:t> </w:t>
      </w:r>
      <w:r w:rsidRPr="00D77C59">
        <w:rPr>
          <w:rFonts w:cs="Segoe UI"/>
          <w:sz w:val="18"/>
          <w:szCs w:val="18"/>
        </w:rPr>
        <w:t>2011, s. 88).</w:t>
      </w:r>
    </w:p>
  </w:footnote>
  <w:footnote w:id="144">
    <w:p w14:paraId="74690CE6" w14:textId="77777777" w:rsidR="006F000C" w:rsidRPr="00D77C59" w:rsidRDefault="006F000C">
      <w:pPr>
        <w:pStyle w:val="Textpoznpodarou"/>
        <w:jc w:val="left"/>
        <w:rPr>
          <w:rFonts w:cs="Segoe UI"/>
          <w:sz w:val="18"/>
          <w:szCs w:val="18"/>
        </w:rPr>
      </w:pPr>
      <w:r w:rsidRPr="00D77C59">
        <w:rPr>
          <w:rStyle w:val="Znakapoznpodarou"/>
          <w:rFonts w:cs="Segoe UI"/>
          <w:sz w:val="18"/>
          <w:szCs w:val="18"/>
        </w:rPr>
        <w:footnoteRef/>
      </w:r>
      <w:r w:rsidRPr="00D77C59">
        <w:rPr>
          <w:rFonts w:cs="Segoe UI"/>
          <w:sz w:val="18"/>
          <w:szCs w:val="18"/>
        </w:rPr>
        <w:tab/>
        <w:t>Nařízení Evropského parlamentu a Rady (ES) č. 1907/2006 ze dne 18. prosince 2006 o registraci, hodnocení, povolování a omezování chemických látek, o zřízení Evropské agentury pro chemické látky, o změně směrnice 1999/45/ES a o zrušení nařízení Rady (EHS) č. 793/93, nařízení Komise (ES) č. 1488/94, směrnice Rady 76/769/EHS a směrnic Komise 91/155/EHS, 93/67/EHS, 93/105/ES a 2000/21/ES (Úř. věst. L 396, 30.</w:t>
      </w:r>
      <w:r w:rsidR="003D29F1">
        <w:rPr>
          <w:rFonts w:cs="Segoe UI"/>
          <w:sz w:val="18"/>
          <w:szCs w:val="18"/>
        </w:rPr>
        <w:t> </w:t>
      </w:r>
      <w:r w:rsidRPr="00D77C59">
        <w:rPr>
          <w:rFonts w:cs="Segoe UI"/>
          <w:sz w:val="18"/>
          <w:szCs w:val="18"/>
        </w:rPr>
        <w:t>12.</w:t>
      </w:r>
      <w:r w:rsidR="003D29F1">
        <w:rPr>
          <w:rFonts w:cs="Segoe UI"/>
          <w:sz w:val="18"/>
          <w:szCs w:val="18"/>
        </w:rPr>
        <w:t> </w:t>
      </w:r>
      <w:r w:rsidRPr="00D77C59">
        <w:rPr>
          <w:rFonts w:cs="Segoe UI"/>
          <w:sz w:val="18"/>
          <w:szCs w:val="18"/>
        </w:rPr>
        <w:t>2006, s. 1).</w:t>
      </w:r>
    </w:p>
  </w:footnote>
  <w:footnote w:id="145">
    <w:p w14:paraId="7D20DBFF" w14:textId="77777777" w:rsidR="006F000C" w:rsidRPr="00D77C59" w:rsidRDefault="006F000C">
      <w:pPr>
        <w:pStyle w:val="Textpoznpodarou"/>
        <w:jc w:val="left"/>
        <w:rPr>
          <w:rFonts w:cs="Segoe UI"/>
          <w:sz w:val="18"/>
          <w:szCs w:val="18"/>
        </w:rPr>
      </w:pPr>
      <w:r w:rsidRPr="00D77C59">
        <w:rPr>
          <w:rStyle w:val="Znakapoznpodarou"/>
          <w:rFonts w:cs="Segoe UI"/>
          <w:sz w:val="18"/>
          <w:szCs w:val="18"/>
        </w:rPr>
        <w:footnoteRef/>
      </w:r>
      <w:r w:rsidRPr="00D77C59">
        <w:rPr>
          <w:rFonts w:cs="Segoe UI"/>
          <w:sz w:val="18"/>
          <w:szCs w:val="18"/>
        </w:rPr>
        <w:tab/>
        <w:t>Platí pro barvy a laky, obklady stropů, podlahové krytiny, včetně použitých lepidel a tmelů, vnitřní izolaci a vnitřní povrchové úpravy, jako je ošetření proti vlhkosti a plísni.</w:t>
      </w:r>
    </w:p>
  </w:footnote>
  <w:footnote w:id="146">
    <w:p w14:paraId="70A4BCFF" w14:textId="77777777" w:rsidR="006F000C" w:rsidRPr="00D77C59" w:rsidRDefault="006F000C">
      <w:pPr>
        <w:pStyle w:val="Textpoznpodarou"/>
        <w:jc w:val="left"/>
        <w:rPr>
          <w:rFonts w:cs="Segoe UI"/>
          <w:sz w:val="18"/>
          <w:szCs w:val="18"/>
        </w:rPr>
      </w:pPr>
      <w:r w:rsidRPr="00D77C59">
        <w:rPr>
          <w:rStyle w:val="Znakapoznpodarou"/>
          <w:rFonts w:cs="Segoe UI"/>
          <w:sz w:val="18"/>
          <w:szCs w:val="18"/>
        </w:rPr>
        <w:footnoteRef/>
      </w:r>
      <w:r w:rsidRPr="00D77C59">
        <w:rPr>
          <w:rFonts w:cs="Segoe UI"/>
          <w:sz w:val="18"/>
          <w:szCs w:val="18"/>
        </w:rPr>
        <w:tab/>
        <w:t>CEN/TS 16516: 2013, Stavební výrobky – Posuzování uvolňování nebezpečných látek – Stanovení emisí do vnitřního ovzduší.</w:t>
      </w:r>
    </w:p>
  </w:footnote>
  <w:footnote w:id="147">
    <w:p w14:paraId="7AF36A1C" w14:textId="77777777" w:rsidR="006F000C" w:rsidRPr="00D77C59" w:rsidRDefault="006F000C">
      <w:pPr>
        <w:pStyle w:val="Textpoznpodarou"/>
        <w:jc w:val="left"/>
        <w:rPr>
          <w:rFonts w:cs="Segoe UI"/>
          <w:sz w:val="18"/>
          <w:szCs w:val="18"/>
        </w:rPr>
      </w:pPr>
      <w:r w:rsidRPr="00D77C59">
        <w:rPr>
          <w:rStyle w:val="Znakapoznpodarou"/>
          <w:rFonts w:cs="Segoe UI"/>
          <w:sz w:val="18"/>
          <w:szCs w:val="18"/>
        </w:rPr>
        <w:footnoteRef/>
      </w:r>
      <w:r w:rsidRPr="00D77C59">
        <w:rPr>
          <w:rFonts w:cs="Segoe UI"/>
          <w:sz w:val="18"/>
          <w:szCs w:val="18"/>
        </w:rPr>
        <w:tab/>
        <w:t>ISO 16000-3:2011, Vnitřní ovzduší – Část 3: Stanovení formaldehydu a dalších karbonylových sloučenin ve vnitřním ovzduší a ve zkušební komoře – Aktivní metoda odběru vzorků (verze ze dne [datum přijetí]: https://www.iso.org/standard/51812.html).</w:t>
      </w:r>
    </w:p>
  </w:footnote>
  <w:footnote w:id="148">
    <w:p w14:paraId="673AAE87" w14:textId="77777777" w:rsidR="006F000C" w:rsidRPr="00D77C59" w:rsidRDefault="006F000C">
      <w:pPr>
        <w:pStyle w:val="Textpoznpodarou"/>
        <w:jc w:val="left"/>
        <w:rPr>
          <w:rFonts w:cs="Segoe UI"/>
          <w:sz w:val="18"/>
          <w:szCs w:val="18"/>
        </w:rPr>
      </w:pPr>
      <w:r w:rsidRPr="00D77C59">
        <w:rPr>
          <w:rStyle w:val="Znakapoznpodarou"/>
          <w:rFonts w:cs="Segoe UI"/>
          <w:sz w:val="18"/>
          <w:szCs w:val="18"/>
        </w:rPr>
        <w:footnoteRef/>
      </w:r>
      <w:r w:rsidRPr="00D77C59">
        <w:rPr>
          <w:rFonts w:cs="Segoe UI"/>
          <w:sz w:val="18"/>
          <w:szCs w:val="18"/>
        </w:rPr>
        <w:tab/>
        <w:t>Mezní hodnoty emisí pro karcinogenní těkavé organické sloučeniny se vztahují k 28dennímu zkušebnímu období.</w:t>
      </w:r>
    </w:p>
  </w:footnote>
  <w:footnote w:id="149">
    <w:p w14:paraId="514662B5" w14:textId="77777777" w:rsidR="006F000C" w:rsidRPr="00D77C59" w:rsidRDefault="006F000C">
      <w:pPr>
        <w:pStyle w:val="Textpoznpodarou"/>
        <w:jc w:val="left"/>
        <w:rPr>
          <w:rFonts w:cs="Segoe UI"/>
          <w:sz w:val="18"/>
          <w:szCs w:val="18"/>
        </w:rPr>
      </w:pPr>
      <w:r w:rsidRPr="00D77C59">
        <w:rPr>
          <w:rStyle w:val="Znakapoznpodarou"/>
          <w:rFonts w:cs="Segoe UI"/>
          <w:sz w:val="18"/>
          <w:szCs w:val="18"/>
        </w:rPr>
        <w:footnoteRef/>
      </w:r>
      <w:r w:rsidRPr="00D77C59">
        <w:rPr>
          <w:rFonts w:cs="Segoe UI"/>
          <w:sz w:val="18"/>
          <w:szCs w:val="18"/>
        </w:rPr>
        <w:tab/>
        <w:t>Platí pro barvy a laky, obklady stropů, podlahové krytiny, včetně použitých lepidel a tmelů, vnitřní izolaci a vnitřní povrchové úpravy, jako je ošetření proti vlhkosti a plísni.</w:t>
      </w:r>
    </w:p>
  </w:footnote>
  <w:footnote w:id="150">
    <w:p w14:paraId="1445A8A7" w14:textId="77777777" w:rsidR="006F000C" w:rsidRPr="00D77C59" w:rsidRDefault="006F000C">
      <w:pPr>
        <w:pStyle w:val="Textpoznpodarou"/>
        <w:jc w:val="left"/>
        <w:rPr>
          <w:rFonts w:cs="Segoe UI"/>
          <w:sz w:val="18"/>
          <w:szCs w:val="18"/>
        </w:rPr>
      </w:pPr>
      <w:r w:rsidRPr="00D77C59">
        <w:rPr>
          <w:rStyle w:val="Znakapoznpodarou"/>
          <w:rFonts w:cs="Segoe UI"/>
          <w:sz w:val="18"/>
          <w:szCs w:val="18"/>
        </w:rPr>
        <w:footnoteRef/>
      </w:r>
      <w:r w:rsidRPr="00D77C59">
        <w:rPr>
          <w:rFonts w:cs="Segoe UI"/>
          <w:sz w:val="18"/>
          <w:szCs w:val="18"/>
        </w:rPr>
        <w:tab/>
        <w:t>CEN/TS 16516: 2013, Stavební výrobky – Posuzování uvolňování nebezpečných látek – Stanovení emisí do vnitřního ovzduší.</w:t>
      </w:r>
    </w:p>
  </w:footnote>
  <w:footnote w:id="151">
    <w:p w14:paraId="4F63BB8D" w14:textId="77777777" w:rsidR="006F000C" w:rsidRPr="00D77C59" w:rsidRDefault="006F000C">
      <w:pPr>
        <w:pStyle w:val="Textpoznpodarou"/>
        <w:jc w:val="left"/>
        <w:rPr>
          <w:rFonts w:cs="Segoe UI"/>
          <w:sz w:val="18"/>
          <w:szCs w:val="18"/>
        </w:rPr>
      </w:pPr>
      <w:r w:rsidRPr="00D77C59">
        <w:rPr>
          <w:rStyle w:val="Znakapoznpodarou"/>
          <w:rFonts w:cs="Segoe UI"/>
          <w:sz w:val="18"/>
          <w:szCs w:val="18"/>
        </w:rPr>
        <w:footnoteRef/>
      </w:r>
      <w:r w:rsidRPr="00D77C59">
        <w:rPr>
          <w:rFonts w:cs="Segoe UI"/>
          <w:sz w:val="18"/>
          <w:szCs w:val="18"/>
        </w:rPr>
        <w:tab/>
        <w:t>ISO 16000-3:2011, Vnitřní ovzduší – Část 3: Stanovení formaldehydu a dalších karbonylových sloučenin ve vnitřním ovzduší a ve zkušební komoře – Aktivní metoda odběru vzorků (verze ze dne [datum přijetí]: https://www.iso.org/standard/51812.html).</w:t>
      </w:r>
    </w:p>
  </w:footnote>
  <w:footnote w:id="152">
    <w:p w14:paraId="401EE27F" w14:textId="77777777" w:rsidR="006F000C" w:rsidRPr="00D77C59" w:rsidRDefault="006F000C">
      <w:pPr>
        <w:pStyle w:val="Textpoznpodarou"/>
        <w:jc w:val="left"/>
        <w:rPr>
          <w:rFonts w:cs="Segoe UI"/>
          <w:sz w:val="18"/>
          <w:szCs w:val="18"/>
        </w:rPr>
      </w:pPr>
      <w:r w:rsidRPr="00D77C59">
        <w:rPr>
          <w:rStyle w:val="Znakapoznpodarou"/>
          <w:rFonts w:cs="Segoe UI"/>
          <w:sz w:val="18"/>
          <w:szCs w:val="18"/>
        </w:rPr>
        <w:footnoteRef/>
      </w:r>
      <w:r w:rsidRPr="00D77C59">
        <w:rPr>
          <w:rFonts w:cs="Segoe UI"/>
          <w:sz w:val="18"/>
          <w:szCs w:val="18"/>
        </w:rPr>
        <w:tab/>
        <w:t>Mezní hodnoty emisí pro karcinogenní těkavé organické sloučeniny se vztahují k 28dennímu zkušebnímu období.</w:t>
      </w:r>
    </w:p>
  </w:footnote>
  <w:footnote w:id="153">
    <w:p w14:paraId="7BE3E68B" w14:textId="57C9C8C6" w:rsidR="006F000C" w:rsidRPr="00D77C59" w:rsidRDefault="006F000C">
      <w:pPr>
        <w:pStyle w:val="Textpoznpodarou"/>
        <w:jc w:val="left"/>
        <w:rPr>
          <w:rFonts w:cs="Segoe UI"/>
          <w:sz w:val="18"/>
          <w:szCs w:val="18"/>
        </w:rPr>
      </w:pPr>
      <w:r w:rsidRPr="00D77C59">
        <w:rPr>
          <w:rStyle w:val="Znakapoznpodarou"/>
          <w:rFonts w:cs="Segoe UI"/>
          <w:sz w:val="18"/>
          <w:szCs w:val="18"/>
        </w:rPr>
        <w:footnoteRef/>
      </w:r>
      <w:r w:rsidR="00E73232">
        <w:rPr>
          <w:rFonts w:cs="Segoe UI"/>
          <w:sz w:val="18"/>
          <w:szCs w:val="18"/>
        </w:rPr>
        <w:tab/>
      </w:r>
      <w:hyperlink r:id="rId51" w:history="1">
        <w:r w:rsidR="00E73232" w:rsidRPr="00E73232">
          <w:rPr>
            <w:rStyle w:val="Hypertextovodkaz"/>
            <w:rFonts w:cs="Segoe UI"/>
            <w:sz w:val="18"/>
            <w:szCs w:val="18"/>
          </w:rPr>
          <w:t>https://www.sekm.cz/portal/</w:t>
        </w:r>
      </w:hyperlink>
      <w:r w:rsidRPr="00D77C59">
        <w:rPr>
          <w:rFonts w:cs="Segoe UI"/>
          <w:sz w:val="18"/>
          <w:szCs w:val="18"/>
        </w:rPr>
        <w:t xml:space="preserve"> </w:t>
      </w:r>
    </w:p>
  </w:footnote>
  <w:footnote w:id="154">
    <w:p w14:paraId="6659ECB0" w14:textId="77777777" w:rsidR="006F000C" w:rsidRPr="00D77C59" w:rsidRDefault="006F000C" w:rsidP="008C3936">
      <w:pPr>
        <w:spacing w:after="0" w:line="240" w:lineRule="auto"/>
        <w:jc w:val="left"/>
        <w:rPr>
          <w:rFonts w:cs="Segoe UI"/>
          <w:sz w:val="18"/>
          <w:szCs w:val="18"/>
        </w:rPr>
      </w:pPr>
      <w:r w:rsidRPr="00D77C59">
        <w:rPr>
          <w:rStyle w:val="Znakapoznpodarou"/>
          <w:rFonts w:cs="Segoe UI"/>
          <w:sz w:val="18"/>
          <w:szCs w:val="18"/>
        </w:rPr>
        <w:footnoteRef/>
      </w:r>
      <w:r w:rsidRPr="00D77C59">
        <w:rPr>
          <w:rFonts w:cs="Segoe UI"/>
          <w:sz w:val="18"/>
          <w:szCs w:val="18"/>
        </w:rPr>
        <w:t xml:space="preserve"> Metodický pokyn ke stanovování podmínek k omezení emisí ze stavebních strojů a</w:t>
      </w:r>
    </w:p>
    <w:p w14:paraId="07327215" w14:textId="3C35153A" w:rsidR="006F000C" w:rsidRPr="00D77C59" w:rsidRDefault="006F000C" w:rsidP="00BF3921">
      <w:pPr>
        <w:spacing w:after="0" w:line="240" w:lineRule="auto"/>
        <w:jc w:val="left"/>
        <w:rPr>
          <w:rFonts w:cs="Segoe UI"/>
          <w:sz w:val="18"/>
          <w:szCs w:val="18"/>
        </w:rPr>
      </w:pPr>
      <w:r w:rsidRPr="00D77C59">
        <w:rPr>
          <w:rFonts w:cs="Segoe UI"/>
          <w:sz w:val="18"/>
          <w:szCs w:val="18"/>
        </w:rPr>
        <w:t>z dalších stavebních činností (</w:t>
      </w:r>
      <w:r w:rsidR="00B309F6" w:rsidRPr="00D77C59">
        <w:rPr>
          <w:rFonts w:cs="Segoe UI"/>
          <w:sz w:val="18"/>
          <w:szCs w:val="18"/>
        </w:rPr>
        <w:t>https://mzp.gov.cz/system/files/2024-11/OOO-MP_omezovani_prasnosti_ze_stavebni_cinnosti-20190918.pdf</w:t>
      </w:r>
      <w:r w:rsidRPr="00D77C59">
        <w:rPr>
          <w:rFonts w:cs="Segoe UI"/>
          <w:sz w:val="18"/>
          <w:szCs w:val="18"/>
        </w:rPr>
        <w:t>)</w:t>
      </w:r>
    </w:p>
  </w:footnote>
  <w:footnote w:id="155">
    <w:p w14:paraId="007D1797" w14:textId="66541D0A" w:rsidR="006F000C" w:rsidRPr="00D77C59" w:rsidRDefault="006F000C">
      <w:pPr>
        <w:pStyle w:val="Textpoznpodarou"/>
        <w:rPr>
          <w:rFonts w:cs="Segoe UI"/>
          <w:sz w:val="18"/>
          <w:szCs w:val="18"/>
        </w:rPr>
      </w:pPr>
      <w:r w:rsidRPr="00D77C59">
        <w:rPr>
          <w:rStyle w:val="Znakapoznpodarou"/>
          <w:rFonts w:cs="Segoe UI"/>
          <w:sz w:val="18"/>
          <w:szCs w:val="18"/>
        </w:rPr>
        <w:footnoteRef/>
      </w:r>
      <w:r w:rsidRPr="00D77C59">
        <w:rPr>
          <w:rFonts w:cs="Segoe UI"/>
          <w:sz w:val="18"/>
          <w:szCs w:val="18"/>
        </w:rPr>
        <w:t xml:space="preserve"> Průvodce udržitelností a zásadou DNSH pro budovy (</w:t>
      </w:r>
      <w:hyperlink r:id="rId52" w:history="1">
        <w:r w:rsidRPr="00D77C59">
          <w:rPr>
            <w:rStyle w:val="Hypertextovodkaz"/>
            <w:rFonts w:cs="Segoe UI"/>
            <w:sz w:val="18"/>
            <w:szCs w:val="18"/>
          </w:rPr>
          <w:t>https://sfpi.cz/komponenta-4-1/assets/documents/SFPI_Pr%C5%AFvodce%20udr%C5%BEitelnost%C3%AD%20a%20z%C3%A1sadou%20DNSH%20pro%20budovy_2024-09.pdf</w:t>
        </w:r>
      </w:hyperlink>
      <w:r w:rsidRPr="00D77C59">
        <w:rPr>
          <w:rFonts w:cs="Segoe UI"/>
          <w:sz w:val="18"/>
          <w:szCs w:val="18"/>
        </w:rPr>
        <w:t xml:space="preserve">, </w:t>
      </w:r>
      <w:r w:rsidR="00E73232">
        <w:rPr>
          <w:rFonts w:cs="Segoe UI"/>
          <w:sz w:val="18"/>
          <w:szCs w:val="18"/>
        </w:rPr>
        <w:t>(</w:t>
      </w:r>
      <w:r w:rsidRPr="00D77C59">
        <w:rPr>
          <w:rFonts w:cs="Segoe UI"/>
          <w:sz w:val="18"/>
          <w:szCs w:val="18"/>
        </w:rPr>
        <w:t>str. 39)</w:t>
      </w:r>
      <w:r w:rsidR="00615118">
        <w:rPr>
          <w:rFonts w:cs="Segoe UI"/>
          <w:sz w:val="18"/>
          <w:szCs w:val="18"/>
        </w:rPr>
        <w:t>.</w:t>
      </w:r>
    </w:p>
  </w:footnote>
  <w:footnote w:id="156">
    <w:p w14:paraId="37C22F77" w14:textId="43EAFA73" w:rsidR="003A4B0B" w:rsidRPr="00D77C59" w:rsidRDefault="003A4B0B" w:rsidP="009B1BC4">
      <w:pPr>
        <w:pStyle w:val="Textpoznpodarou"/>
        <w:rPr>
          <w:rFonts w:cs="Segoe UI"/>
          <w:sz w:val="18"/>
          <w:szCs w:val="18"/>
        </w:rPr>
      </w:pPr>
      <w:r w:rsidRPr="00D77C59">
        <w:rPr>
          <w:rStyle w:val="Znakapoznpodarou"/>
          <w:rFonts w:cs="Segoe UI"/>
          <w:sz w:val="18"/>
          <w:szCs w:val="18"/>
        </w:rPr>
        <w:footnoteRef/>
      </w:r>
      <w:r w:rsidRPr="00D77C59">
        <w:rPr>
          <w:rFonts w:cs="Segoe UI"/>
          <w:sz w:val="18"/>
          <w:szCs w:val="18"/>
        </w:rPr>
        <w:t xml:space="preserve"> Pro tyto účely je možné konzultovat kandidátský seznam látek vzbuzujících mimořádné obavy (SVHC) obsahující látky, které mohou mít vážný dopad na lidské zdraví nebo na životní prostředí: </w:t>
      </w:r>
      <w:hyperlink r:id="rId53" w:history="1">
        <w:r w:rsidRPr="00D77C59">
          <w:rPr>
            <w:rStyle w:val="Hypertextovodkaz"/>
            <w:rFonts w:cs="Segoe UI"/>
            <w:sz w:val="18"/>
            <w:szCs w:val="18"/>
          </w:rPr>
          <w:t>https://echa.europa.eu/cs/candidate-list-table</w:t>
        </w:r>
      </w:hyperlink>
      <w:r w:rsidR="00F72BA4">
        <w:rPr>
          <w:rFonts w:cs="Segoe UI"/>
          <w:sz w:val="18"/>
          <w:szCs w:val="18"/>
        </w:rPr>
        <w:t>.</w:t>
      </w:r>
    </w:p>
  </w:footnote>
  <w:footnote w:id="157">
    <w:p w14:paraId="591760E7" w14:textId="77777777" w:rsidR="0042372D" w:rsidRPr="00D77C59" w:rsidRDefault="0042372D">
      <w:pPr>
        <w:pStyle w:val="Textpoznpodarou"/>
        <w:rPr>
          <w:rFonts w:cs="Segoe UI"/>
          <w:sz w:val="18"/>
          <w:szCs w:val="18"/>
        </w:rPr>
      </w:pPr>
      <w:r w:rsidRPr="00D77C59">
        <w:rPr>
          <w:rStyle w:val="Znakapoznpodarou"/>
          <w:rFonts w:cs="Segoe UI"/>
          <w:sz w:val="18"/>
          <w:szCs w:val="18"/>
        </w:rPr>
        <w:footnoteRef/>
      </w:r>
      <w:r w:rsidRPr="00D77C59">
        <w:rPr>
          <w:rFonts w:cs="Segoe UI"/>
          <w:sz w:val="18"/>
          <w:szCs w:val="18"/>
        </w:rPr>
        <w:t xml:space="preserve"> Směrnice Rady 92/43/EHS ze dne 21. května 1992 o ochraně přírodních stanovišť, volně žijících živočichů a planě rostoucích rostlin</w:t>
      </w:r>
    </w:p>
  </w:footnote>
  <w:footnote w:id="158">
    <w:p w14:paraId="70ED5F8C" w14:textId="2896E43F" w:rsidR="0042372D" w:rsidRPr="00D77C59" w:rsidRDefault="0042372D">
      <w:pPr>
        <w:pStyle w:val="Textpoznpodarou"/>
        <w:jc w:val="left"/>
        <w:rPr>
          <w:rFonts w:cs="Segoe UI"/>
          <w:sz w:val="18"/>
          <w:szCs w:val="18"/>
        </w:rPr>
      </w:pPr>
      <w:r w:rsidRPr="00D77C59">
        <w:rPr>
          <w:rStyle w:val="Znakapoznpodarou"/>
          <w:rFonts w:cs="Segoe UI"/>
          <w:sz w:val="18"/>
          <w:szCs w:val="18"/>
        </w:rPr>
        <w:footnoteRef/>
      </w:r>
      <w:r w:rsidR="00F72BA4">
        <w:rPr>
          <w:rFonts w:cs="Segoe UI"/>
          <w:sz w:val="18"/>
          <w:szCs w:val="18"/>
        </w:rPr>
        <w:t> </w:t>
      </w:r>
      <w:hyperlink r:id="rId54" w:anchor="/" w:history="1">
        <w:r w:rsidRPr="00D77C59">
          <w:rPr>
            <w:rStyle w:val="Hypertextovodkaz"/>
            <w:rFonts w:cs="Segoe UI"/>
            <w:sz w:val="18"/>
            <w:szCs w:val="18"/>
          </w:rPr>
          <w:t>https://portal.nature.cz/cervene-seznamy#/</w:t>
        </w:r>
      </w:hyperlink>
      <w:r w:rsidR="00F72BA4">
        <w:t>.</w:t>
      </w:r>
    </w:p>
  </w:footnote>
  <w:footnote w:id="159">
    <w:p w14:paraId="5D7771B2" w14:textId="3FBF0FE4" w:rsidR="0042372D" w:rsidRPr="00D77C59" w:rsidRDefault="0042372D">
      <w:pPr>
        <w:pStyle w:val="Textpoznpodarou"/>
        <w:jc w:val="left"/>
        <w:rPr>
          <w:rFonts w:cs="Segoe UI"/>
          <w:sz w:val="18"/>
          <w:szCs w:val="18"/>
        </w:rPr>
      </w:pPr>
      <w:r w:rsidRPr="00D77C59">
        <w:rPr>
          <w:rStyle w:val="Znakapoznpodarou"/>
          <w:rFonts w:cs="Segoe UI"/>
          <w:sz w:val="18"/>
          <w:szCs w:val="18"/>
        </w:rPr>
        <w:footnoteRef/>
      </w:r>
      <w:r w:rsidR="00F72BA4">
        <w:rPr>
          <w:rFonts w:cs="Segoe UI"/>
          <w:sz w:val="18"/>
          <w:szCs w:val="18"/>
        </w:rPr>
        <w:t> </w:t>
      </w:r>
      <w:r w:rsidRPr="00D77C59">
        <w:rPr>
          <w:rFonts w:cs="Segoe UI"/>
          <w:sz w:val="18"/>
          <w:szCs w:val="18"/>
        </w:rPr>
        <w:t xml:space="preserve">Půda o rozloze větší než 0,5 hektaru se stromy vyššími než pět metrů a korunovým zápojem tvořícím více než 10 % nebo se stromy schopnými dosáhnout těchto limitů </w:t>
      </w:r>
      <w:r w:rsidRPr="00D77C59">
        <w:rPr>
          <w:rFonts w:cs="Segoe UI"/>
          <w:i/>
          <w:iCs/>
          <w:sz w:val="18"/>
          <w:szCs w:val="18"/>
        </w:rPr>
        <w:t>in situ</w:t>
      </w:r>
      <w:r w:rsidRPr="00D77C59">
        <w:rPr>
          <w:rFonts w:cs="Segoe UI"/>
          <w:sz w:val="18"/>
          <w:szCs w:val="18"/>
        </w:rPr>
        <w:t xml:space="preserve">. Nezahrnuje území, u něhož převažuje zemědělské nebo městské využití. Posouzení globálních lesních zdrojů FAO 2020. Pojmy a definice (verze ze dne [datum přijetí]: </w:t>
      </w:r>
      <w:hyperlink r:id="rId55" w:tooltip="http://www.fao.org/3/I8661EN/i8661en.pdf" w:history="1">
        <w:r w:rsidRPr="00D77C59">
          <w:rPr>
            <w:rStyle w:val="Hypertextovodkaz"/>
            <w:rFonts w:cs="Segoe UI"/>
            <w:sz w:val="18"/>
            <w:szCs w:val="18"/>
          </w:rPr>
          <w:t>http://www.fao.org/3/I8661EN/i8661en.pdf</w:t>
        </w:r>
      </w:hyperlink>
      <w:r w:rsidRPr="00D77C59">
        <w:rPr>
          <w:rFonts w:cs="Segoe UI"/>
          <w:sz w:val="18"/>
          <w:szCs w:val="18"/>
        </w:rPr>
        <w:t>).</w:t>
      </w:r>
    </w:p>
  </w:footnote>
  <w:footnote w:id="160">
    <w:p w14:paraId="4A51B2F9" w14:textId="77777777" w:rsidR="0042372D" w:rsidRPr="00D77C59" w:rsidRDefault="0042372D">
      <w:pPr>
        <w:pStyle w:val="Textpoznpodarou"/>
        <w:rPr>
          <w:rFonts w:cs="Segoe UI"/>
          <w:sz w:val="18"/>
          <w:szCs w:val="18"/>
        </w:rPr>
      </w:pPr>
      <w:r w:rsidRPr="00D77C59">
        <w:rPr>
          <w:rStyle w:val="Znakapoznpodarou"/>
          <w:rFonts w:cs="Segoe UI"/>
          <w:sz w:val="18"/>
          <w:szCs w:val="18"/>
        </w:rPr>
        <w:footnoteRef/>
      </w:r>
      <w:r w:rsidRPr="00D77C59">
        <w:rPr>
          <w:rFonts w:cs="Segoe UI"/>
          <w:sz w:val="18"/>
          <w:szCs w:val="18"/>
        </w:rPr>
        <w:t xml:space="preserve"> Požadování dokládání uvedené podmínky ze strany administrátorů EU fondů se nevztahuje na jednoduché stavby dle přílohy 2 stavebního zákona č. 283/2021 Sb</w:t>
      </w:r>
      <w:r w:rsidR="00F72BA4">
        <w:rPr>
          <w:rFonts w:cs="Segoe UI"/>
          <w:sz w:val="18"/>
          <w:szCs w:val="18"/>
        </w:rPr>
        <w:t>.</w:t>
      </w:r>
    </w:p>
  </w:footnote>
  <w:footnote w:id="161">
    <w:p w14:paraId="3B30366C" w14:textId="1FD170DA" w:rsidR="0042372D" w:rsidRPr="00D77C59" w:rsidRDefault="0042372D">
      <w:pPr>
        <w:pStyle w:val="Textpoznpodarou"/>
        <w:jc w:val="left"/>
        <w:rPr>
          <w:rFonts w:cs="Segoe UI"/>
          <w:sz w:val="18"/>
          <w:szCs w:val="18"/>
        </w:rPr>
      </w:pPr>
      <w:r w:rsidRPr="00D77C59">
        <w:rPr>
          <w:rStyle w:val="Znakapoznpodarou"/>
          <w:rFonts w:cs="Segoe UI"/>
          <w:sz w:val="18"/>
          <w:szCs w:val="18"/>
        </w:rPr>
        <w:footnoteRef/>
      </w:r>
      <w:r w:rsidR="00F72BA4">
        <w:rPr>
          <w:rFonts w:cs="Segoe UI"/>
          <w:sz w:val="18"/>
          <w:szCs w:val="18"/>
        </w:rPr>
        <w:t> </w:t>
      </w:r>
      <w:r w:rsidRPr="00D77C59">
        <w:rPr>
          <w:rFonts w:cs="Segoe UI"/>
          <w:sz w:val="18"/>
          <w:szCs w:val="18"/>
        </w:rPr>
        <w:t xml:space="preserve">JRC ESDCA, LUCAS: rámcový průzkum využití půdy a krajinného pokryvu (verze ze dne [datum přijetí]: </w:t>
      </w:r>
      <w:hyperlink r:id="rId56" w:history="1">
        <w:r w:rsidRPr="00D77C59">
          <w:rPr>
            <w:rStyle w:val="Hypertextovodkaz"/>
            <w:rFonts w:cs="Segoe UI"/>
            <w:sz w:val="18"/>
            <w:szCs w:val="18"/>
          </w:rPr>
          <w:t>https://esdac.jrc.ec.europa.eu/projects/lucas</w:t>
        </w:r>
      </w:hyperlink>
      <w:r w:rsidRPr="00D77C59">
        <w:rPr>
          <w:rFonts w:cs="Segoe UI"/>
          <w:sz w:val="18"/>
          <w:szCs w:val="18"/>
        </w:rPr>
        <w:t>).</w:t>
      </w:r>
    </w:p>
  </w:footnote>
  <w:footnote w:id="162">
    <w:p w14:paraId="43A49A7C" w14:textId="40E31890" w:rsidR="0042372D" w:rsidRPr="00D77C59" w:rsidRDefault="0042372D">
      <w:pPr>
        <w:pStyle w:val="Textpoznpodarou"/>
        <w:jc w:val="left"/>
        <w:rPr>
          <w:rFonts w:cs="Segoe UI"/>
          <w:sz w:val="18"/>
          <w:szCs w:val="18"/>
        </w:rPr>
      </w:pPr>
      <w:r w:rsidRPr="00D77C59">
        <w:rPr>
          <w:rStyle w:val="Znakapoznpodarou"/>
          <w:rFonts w:cs="Segoe UI"/>
          <w:sz w:val="18"/>
          <w:szCs w:val="18"/>
        </w:rPr>
        <w:footnoteRef/>
      </w:r>
      <w:r w:rsidR="00F72BA4">
        <w:rPr>
          <w:rFonts w:cs="Segoe UI"/>
          <w:sz w:val="18"/>
          <w:szCs w:val="18"/>
        </w:rPr>
        <w:t> </w:t>
      </w:r>
      <w:r w:rsidRPr="00D77C59">
        <w:rPr>
          <w:rFonts w:cs="Segoe UI"/>
          <w:color w:val="080100"/>
          <w:sz w:val="18"/>
          <w:szCs w:val="18"/>
          <w:shd w:val="clear" w:color="auto" w:fill="FFFFFF"/>
        </w:rPr>
        <w:t xml:space="preserve">IUCN, </w:t>
      </w:r>
      <w:r w:rsidRPr="00D77C59">
        <w:rPr>
          <w:rStyle w:val="Zdraznn"/>
          <w:rFonts w:cs="Segoe UI"/>
          <w:color w:val="080100"/>
          <w:sz w:val="18"/>
          <w:szCs w:val="18"/>
        </w:rPr>
        <w:t xml:space="preserve">Evropský červený seznam ohrožených druhů IUCN (verze ze dne [datum přijetí]: </w:t>
      </w:r>
      <w:hyperlink r:id="rId57" w:history="1">
        <w:r w:rsidRPr="00D77C59">
          <w:rPr>
            <w:rStyle w:val="Hypertextovodkaz"/>
            <w:rFonts w:cs="Segoe UI"/>
            <w:sz w:val="18"/>
            <w:szCs w:val="18"/>
            <w:shd w:val="clear" w:color="auto" w:fill="FFFFFF"/>
          </w:rPr>
          <w:t>https://www.iucn.org/regions/europe/our-work/biodiversity-conservation/european-red-list-threatened-species</w:t>
        </w:r>
      </w:hyperlink>
      <w:r w:rsidRPr="00D77C59">
        <w:rPr>
          <w:rFonts w:cs="Segoe UI"/>
          <w:color w:val="080100"/>
          <w:sz w:val="18"/>
          <w:szCs w:val="18"/>
          <w:shd w:val="clear" w:color="auto" w:fill="FFFFFF"/>
        </w:rPr>
        <w:t>).</w:t>
      </w:r>
    </w:p>
  </w:footnote>
  <w:footnote w:id="163">
    <w:p w14:paraId="1CC76B4E" w14:textId="63321D15" w:rsidR="0042372D" w:rsidRPr="00D77C59" w:rsidRDefault="0042372D">
      <w:pPr>
        <w:pStyle w:val="Textpoznpodarou"/>
        <w:jc w:val="left"/>
        <w:rPr>
          <w:rFonts w:cs="Segoe UI"/>
          <w:sz w:val="18"/>
          <w:szCs w:val="18"/>
        </w:rPr>
      </w:pPr>
      <w:r w:rsidRPr="00D77C59">
        <w:rPr>
          <w:rStyle w:val="Znakapoznpodarou"/>
          <w:rFonts w:cs="Segoe UI"/>
          <w:sz w:val="18"/>
          <w:szCs w:val="18"/>
        </w:rPr>
        <w:footnoteRef/>
      </w:r>
      <w:r w:rsidR="00F72BA4">
        <w:rPr>
          <w:rFonts w:cs="Segoe UI"/>
          <w:sz w:val="18"/>
          <w:szCs w:val="18"/>
        </w:rPr>
        <w:t> </w:t>
      </w:r>
      <w:r w:rsidRPr="00D77C59">
        <w:rPr>
          <w:rFonts w:cs="Segoe UI"/>
          <w:color w:val="080100"/>
          <w:sz w:val="18"/>
          <w:szCs w:val="18"/>
          <w:shd w:val="clear" w:color="auto" w:fill="FFFFFF"/>
        </w:rPr>
        <w:t xml:space="preserve">IUCN, </w:t>
      </w:r>
      <w:r w:rsidRPr="00D77C59">
        <w:rPr>
          <w:rStyle w:val="Zdraznn"/>
          <w:rFonts w:cs="Segoe UI"/>
          <w:color w:val="080100"/>
          <w:sz w:val="18"/>
          <w:szCs w:val="18"/>
        </w:rPr>
        <w:t xml:space="preserve">Červený seznam ohrožených druhů IUCN (verze ze dne [datum přijetí]: </w:t>
      </w:r>
      <w:r w:rsidRPr="00D77C59">
        <w:rPr>
          <w:rFonts w:cs="Segoe UI"/>
          <w:color w:val="080100"/>
          <w:sz w:val="18"/>
          <w:szCs w:val="18"/>
          <w:shd w:val="clear" w:color="auto" w:fill="FFFFFF"/>
        </w:rPr>
        <w:t>https://www.iucnredlist.org).</w:t>
      </w:r>
    </w:p>
  </w:footnote>
  <w:footnote w:id="164">
    <w:p w14:paraId="296C4429" w14:textId="1492A77E" w:rsidR="0042372D" w:rsidRPr="00D77C59" w:rsidRDefault="0042372D">
      <w:pPr>
        <w:pStyle w:val="Textpoznpodarou"/>
        <w:jc w:val="left"/>
        <w:rPr>
          <w:rFonts w:cs="Segoe UI"/>
          <w:sz w:val="18"/>
          <w:szCs w:val="18"/>
        </w:rPr>
      </w:pPr>
      <w:r w:rsidRPr="00D77C59">
        <w:rPr>
          <w:rStyle w:val="Znakapoznpodarou"/>
          <w:rFonts w:cs="Segoe UI"/>
          <w:sz w:val="18"/>
          <w:szCs w:val="18"/>
        </w:rPr>
        <w:footnoteRef/>
      </w:r>
      <w:r w:rsidR="00F72BA4">
        <w:rPr>
          <w:rFonts w:cs="Segoe UI"/>
          <w:sz w:val="18"/>
          <w:szCs w:val="18"/>
        </w:rPr>
        <w:t xml:space="preserve"> </w:t>
      </w:r>
      <w:r w:rsidRPr="00D77C59">
        <w:rPr>
          <w:rFonts w:cs="Segoe UI"/>
          <w:sz w:val="18"/>
          <w:szCs w:val="18"/>
        </w:rPr>
        <w:t xml:space="preserve">Půda o rozloze větší než 0,5 hektaru se stromy vyššími než pět metrů a korunovým zápojem tvořícím více než 10 % nebo se stromy schopnými dosáhnout těchto limitů </w:t>
      </w:r>
      <w:r w:rsidRPr="00D77C59">
        <w:rPr>
          <w:rFonts w:cs="Segoe UI"/>
          <w:i/>
          <w:iCs/>
          <w:sz w:val="18"/>
          <w:szCs w:val="18"/>
        </w:rPr>
        <w:t>in situ</w:t>
      </w:r>
      <w:r w:rsidRPr="00D77C59">
        <w:rPr>
          <w:rFonts w:cs="Segoe UI"/>
          <w:sz w:val="18"/>
          <w:szCs w:val="18"/>
        </w:rPr>
        <w:t xml:space="preserve">. Nezahrnuje území, u něhož převažuje zemědělské nebo městské využití. Posouzení globálních lesních zdrojů FAO 2020. Pojmy a definice (verze ze dne [datum přijetí]: </w:t>
      </w:r>
      <w:hyperlink r:id="rId58" w:tooltip="http://www.fao.org/3/I8661EN/i8661en.pdf" w:history="1">
        <w:r w:rsidRPr="00D77C59">
          <w:rPr>
            <w:rStyle w:val="Hypertextovodkaz"/>
            <w:rFonts w:cs="Segoe UI"/>
            <w:sz w:val="18"/>
            <w:szCs w:val="18"/>
          </w:rPr>
          <w:t>http://www.fao.org/3/I8661EN/i8661en.pdf</w:t>
        </w:r>
      </w:hyperlink>
      <w:r w:rsidRPr="00D77C59">
        <w:rPr>
          <w:rFonts w:cs="Segoe UI"/>
          <w:sz w:val="18"/>
          <w:szCs w:val="18"/>
        </w:rPr>
        <w:t>).</w:t>
      </w:r>
    </w:p>
  </w:footnote>
  <w:footnote w:id="165">
    <w:p w14:paraId="008C2878" w14:textId="77777777" w:rsidR="0042372D" w:rsidRPr="00D77C59" w:rsidRDefault="0042372D">
      <w:pPr>
        <w:pStyle w:val="Textpoznpodarou"/>
        <w:jc w:val="left"/>
        <w:rPr>
          <w:rFonts w:cs="Segoe UI"/>
          <w:sz w:val="18"/>
          <w:szCs w:val="18"/>
        </w:rPr>
      </w:pPr>
      <w:r w:rsidRPr="00D77C59">
        <w:rPr>
          <w:rStyle w:val="Znakapoznpodarou"/>
          <w:rFonts w:cs="Segoe UI"/>
          <w:sz w:val="18"/>
          <w:szCs w:val="18"/>
        </w:rPr>
        <w:footnoteRef/>
      </w:r>
      <w:r w:rsidRPr="00D77C59">
        <w:rPr>
          <w:rFonts w:cs="Segoe UI"/>
          <w:sz w:val="18"/>
          <w:szCs w:val="18"/>
        </w:rPr>
        <w:tab/>
        <w:t>Postup, kterým příslušný orgán určuje, zda projekty uvedené v příloze II směrnice 2011/92/EU mají podléhat posouzení vlivů na životní prostředí (podle čl. 4 odst. 2 uvedené směrnice).</w:t>
      </w:r>
    </w:p>
  </w:footnote>
  <w:footnote w:id="166">
    <w:p w14:paraId="1BF93B58" w14:textId="77777777" w:rsidR="0042372D" w:rsidRPr="00D77C59" w:rsidRDefault="0042372D">
      <w:pPr>
        <w:pStyle w:val="Textpoznpodarou"/>
        <w:jc w:val="left"/>
        <w:rPr>
          <w:rFonts w:cs="Segoe UI"/>
          <w:sz w:val="18"/>
          <w:szCs w:val="18"/>
        </w:rPr>
      </w:pPr>
      <w:r w:rsidRPr="00D77C59">
        <w:rPr>
          <w:rStyle w:val="Znakapoznpodarou"/>
          <w:rFonts w:cs="Segoe UI"/>
          <w:sz w:val="18"/>
          <w:szCs w:val="18"/>
        </w:rPr>
        <w:footnoteRef/>
      </w:r>
      <w:r w:rsidRPr="00D77C59">
        <w:rPr>
          <w:rFonts w:cs="Segoe UI"/>
          <w:sz w:val="18"/>
          <w:szCs w:val="18"/>
        </w:rPr>
        <w:tab/>
        <w:t>V případě činností ve třetích zemích v souladu s rovnocennými platnými vnitrostátními předpisy nebo mezinárodními normami, například s normou výkonnosti IFC č. 1: Posuzování a řízení environmentálních a sociálních rizik.</w:t>
      </w:r>
    </w:p>
  </w:footnote>
  <w:footnote w:id="167">
    <w:p w14:paraId="436657D7" w14:textId="77777777" w:rsidR="0042372D" w:rsidRPr="00D77C59" w:rsidRDefault="0042372D" w:rsidP="009B1BC4">
      <w:pPr>
        <w:pStyle w:val="Textpoznpodarou"/>
        <w:jc w:val="left"/>
        <w:rPr>
          <w:rFonts w:cs="Segoe UI"/>
          <w:sz w:val="18"/>
          <w:szCs w:val="18"/>
        </w:rPr>
      </w:pPr>
      <w:r w:rsidRPr="00D77C59">
        <w:rPr>
          <w:rStyle w:val="Znakapoznpodarou"/>
          <w:rFonts w:cs="Segoe UI"/>
          <w:sz w:val="18"/>
          <w:szCs w:val="18"/>
        </w:rPr>
        <w:footnoteRef/>
      </w:r>
      <w:r w:rsidRPr="00D77C59">
        <w:rPr>
          <w:rFonts w:cs="Segoe UI"/>
          <w:sz w:val="18"/>
          <w:szCs w:val="18"/>
        </w:rPr>
        <w:tab/>
        <w:t>V souladu se směrnicemi 2009/147/ES a 92/43/EHS. V případě činností umístěných ve třetích zemích v souladu s rovnocennými platnými vnitrostátními právními předpisy nebo mezinárodními normami, které jsou zaměřeny na ochranu přírodních stanovišť, volně žijících živočichů a planě rostoucích rostlin a které vyžadují provedení 1) screeningu s cílem určit, zda je pro danou činnost zapotřebí náležité posouzení možných dopadů na chráněná stanoviště a druhy; 2) daného náležitého posouzení, pokud ze screeningu vyplyne, že je zapotřebí, například podle normy výkonnosti IFC č. 6: Ochrana biologické rozmanitosti a udržitelné řízení živých přírodních zdrojů.</w:t>
      </w:r>
    </w:p>
  </w:footnote>
  <w:footnote w:id="168">
    <w:p w14:paraId="4844B347" w14:textId="77777777" w:rsidR="0042372D" w:rsidRPr="00D77C59" w:rsidRDefault="0042372D" w:rsidP="009B1BC4">
      <w:pPr>
        <w:pStyle w:val="Textpoznpodarou"/>
        <w:jc w:val="left"/>
        <w:rPr>
          <w:rFonts w:cs="Segoe UI"/>
          <w:sz w:val="18"/>
          <w:szCs w:val="18"/>
        </w:rPr>
      </w:pPr>
      <w:r w:rsidRPr="00D77C59">
        <w:rPr>
          <w:rStyle w:val="Znakapoznpodarou"/>
          <w:rFonts w:cs="Segoe UI"/>
          <w:sz w:val="18"/>
          <w:szCs w:val="18"/>
        </w:rPr>
        <w:footnoteRef/>
      </w:r>
      <w:r w:rsidRPr="00D77C59">
        <w:rPr>
          <w:rFonts w:cs="Segoe UI"/>
          <w:sz w:val="18"/>
          <w:szCs w:val="18"/>
        </w:rPr>
        <w:tab/>
        <w:t>Tato opatření jsou určena s cílem zajistit, aby projekt, plán nebo činnost neměly významný vliv na cíle ochrany chráněné oblasti.</w:t>
      </w:r>
    </w:p>
  </w:footnote>
  <w:footnote w:id="169">
    <w:p w14:paraId="3CEAC441" w14:textId="6C89424C" w:rsidR="00B0588A" w:rsidRDefault="00B0588A" w:rsidP="00B0588A">
      <w:pPr>
        <w:pStyle w:val="Textpoznpodarou"/>
      </w:pPr>
      <w:r>
        <w:rPr>
          <w:rStyle w:val="Znakapoznpodarou"/>
        </w:rPr>
        <w:footnoteRef/>
      </w:r>
      <w:r>
        <w:t xml:space="preserve"> Podmínky pro celkovou důkladnou renovaci budou v čase překonány implementací směrnice EPBD do zákona </w:t>
      </w:r>
      <w:r w:rsidRPr="00B0588A">
        <w:t>č. 406/2000 Sb.</w:t>
      </w:r>
      <w:r>
        <w:t xml:space="preserve"> o hospodaření energií a prováděcími vyhláškami. EPBD definuje dle čl. 2 odst. 20: „rozsáhlou renovací“ je renovace, která je v souladu se zásadou „energetická účinnost v první řadě“, zaměřuje se na základní prvky budovy a transformuje budovu nebo ucelenou část budovy: a) před 1. lednem 2030 na budovu s téměř nulovou spotřebou energie; b) od 1. ledna 2030 na budovu s nulovými emisemi.</w:t>
      </w:r>
    </w:p>
  </w:footnote>
  <w:footnote w:id="170">
    <w:p w14:paraId="289C54ED" w14:textId="77777777" w:rsidR="00B0588A" w:rsidRPr="00D77C59" w:rsidRDefault="00B0588A" w:rsidP="00B0588A">
      <w:pPr>
        <w:pStyle w:val="Textpoznpodarou"/>
        <w:rPr>
          <w:rFonts w:cs="Segoe UI"/>
          <w:sz w:val="18"/>
          <w:szCs w:val="18"/>
        </w:rPr>
      </w:pPr>
      <w:r w:rsidRPr="00D77C59">
        <w:rPr>
          <w:rStyle w:val="Znakapoznpodarou"/>
          <w:rFonts w:cs="Segoe UI"/>
          <w:sz w:val="18"/>
          <w:szCs w:val="18"/>
        </w:rPr>
        <w:footnoteRef/>
      </w:r>
      <w:r w:rsidRPr="00D77C59">
        <w:rPr>
          <w:rFonts w:cs="Segoe UI"/>
          <w:sz w:val="18"/>
          <w:szCs w:val="18"/>
        </w:rPr>
        <w:t xml:space="preserve"> Splnění podmínky součinitele prostupu tepla pro výplně otvorů se posuzuje pro standardizované rozměry dle vyhl. č. 264/2020 Sb. o energetické náročnosti budov, příloha 5, část C, odst. 3, písm. b).</w:t>
      </w:r>
    </w:p>
  </w:footnote>
  <w:footnote w:id="171">
    <w:p w14:paraId="59C2BF2D" w14:textId="77777777" w:rsidR="00EB5E38" w:rsidRPr="00D77C59" w:rsidRDefault="00EB5E38" w:rsidP="00EB5E38">
      <w:pPr>
        <w:pStyle w:val="Textpoznpodarou"/>
        <w:rPr>
          <w:rFonts w:cs="Segoe UI"/>
          <w:sz w:val="18"/>
          <w:szCs w:val="18"/>
        </w:rPr>
      </w:pPr>
      <w:r w:rsidRPr="00D77C59">
        <w:rPr>
          <w:rStyle w:val="Znakapoznpodarou"/>
          <w:rFonts w:cs="Segoe UI"/>
          <w:sz w:val="18"/>
          <w:szCs w:val="18"/>
        </w:rPr>
        <w:footnoteRef/>
      </w:r>
      <w:r w:rsidRPr="00D77C59">
        <w:rPr>
          <w:rFonts w:cs="Segoe UI"/>
          <w:sz w:val="18"/>
          <w:szCs w:val="18"/>
        </w:rPr>
        <w:t xml:space="preserve"> Účinná soustava zásobování tepelnou energií (ÚSZTE) je soustava zásobování tepelnou energií, do které bylo v předcházejícím kalendářním roce dodáno alespoň 50 % tepla z obnovitelných zdrojů, 50 % tepla z druhotných zdrojů, 75 % tepla z kombinované výroby tepla a elektřiny nebo 50 % tepla z kombinace uvedených možností. Viz zákon č. 165/2012 Sb. o podporovaných zdrojích energie a o změně některých zákonů, ve znění pozdějších předpisů, § 2 písm. v). Seznam těchto soustav je zveřejňován Energetickým regulačním úřadem.</w:t>
      </w:r>
    </w:p>
  </w:footnote>
  <w:footnote w:id="172">
    <w:p w14:paraId="7582568B" w14:textId="77777777" w:rsidR="00EB5E38" w:rsidRDefault="00EB5E38" w:rsidP="00EB5E38">
      <w:pPr>
        <w:pStyle w:val="Textpoznpodarou"/>
      </w:pPr>
      <w:r w:rsidRPr="002A49E5">
        <w:rPr>
          <w:rStyle w:val="Znakapoznpodarou"/>
          <w:sz w:val="18"/>
          <w:szCs w:val="18"/>
        </w:rPr>
        <w:footnoteRef/>
      </w:r>
      <w:r w:rsidRPr="002A49E5">
        <w:rPr>
          <w:sz w:val="18"/>
          <w:szCs w:val="18"/>
        </w:rPr>
        <w:t xml:space="preserve"> Směrnice Evropského parlamentu a Rady (EU) 2023/1791 ze dne 13. září 2023 o energetické účinnosti a o změně nařízení (EU) 2023/955 (přepracované znění) (Úř. věst. L 231, 20.9.2023, s. 1, ELI: http://data.europa.eu/eli/dir/2023/1791/oj).</w:t>
      </w:r>
    </w:p>
  </w:footnote>
  <w:footnote w:id="173">
    <w:p w14:paraId="48543038" w14:textId="761AFDAA" w:rsidR="0076646F" w:rsidRDefault="0076646F">
      <w:pPr>
        <w:pStyle w:val="Textpoznpodarou"/>
      </w:pPr>
      <w:r>
        <w:rPr>
          <w:rStyle w:val="Znakapoznpodarou"/>
        </w:rPr>
        <w:footnoteRef/>
      </w:r>
      <w:r>
        <w:t xml:space="preserve"> </w:t>
      </w:r>
      <w:r w:rsidRPr="0076646F">
        <w:t>Transpozice čl. 26 odst. 5 směrnice 2023/1791 je provedena do zákona č. 165/2012 Sb., o podporovaných zdrojích energie v § 26f s účinností od 1. 8. 2025. Podle výše uvedených ustanovení mají neúčinné SZTE předložit plán transformace do 30. září 2026. Plány pak bude ERÚ posuzovat, během roku 2027 bude zřejmé, které neúčinné SZTE plán mají a které ne. Kontrolu existence plánu tedy bude možné provést až v tomto časovém horizontu. ERÚ dle § 26e odst. 5 zveřejní na svých internetových stránkách soustavy zásobování tepelnou energií, do kterých je dodávána tepelná energie ze zdrojů tepelné energie se souhrnným instalovaným výkonem vyšším než 5 MWt, které nejsou účinnými soustavami zásobování tepelnou energií a pro které nebyl Úřadem schválen plán na zajištění účinnější spotřeby primární energie, snížení distribučních ztrát a zvýšení podílu tepelné energie z obnovitelných zdrojů na dodávce tepelné energie.</w:t>
      </w:r>
    </w:p>
  </w:footnote>
  <w:footnote w:id="174">
    <w:p w14:paraId="69D48DDF" w14:textId="77777777" w:rsidR="007E7F38" w:rsidRPr="00D77C59" w:rsidRDefault="007E7F38" w:rsidP="007E7F38">
      <w:pPr>
        <w:pStyle w:val="Textpoznpodarou"/>
        <w:rPr>
          <w:rFonts w:cs="Segoe UI"/>
          <w:sz w:val="18"/>
          <w:szCs w:val="18"/>
        </w:rPr>
      </w:pPr>
      <w:r w:rsidRPr="00D77C59">
        <w:rPr>
          <w:rStyle w:val="Znakapoznpodarou"/>
          <w:rFonts w:cs="Segoe UI"/>
          <w:sz w:val="18"/>
          <w:szCs w:val="18"/>
        </w:rPr>
        <w:footnoteRef/>
      </w:r>
      <w:r w:rsidRPr="00D77C59">
        <w:rPr>
          <w:rFonts w:cs="Segoe UI"/>
          <w:sz w:val="18"/>
          <w:szCs w:val="18"/>
        </w:rPr>
        <w:t xml:space="preserve"> Pozn. tato podmínka zajišťuje, že jsou splněny úrovně referenčních hodnot (částice) stanovené v příloze V nařízení Komise (EU) 2015/1189.</w:t>
      </w:r>
    </w:p>
  </w:footnote>
  <w:footnote w:id="175">
    <w:p w14:paraId="6129D69B" w14:textId="77777777" w:rsidR="007E7F38" w:rsidRPr="00D77C59" w:rsidRDefault="007E7F38" w:rsidP="007E7F38">
      <w:pPr>
        <w:pStyle w:val="Textpoznpodarou"/>
        <w:rPr>
          <w:rFonts w:cs="Segoe UI"/>
          <w:sz w:val="18"/>
          <w:szCs w:val="18"/>
        </w:rPr>
      </w:pPr>
      <w:r w:rsidRPr="00D77C59">
        <w:rPr>
          <w:rStyle w:val="Znakapoznpodarou"/>
          <w:rFonts w:cs="Segoe UI"/>
          <w:sz w:val="18"/>
          <w:szCs w:val="18"/>
        </w:rPr>
        <w:footnoteRef/>
      </w:r>
      <w:r w:rsidRPr="00D77C59">
        <w:rPr>
          <w:rFonts w:cs="Segoe UI"/>
          <w:sz w:val="18"/>
          <w:szCs w:val="18"/>
        </w:rPr>
        <w:t xml:space="preserve"> Při riziku nedodržení limitů dle §4 odst. (1) vyhlášky č. 194/2007 Sb., kterou se stanoví pravidla pro vytápění a dodávku teplé vody. Např. termostatický směšovací ventil nebo v případě dostatečného objemu zásobníku omezením max. teploty vody provozním termostatem.</w:t>
      </w:r>
    </w:p>
  </w:footnote>
  <w:footnote w:id="176">
    <w:p w14:paraId="1D1AE149" w14:textId="77777777" w:rsidR="007E7F38" w:rsidRPr="00D77C59" w:rsidRDefault="007E7F38" w:rsidP="007E7F38">
      <w:pPr>
        <w:pStyle w:val="Textpoznpodarou"/>
        <w:rPr>
          <w:rFonts w:cs="Segoe UI"/>
          <w:sz w:val="18"/>
          <w:szCs w:val="18"/>
        </w:rPr>
      </w:pPr>
      <w:r w:rsidRPr="00D77C59">
        <w:rPr>
          <w:rStyle w:val="Znakapoznpodarou"/>
          <w:rFonts w:cs="Segoe UI"/>
          <w:sz w:val="18"/>
          <w:szCs w:val="18"/>
        </w:rPr>
        <w:footnoteRef/>
      </w:r>
      <w:r w:rsidRPr="00D77C59">
        <w:rPr>
          <w:rFonts w:cs="Segoe UI"/>
          <w:sz w:val="18"/>
          <w:szCs w:val="18"/>
        </w:rPr>
        <w:t xml:space="preserve"> </w:t>
      </w:r>
      <w:r w:rsidRPr="00D77C59">
        <w:rPr>
          <w:rFonts w:cs="Segoe UI"/>
          <w:i/>
          <w:iCs/>
          <w:sz w:val="18"/>
          <w:szCs w:val="18"/>
        </w:rPr>
        <w:t xml:space="preserve">Ohřev druhým zdrojem řízen např. samostatně nastavitelným termostatem (pro minimální teplotu vody v ohřívači) nebo budou použity do série zapojené ohřívače vody (předehřev pomocí FV, dohřev druhým zdrojem) nebo velkoobjemový ohřívač s topnými tělesy a termostaty v různých výškách. Pokud odběrné místo využívá signál HDO, je doporučeno jej využít pro blokování ohřevu elektřinou v době platnosti VT. </w:t>
      </w:r>
      <w:r w:rsidRPr="00D77C59">
        <w:rPr>
          <w:rFonts w:cs="Segoe UI"/>
          <w:sz w:val="18"/>
          <w:szCs w:val="18"/>
        </w:rPr>
        <w:t xml:space="preserve"> </w:t>
      </w:r>
    </w:p>
  </w:footnote>
  <w:footnote w:id="177">
    <w:p w14:paraId="2B41735B" w14:textId="77777777" w:rsidR="007E7F38" w:rsidRPr="00D77C59" w:rsidRDefault="007E7F38" w:rsidP="007E7F38">
      <w:pPr>
        <w:pStyle w:val="Textpoznpodarou"/>
        <w:rPr>
          <w:rFonts w:cs="Segoe UI"/>
          <w:sz w:val="18"/>
          <w:szCs w:val="18"/>
        </w:rPr>
      </w:pPr>
      <w:r w:rsidRPr="00D77C59">
        <w:rPr>
          <w:rStyle w:val="Znakapoznpodarou"/>
          <w:rFonts w:cs="Segoe UI"/>
          <w:sz w:val="18"/>
          <w:szCs w:val="18"/>
        </w:rPr>
        <w:footnoteRef/>
      </w:r>
      <w:r w:rsidRPr="00D77C59">
        <w:rPr>
          <w:rFonts w:cs="Segoe UI"/>
          <w:sz w:val="18"/>
          <w:szCs w:val="18"/>
        </w:rPr>
        <w:t xml:space="preserve"> </w:t>
      </w:r>
      <w:r w:rsidRPr="00D77C59">
        <w:rPr>
          <w:rFonts w:cs="Segoe UI"/>
          <w:i/>
          <w:iCs/>
          <w:sz w:val="18"/>
          <w:szCs w:val="18"/>
        </w:rPr>
        <w:t xml:space="preserve">Součet napětí panelů Vmp – napětí při jmenovitém výkonu a STC – standardních testovacích podmínkách (Standard Test Condition) – tj. intenzita záření 1000 W/m2, spektrum AM=1,5 a teplota panelu 25 °C. Bližší informace viz ČSN EN 61215, ČSN EN 50380, ČSN CLC/TS 61836. </w:t>
      </w:r>
      <w:r w:rsidRPr="00D77C59">
        <w:rPr>
          <w:rFonts w:cs="Segoe UI"/>
          <w:sz w:val="18"/>
          <w:szCs w:val="18"/>
        </w:rPr>
        <w:t xml:space="preserve"> </w:t>
      </w:r>
    </w:p>
  </w:footnote>
  <w:footnote w:id="178">
    <w:p w14:paraId="08F328A1" w14:textId="77777777" w:rsidR="007E7F38" w:rsidRPr="00D77C59" w:rsidRDefault="007E7F38" w:rsidP="007E7F38">
      <w:pPr>
        <w:pStyle w:val="Textpoznpodarou"/>
        <w:rPr>
          <w:rFonts w:cs="Segoe UI"/>
          <w:sz w:val="18"/>
          <w:szCs w:val="18"/>
        </w:rPr>
      </w:pPr>
      <w:r w:rsidRPr="00D77C59">
        <w:rPr>
          <w:rStyle w:val="Znakapoznpodarou"/>
          <w:rFonts w:cs="Segoe UI"/>
          <w:sz w:val="18"/>
          <w:szCs w:val="18"/>
        </w:rPr>
        <w:footnoteRef/>
      </w:r>
      <w:r w:rsidRPr="00D77C59">
        <w:rPr>
          <w:rFonts w:cs="Segoe UI"/>
          <w:sz w:val="18"/>
          <w:szCs w:val="18"/>
        </w:rPr>
        <w:t xml:space="preserve"> </w:t>
      </w:r>
      <w:r w:rsidRPr="00D77C59">
        <w:rPr>
          <w:rFonts w:cs="Segoe UI"/>
          <w:i/>
          <w:iCs/>
          <w:sz w:val="18"/>
          <w:szCs w:val="18"/>
        </w:rPr>
        <w:t xml:space="preserve">Oprávněným dle §9 vyhlášky č. 50/1978 Sb., o odborné způsobilosti v elektrotechnice nebo §8 nařízení vlády NV 194/2022, o požadavcích na odbornou způsobilost k výkonu činnosti na elektrických zařízeních a na odbornou způsobilost v elektrotechnice. </w:t>
      </w:r>
      <w:r w:rsidRPr="00D77C59">
        <w:rPr>
          <w:rFonts w:cs="Segoe UI"/>
          <w:sz w:val="18"/>
          <w:szCs w:val="18"/>
        </w:rPr>
        <w:t xml:space="preserve"> </w:t>
      </w:r>
    </w:p>
  </w:footnote>
  <w:footnote w:id="179">
    <w:p w14:paraId="736A4F4C" w14:textId="77777777" w:rsidR="007E7F38" w:rsidRPr="00D77C59" w:rsidRDefault="007E7F38" w:rsidP="007E7F38">
      <w:pPr>
        <w:pStyle w:val="Textpoznpodarou"/>
        <w:rPr>
          <w:rFonts w:cs="Segoe UI"/>
          <w:sz w:val="18"/>
          <w:szCs w:val="18"/>
        </w:rPr>
      </w:pPr>
      <w:r w:rsidRPr="00D77C59">
        <w:rPr>
          <w:rStyle w:val="Znakapoznpodarou"/>
          <w:rFonts w:cs="Segoe UI"/>
          <w:sz w:val="18"/>
          <w:szCs w:val="18"/>
        </w:rPr>
        <w:footnoteRef/>
      </w:r>
      <w:r w:rsidRPr="00D77C59">
        <w:rPr>
          <w:rFonts w:cs="Segoe UI"/>
          <w:sz w:val="18"/>
          <w:szCs w:val="18"/>
        </w:rPr>
        <w:t xml:space="preserve"> </w:t>
      </w:r>
      <w:r w:rsidRPr="00D77C59">
        <w:rPr>
          <w:rFonts w:cs="Segoe UI"/>
          <w:i/>
          <w:iCs/>
          <w:sz w:val="18"/>
          <w:szCs w:val="18"/>
        </w:rPr>
        <w:t xml:space="preserve">Při jmenovitém objemu zásobníku 200 litrů nebo vyšším je podmínka objemu považována za splněnou bez ohledu na instalovaný výkon. </w:t>
      </w:r>
      <w:r w:rsidRPr="00D77C59">
        <w:rPr>
          <w:rFonts w:cs="Segoe UI"/>
          <w:sz w:val="18"/>
          <w:szCs w:val="18"/>
        </w:rPr>
        <w:t xml:space="preserve"> </w:t>
      </w:r>
    </w:p>
  </w:footnote>
  <w:footnote w:id="180">
    <w:p w14:paraId="2746760D" w14:textId="77777777" w:rsidR="007E7F38" w:rsidRPr="00D77C59" w:rsidRDefault="007E7F38" w:rsidP="007E7F38">
      <w:pPr>
        <w:pStyle w:val="Textpoznpodarou"/>
        <w:rPr>
          <w:rFonts w:cs="Segoe UI"/>
          <w:sz w:val="18"/>
          <w:szCs w:val="18"/>
        </w:rPr>
      </w:pPr>
      <w:r w:rsidRPr="00D77C59">
        <w:rPr>
          <w:rStyle w:val="Znakapoznpodarou"/>
          <w:rFonts w:cs="Segoe UI"/>
          <w:sz w:val="18"/>
          <w:szCs w:val="18"/>
        </w:rPr>
        <w:footnoteRef/>
      </w:r>
      <w:r w:rsidRPr="00D77C59">
        <w:rPr>
          <w:rFonts w:cs="Segoe UI"/>
          <w:sz w:val="18"/>
          <w:szCs w:val="18"/>
        </w:rPr>
        <w:t xml:space="preserve"> </w:t>
      </w:r>
      <w:r w:rsidRPr="00D77C59">
        <w:rPr>
          <w:rFonts w:cs="Segoe UI"/>
          <w:i/>
          <w:iCs/>
          <w:sz w:val="18"/>
          <w:szCs w:val="18"/>
        </w:rPr>
        <w:t xml:space="preserve">Sluneční ozáření 1000 W.m-2, teplota FV článků 25 °C, spektrum záření podle AM = 1,5 a osvětlení pouze z čelní strany. Bližší informace viz ČSN EN 61215, ČSN EN 50380, ČSN CLC/TS 61836. </w:t>
      </w:r>
      <w:r w:rsidRPr="00D77C59">
        <w:rPr>
          <w:rFonts w:cs="Segoe UI"/>
          <w:sz w:val="18"/>
          <w:szCs w:val="18"/>
        </w:rPr>
        <w:t xml:space="preserve"> </w:t>
      </w:r>
    </w:p>
  </w:footnote>
  <w:footnote w:id="181">
    <w:p w14:paraId="552B9C53" w14:textId="77777777" w:rsidR="007E7F38" w:rsidRPr="00D77C59" w:rsidRDefault="007E7F38" w:rsidP="007E7F38">
      <w:pPr>
        <w:pStyle w:val="Textpoznpodarou"/>
        <w:rPr>
          <w:rFonts w:cs="Segoe UI"/>
          <w:sz w:val="18"/>
          <w:szCs w:val="18"/>
        </w:rPr>
      </w:pPr>
      <w:r w:rsidRPr="00D77C59">
        <w:rPr>
          <w:rStyle w:val="Znakapoznpodarou"/>
          <w:rFonts w:cs="Segoe UI"/>
          <w:sz w:val="18"/>
          <w:szCs w:val="18"/>
        </w:rPr>
        <w:footnoteRef/>
      </w:r>
      <w:r w:rsidRPr="00D77C59">
        <w:rPr>
          <w:rFonts w:cs="Segoe UI"/>
          <w:sz w:val="18"/>
          <w:szCs w:val="18"/>
        </w:rPr>
        <w:t xml:space="preserve"> </w:t>
      </w:r>
      <w:r w:rsidRPr="00D77C59">
        <w:rPr>
          <w:rFonts w:cs="Segoe UI"/>
          <w:i/>
          <w:iCs/>
          <w:sz w:val="18"/>
          <w:szCs w:val="18"/>
        </w:rPr>
        <w:t xml:space="preserve">Služba poskytovaná nezávislým agregátorem, který ji vykonává na základě smlouvy o poskytování podpůrných služeb přenosové soustavy ČEPS nebo závislým agregátorem (obchodníkem), který vykonává službu flexibility a za tím účelem mu žadatel poskytuje řízení bateriového úložiště a přetoků do sítě (tuto možnost lze využít také v případě, kdy v místě instalace nejsou přetoky povoleny). </w:t>
      </w:r>
      <w:r w:rsidRPr="00D77C59">
        <w:rPr>
          <w:rFonts w:cs="Segoe UI"/>
          <w:sz w:val="18"/>
          <w:szCs w:val="18"/>
        </w:rPr>
        <w:t xml:space="preserve"> </w:t>
      </w:r>
    </w:p>
  </w:footnote>
  <w:footnote w:id="182">
    <w:p w14:paraId="181A4242" w14:textId="77777777" w:rsidR="00077CF5" w:rsidRPr="00D77C59" w:rsidRDefault="00077CF5" w:rsidP="00077CF5">
      <w:pPr>
        <w:spacing w:after="0"/>
        <w:rPr>
          <w:rFonts w:cs="Segoe UI"/>
          <w:sz w:val="18"/>
          <w:szCs w:val="18"/>
        </w:rPr>
      </w:pPr>
      <w:r w:rsidRPr="00D77C59">
        <w:rPr>
          <w:rStyle w:val="Znakapoznpodarou"/>
          <w:rFonts w:eastAsiaTheme="majorEastAsia" w:cs="Segoe UI"/>
          <w:sz w:val="18"/>
          <w:szCs w:val="18"/>
        </w:rPr>
        <w:footnoteRef/>
      </w:r>
      <w:r w:rsidRPr="00D77C59">
        <w:rPr>
          <w:rFonts w:eastAsiaTheme="majorEastAsia" w:cs="Segoe UI"/>
          <w:sz w:val="18"/>
          <w:szCs w:val="18"/>
        </w:rPr>
        <w:t xml:space="preserve"> Extenzivní zelená střecha je typ zelené střechy se suchomilnou vegetací, která dokáže snášet náročné až extrémní podmínky z pohledu expozice a povětrnosti, nedostatek živin a vláhy. Mocnost souvrství extenzivních zelených střech se pohybuje zpravidla mezi 3–15 cm. Z rostlinných druhů převládají rozchodníky, suchomilné trávy a byliny, netřesky. Za vegetaci lze také považovat různé druhy mechů, které se v konkrétních specifických případech mohou jevit jako vhodná alternativa konvenčního ozelenění. Hlavním rysem extenzivních zelených střech je jejich odolnost vůči suchým obdobím, které je spojeno s absencí závlahové infrastruktury na střeše.</w:t>
      </w:r>
    </w:p>
  </w:footnote>
  <w:footnote w:id="183">
    <w:p w14:paraId="426C9499" w14:textId="77777777" w:rsidR="00077CF5" w:rsidRPr="00D77C59" w:rsidRDefault="00077CF5" w:rsidP="00077CF5">
      <w:pPr>
        <w:pStyle w:val="Textpoznpodarou"/>
        <w:spacing w:line="264" w:lineRule="auto"/>
        <w:rPr>
          <w:rFonts w:cs="Segoe UI"/>
          <w:sz w:val="18"/>
          <w:szCs w:val="18"/>
        </w:rPr>
      </w:pPr>
      <w:r w:rsidRPr="00D77C59">
        <w:rPr>
          <w:rStyle w:val="Znakapoznpodarou"/>
          <w:rFonts w:eastAsiaTheme="majorEastAsia" w:cs="Segoe UI"/>
          <w:sz w:val="18"/>
          <w:szCs w:val="18"/>
        </w:rPr>
        <w:footnoteRef/>
      </w:r>
      <w:r w:rsidRPr="00D77C59">
        <w:rPr>
          <w:rFonts w:eastAsiaTheme="majorEastAsia" w:cs="Segoe UI"/>
          <w:sz w:val="18"/>
          <w:szCs w:val="18"/>
        </w:rPr>
        <w:t xml:space="preserve"> </w:t>
      </w:r>
      <w:r w:rsidRPr="00D77C59">
        <w:rPr>
          <w:rFonts w:cs="Segoe UI"/>
          <w:sz w:val="18"/>
          <w:szCs w:val="18"/>
        </w:rPr>
        <w:t xml:space="preserve">Intenzivní zelená střecha je typem střechy, jenž je osazena dřevinami, křovinami a travnatými plochami, tak jako v běžné zahradnické praxi a přírodních podmínkách. Rostliny dle svého typu vyžadují větší mocnost substrátu – nejméně 20 cm a výše, kromě toho je nezbytné zásobovat instalovanou zeleň doplňkovými živinami a většinou pravidelnou zálivkou. Pro semi-intenzivní střechy platí podmínky jako pro střechy intenzivní. </w:t>
      </w:r>
    </w:p>
  </w:footnote>
  <w:footnote w:id="184">
    <w:p w14:paraId="29B1E1FE" w14:textId="77777777" w:rsidR="00E310E9" w:rsidRPr="00D77C59" w:rsidRDefault="00E310E9" w:rsidP="00E310E9">
      <w:pPr>
        <w:pStyle w:val="Textpoznpodarou"/>
        <w:jc w:val="left"/>
        <w:rPr>
          <w:rFonts w:cs="Segoe UI"/>
          <w:sz w:val="18"/>
          <w:szCs w:val="18"/>
        </w:rPr>
      </w:pPr>
      <w:r w:rsidRPr="00D77C59">
        <w:rPr>
          <w:rStyle w:val="Znakapoznpodarou"/>
          <w:rFonts w:cs="Segoe UI"/>
          <w:sz w:val="18"/>
          <w:szCs w:val="18"/>
        </w:rPr>
        <w:footnoteRef/>
      </w:r>
      <w:r w:rsidRPr="00D77C59">
        <w:rPr>
          <w:rFonts w:cs="Segoe UI"/>
          <w:sz w:val="18"/>
          <w:szCs w:val="18"/>
        </w:rPr>
        <w:t xml:space="preserve"> Další příklady mitigačních opatření jsou k dispozici v průvodci udržitelností a zásadou DNSH pro budovy (</w:t>
      </w:r>
      <w:hyperlink r:id="rId59" w:history="1">
        <w:r w:rsidRPr="00D77C59">
          <w:rPr>
            <w:rStyle w:val="Hypertextovodkaz"/>
            <w:rFonts w:cs="Segoe UI"/>
            <w:sz w:val="18"/>
            <w:szCs w:val="18"/>
          </w:rPr>
          <w:t>https://sfpi.cz/komponenta-4-1/assets/documents/SFPI_Pr%C5%AFvodce%20udr%C5%BEitelnost%C3%AD%20a%20z%C3%A1sadou%20DNSH%20pro%20budovy_2024-09.pdf</w:t>
        </w:r>
      </w:hyperlink>
      <w:r w:rsidRPr="00D77C59">
        <w:rPr>
          <w:rFonts w:cs="Segoe UI"/>
          <w:sz w:val="18"/>
          <w:szCs w:val="18"/>
        </w:rPr>
        <w:t>, str. 14)</w:t>
      </w:r>
      <w:r>
        <w:rPr>
          <w:rFonts w:cs="Segoe UI"/>
          <w:sz w:val="18"/>
          <w:szCs w:val="18"/>
        </w:rPr>
        <w:t>.</w:t>
      </w:r>
    </w:p>
  </w:footnote>
  <w:footnote w:id="185">
    <w:p w14:paraId="2837A0BF" w14:textId="77777777" w:rsidR="00E310E9" w:rsidRPr="00D77C59" w:rsidRDefault="00E310E9" w:rsidP="00E310E9">
      <w:pPr>
        <w:pStyle w:val="Textpoznpodarou"/>
        <w:jc w:val="left"/>
        <w:rPr>
          <w:rFonts w:cs="Segoe UI"/>
          <w:sz w:val="18"/>
          <w:szCs w:val="18"/>
        </w:rPr>
      </w:pPr>
      <w:r w:rsidRPr="00D77C59">
        <w:rPr>
          <w:rStyle w:val="Znakapoznpodarou"/>
          <w:rFonts w:cs="Segoe UI"/>
          <w:sz w:val="18"/>
          <w:szCs w:val="18"/>
        </w:rPr>
        <w:footnoteRef/>
      </w:r>
      <w:r>
        <w:rPr>
          <w:rFonts w:cs="Segoe UI"/>
          <w:sz w:val="18"/>
          <w:szCs w:val="18"/>
        </w:rPr>
        <w:t> </w:t>
      </w:r>
      <w:r w:rsidRPr="00D77C59">
        <w:rPr>
          <w:rFonts w:cs="Segoe UI"/>
          <w:sz w:val="18"/>
          <w:szCs w:val="18"/>
        </w:rPr>
        <w:t>Stanoveným příslušnými vnitrostátními a regionálními stavebními předpisy pro „větší renovace“ provádějícími směrnici 2010/31/EU. Energetická náročnost budovy nebo renovované části, která je modernizována, splňuje nákladově optimální minimální požadavky na energetickou náročnost v souladu s příslušnou směrnicí.</w:t>
      </w:r>
    </w:p>
  </w:footnote>
  <w:footnote w:id="186">
    <w:p w14:paraId="791E8032" w14:textId="77777777" w:rsidR="00E310E9" w:rsidRPr="00D77C59" w:rsidRDefault="00E310E9" w:rsidP="00E310E9">
      <w:pPr>
        <w:pStyle w:val="Textpoznpodarou"/>
        <w:jc w:val="left"/>
        <w:rPr>
          <w:rFonts w:cs="Segoe UI"/>
          <w:sz w:val="18"/>
          <w:szCs w:val="18"/>
        </w:rPr>
      </w:pPr>
      <w:r w:rsidRPr="00D77C59">
        <w:rPr>
          <w:rStyle w:val="Znakapoznpodarou"/>
          <w:rFonts w:cs="Segoe UI"/>
          <w:sz w:val="18"/>
          <w:szCs w:val="18"/>
        </w:rPr>
        <w:footnoteRef/>
      </w:r>
      <w:r>
        <w:rPr>
          <w:rFonts w:cs="Segoe UI"/>
          <w:sz w:val="18"/>
          <w:szCs w:val="18"/>
        </w:rPr>
        <w:t> </w:t>
      </w:r>
      <w:r w:rsidRPr="00D77C59">
        <w:rPr>
          <w:rFonts w:cs="Segoe UI"/>
          <w:sz w:val="18"/>
          <w:szCs w:val="18"/>
        </w:rPr>
        <w:t>Počáteční potřeba primární energie a odhadované zlepšení vychází z podrobného průzkumu budovy, energetického auditu provedeného akreditovaným nezávislým odborníkem nebo jiné transparentní a přiměřené metody a je ověřeno průkazem energetické náročnosti. Uvedené 30% zlepšení je výsledkem skutečného snížení potřeby primární energie (přičemž není bráno v úvahu snížení čisté potřeby primární energie z obnovitelných zdrojů) a lze ho dosáhnout postupnými opatřeními nejdéle do tří let.</w:t>
      </w:r>
    </w:p>
  </w:footnote>
  <w:footnote w:id="187">
    <w:p w14:paraId="222902F0" w14:textId="77777777" w:rsidR="00E310E9" w:rsidRPr="00D77C59" w:rsidRDefault="00E310E9" w:rsidP="00E310E9">
      <w:pPr>
        <w:pStyle w:val="Textpoznpodarou"/>
        <w:rPr>
          <w:rFonts w:cs="Segoe UI"/>
          <w:sz w:val="18"/>
          <w:szCs w:val="18"/>
        </w:rPr>
      </w:pPr>
      <w:r w:rsidRPr="00D77C59">
        <w:rPr>
          <w:rStyle w:val="Znakapoznpodarou"/>
          <w:rFonts w:cs="Segoe UI"/>
          <w:sz w:val="18"/>
          <w:szCs w:val="18"/>
        </w:rPr>
        <w:footnoteRef/>
      </w:r>
      <w:r w:rsidRPr="00D77C59">
        <w:rPr>
          <w:rFonts w:cs="Segoe UI"/>
          <w:sz w:val="18"/>
          <w:szCs w:val="18"/>
        </w:rPr>
        <w:t xml:space="preserve"> Pro tuto oblast bude Ministerstvo průmyslu a obchodu zpracovávat metodiku Podporované energetické třídy u pořizovaných zařízení, na která se vztahují předpisy pro označování energetickými štítky.  Metodiku bude možné následně dohledat na webu MPO, v kategorii Energetika/Úspory energie/Úspory v praxi/Ekodesign a štítkování výrobků.</w:t>
      </w:r>
    </w:p>
  </w:footnote>
  <w:footnote w:id="188">
    <w:p w14:paraId="1A6285EF" w14:textId="77777777" w:rsidR="00E310E9" w:rsidRPr="00D77C59" w:rsidRDefault="00E310E9" w:rsidP="00E310E9">
      <w:pPr>
        <w:pStyle w:val="Textpoznpodarou"/>
        <w:jc w:val="left"/>
        <w:rPr>
          <w:rFonts w:cs="Segoe UI"/>
          <w:sz w:val="18"/>
          <w:szCs w:val="18"/>
        </w:rPr>
      </w:pPr>
      <w:r w:rsidRPr="00D77C59">
        <w:rPr>
          <w:rStyle w:val="Znakapoznpodarou"/>
          <w:rFonts w:cs="Segoe UI"/>
          <w:sz w:val="18"/>
          <w:szCs w:val="18"/>
        </w:rPr>
        <w:footnoteRef/>
      </w:r>
      <w:r>
        <w:rPr>
          <w:rFonts w:cs="Segoe UI"/>
          <w:sz w:val="18"/>
          <w:szCs w:val="18"/>
        </w:rPr>
        <w:t> </w:t>
      </w:r>
      <w:r w:rsidRPr="00D77C59">
        <w:rPr>
          <w:rFonts w:cs="Segoe UI"/>
          <w:sz w:val="18"/>
          <w:szCs w:val="18"/>
        </w:rPr>
        <w:t>K posouzení technických specifikací výrobků je na úrovni EU k dispozici odkaz na normy EU: EN 200 „Zdravotnětechnické armatury – Výtokové ventily a ventilové směšovací baterie pro vnitřní vodovody typu 1 a 2 – Všeobecná technická specifikace“; EN 816 „Zdravotnětechnické armatury – Samočinné uzavírací armatury PN 10“;·EN 817 „Mechanické směšovací baterie (PN 10) – Všeobecné technické požadavky“;·EN 1111 „Zdravotnětechnické armatury – Termostatické směšovací baterie (PN10) – Všeobecné technické podmínky“; EN 1112 „Zdravotnětechnické armatury – Sprchy pro zdravotnětechnické armatury pro vnitřní vodovody typu 1 a typu 2 – Všeobecné technické požadavky“; EN 1113 pro „Zdravotnětechnické armatury – Sprchové hadice pro zdravotnětechnické armatury pro vnitřní vodovody typu 1 a typu 2 – Všeobecné technické požadavky“ včetně metody pro testování odolnosti hadice proti ohybu;·EN 1287 pro „Zdravotnětechnické armatury – Nízkotlaké termostatické směšovače – Všeobecné technické požadavky“; EN 15091 „Zdravotnětechnické armatury – Elektronicky otevírané a uzavírané zdravotnětechnické armatury“.</w:t>
      </w:r>
    </w:p>
  </w:footnote>
  <w:footnote w:id="189">
    <w:p w14:paraId="50B8E602" w14:textId="77777777" w:rsidR="00E310E9" w:rsidRPr="00D77C59" w:rsidRDefault="00E310E9" w:rsidP="00E310E9">
      <w:pPr>
        <w:pStyle w:val="Textpoznpodarou"/>
        <w:rPr>
          <w:rFonts w:cs="Segoe UI"/>
          <w:sz w:val="18"/>
          <w:szCs w:val="18"/>
        </w:rPr>
      </w:pPr>
      <w:r w:rsidRPr="00D77C59">
        <w:rPr>
          <w:rStyle w:val="Znakapoznpodarou"/>
          <w:rFonts w:cs="Segoe UI"/>
          <w:sz w:val="18"/>
          <w:szCs w:val="18"/>
        </w:rPr>
        <w:footnoteRef/>
      </w:r>
      <w:r>
        <w:rPr>
          <w:rFonts w:cs="Segoe UI"/>
          <w:sz w:val="18"/>
          <w:szCs w:val="18"/>
        </w:rPr>
        <w:t> </w:t>
      </w:r>
      <w:r w:rsidRPr="00D77C59">
        <w:rPr>
          <w:rFonts w:cs="Segoe UI"/>
          <w:sz w:val="18"/>
          <w:szCs w:val="18"/>
        </w:rPr>
        <w:t>Podrobná metodika výpočtu dostupná v Průvodci udržitelností a zásadou DNSH pro budovy (</w:t>
      </w:r>
      <w:hyperlink r:id="rId60" w:history="1">
        <w:r w:rsidRPr="00D77C59">
          <w:rPr>
            <w:rStyle w:val="Hypertextovodkaz"/>
            <w:rFonts w:cs="Segoe UI"/>
            <w:sz w:val="18"/>
            <w:szCs w:val="18"/>
          </w:rPr>
          <w:t>https://sfpi.cz/komponenta-4-1/assets/documents/SFPI_Pr%C5%AFvodce%20udr%C5%BEitelnost%C3%AD%20a%20z%C3%A1sadou%20DNSH%20pro%20budovy_2024-09.pdf</w:t>
        </w:r>
      </w:hyperlink>
      <w:r w:rsidRPr="00D77C59">
        <w:rPr>
          <w:rFonts w:cs="Segoe UI"/>
          <w:sz w:val="18"/>
          <w:szCs w:val="18"/>
        </w:rPr>
        <w:t xml:space="preserve"> , str. 27)</w:t>
      </w:r>
      <w:r>
        <w:rPr>
          <w:rFonts w:cs="Segoe UI"/>
          <w:sz w:val="18"/>
          <w:szCs w:val="18"/>
        </w:rPr>
        <w:t>.</w:t>
      </w:r>
    </w:p>
  </w:footnote>
  <w:footnote w:id="190">
    <w:p w14:paraId="605CBFCE" w14:textId="77777777" w:rsidR="00E310E9" w:rsidRPr="00D77C59" w:rsidRDefault="00E310E9" w:rsidP="00E310E9">
      <w:pPr>
        <w:pStyle w:val="Textpoznpodarou"/>
        <w:rPr>
          <w:rFonts w:cs="Segoe UI"/>
          <w:sz w:val="18"/>
          <w:szCs w:val="18"/>
        </w:rPr>
      </w:pPr>
      <w:r w:rsidRPr="00D77C59">
        <w:rPr>
          <w:rStyle w:val="Znakapoznpodarou"/>
          <w:rFonts w:cs="Segoe UI"/>
          <w:sz w:val="18"/>
          <w:szCs w:val="18"/>
        </w:rPr>
        <w:footnoteRef/>
      </w:r>
      <w:r w:rsidRPr="00D77C59">
        <w:rPr>
          <w:rFonts w:cs="Segoe UI"/>
          <w:sz w:val="18"/>
          <w:szCs w:val="18"/>
        </w:rPr>
        <w:t xml:space="preserve"> Podle definice ve směrnici Evropského parlamentu a Rady 2008/98/ES ze dne 19. listopadu 2008 o odpadech a o zrušení některých směrnic (Úř. věst. L 312, 22.11.2008, s. 3, ELI: </w:t>
      </w:r>
      <w:hyperlink r:id="rId61" w:history="1">
        <w:r w:rsidRPr="00D77C59">
          <w:rPr>
            <w:rStyle w:val="Hypertextovodkaz"/>
            <w:rFonts w:cs="Segoe UI"/>
            <w:sz w:val="18"/>
            <w:szCs w:val="18"/>
          </w:rPr>
          <w:t>http://data.europa.eu/eli/dir/2008/98/oj</w:t>
        </w:r>
      </w:hyperlink>
      <w:r w:rsidRPr="00D77C59">
        <w:rPr>
          <w:rFonts w:cs="Segoe UI"/>
          <w:sz w:val="18"/>
          <w:szCs w:val="18"/>
        </w:rPr>
        <w:t>): „přípravou k opětovnému použití“ se rozumí způsoby využití zahrnující kontrolu, čištění nebo opravu a spočívající v tom, že jsou výrobky nebo části výrobků, které se staly odpady, upraveny tak, že budou opětovně použity bez dalšího předzpracování; Patří sem například příprava k opětovnému použití některých částí budov, jako jsou střešní prvky, okna, dveře, cihly, kameny nebo betonové prvky. Předpokladem přípravy k opětovnému použití stavebních prvků je obvykle selektivní dekonstrukce budov nebo jiných konstrukcí.</w:t>
      </w:r>
    </w:p>
  </w:footnote>
  <w:footnote w:id="191">
    <w:p w14:paraId="61371CF2" w14:textId="77777777" w:rsidR="00E310E9" w:rsidRPr="00D77C59" w:rsidRDefault="00E310E9" w:rsidP="00E310E9">
      <w:pPr>
        <w:pStyle w:val="Textpoznpodarou"/>
        <w:rPr>
          <w:rFonts w:cs="Segoe UI"/>
          <w:sz w:val="18"/>
          <w:szCs w:val="18"/>
        </w:rPr>
      </w:pPr>
      <w:r w:rsidRPr="00D77C59">
        <w:rPr>
          <w:rStyle w:val="Znakapoznpodarou"/>
          <w:rFonts w:cs="Segoe UI"/>
          <w:sz w:val="18"/>
          <w:szCs w:val="18"/>
        </w:rPr>
        <w:footnoteRef/>
      </w:r>
      <w:r w:rsidRPr="00D77C59">
        <w:rPr>
          <w:rFonts w:cs="Segoe UI"/>
          <w:sz w:val="18"/>
          <w:szCs w:val="18"/>
        </w:rPr>
        <w:t xml:space="preserve"> Podle definice ve směrnici Evropského parlamentu a Rady 2008/98/ES ze dne 19. listopadu 2008 o odpadech a o zrušení některých směrnic (Úř. věst. L 312, 22.11.2008, s. 3, ELI: </w:t>
      </w:r>
      <w:hyperlink r:id="rId62" w:history="1">
        <w:r w:rsidRPr="00D77C59">
          <w:rPr>
            <w:rStyle w:val="Hypertextovodkaz"/>
            <w:rFonts w:cs="Segoe UI"/>
            <w:sz w:val="18"/>
            <w:szCs w:val="18"/>
          </w:rPr>
          <w:t>http://data.europa.eu/eli/dir/2008/98/oj</w:t>
        </w:r>
      </w:hyperlink>
      <w:r w:rsidRPr="00D77C59">
        <w:rPr>
          <w:rFonts w:cs="Segoe UI"/>
          <w:sz w:val="18"/>
          <w:szCs w:val="18"/>
        </w:rPr>
        <w:t>): „recyklací“ se rozumí jakýkoli způsob využití, jímž je odpad znovu zpracován na výrobky, materiály nebo látky, ať pro původní nebo pro jiné účely. Recyklací je i opětovné zpracování organických materiálů, avšak nikoli rekuperace energie nebo opětovné zpracování na materiály určené k použití jako paliva nebo jako zásypový materiál.</w:t>
      </w:r>
    </w:p>
  </w:footnote>
  <w:footnote w:id="192">
    <w:p w14:paraId="1A5E6B53" w14:textId="77777777" w:rsidR="00E310E9" w:rsidRPr="00D77C59" w:rsidRDefault="00E310E9" w:rsidP="00E310E9">
      <w:pPr>
        <w:pStyle w:val="Textpoznpodarou"/>
        <w:rPr>
          <w:rFonts w:cs="Segoe UI"/>
          <w:sz w:val="18"/>
          <w:szCs w:val="18"/>
        </w:rPr>
      </w:pPr>
      <w:r w:rsidRPr="00D77C59">
        <w:rPr>
          <w:rStyle w:val="Znakapoznpodarou"/>
          <w:rFonts w:cs="Segoe UI"/>
          <w:sz w:val="18"/>
          <w:szCs w:val="18"/>
        </w:rPr>
        <w:footnoteRef/>
      </w:r>
      <w:r w:rsidRPr="00D77C59">
        <w:rPr>
          <w:rFonts w:cs="Segoe UI"/>
          <w:sz w:val="18"/>
          <w:szCs w:val="18"/>
        </w:rPr>
        <w:t xml:space="preserve"> Podle definice ve směrnici Evropského parlamentu a Rady 2008/98/ES ze dne 19. listopadu 2008 o odpadech a o zrušení některých směrnic (Úř. věst. L 312, 22.11.2008, s. 3, ELI: </w:t>
      </w:r>
      <w:hyperlink r:id="rId63" w:history="1">
        <w:r w:rsidRPr="00D77C59">
          <w:rPr>
            <w:rStyle w:val="Hypertextovodkaz"/>
            <w:rFonts w:cs="Segoe UI"/>
            <w:sz w:val="18"/>
            <w:szCs w:val="18"/>
          </w:rPr>
          <w:t>http://data.europa.eu/eli/dir/2008/98/oj</w:t>
        </w:r>
      </w:hyperlink>
      <w:r w:rsidRPr="00D77C59">
        <w:rPr>
          <w:rFonts w:cs="Segoe UI"/>
          <w:sz w:val="18"/>
          <w:szCs w:val="18"/>
        </w:rPr>
        <w:t>): „zasypáváním“ se rozumí jakýkoli způsob využití, při němž je vhodný nikoliv nebezpečný odpad použit pro účely rekultivace vytěžených oblastí nebo pro technické účely při terénních úpravách. Odpad použitý k zasypávání by měl nahrazovat materiály, které nejsou odpadem, vyhovovat daným účelům a být omezen na množství nezbytně nutné pro dosažení uvedených účelů.</w:t>
      </w:r>
    </w:p>
  </w:footnote>
  <w:footnote w:id="193">
    <w:p w14:paraId="334808D9" w14:textId="77777777" w:rsidR="00E310E9" w:rsidRPr="00D77C59" w:rsidRDefault="00E310E9" w:rsidP="00E310E9">
      <w:pPr>
        <w:pStyle w:val="Textpoznpodarou"/>
        <w:rPr>
          <w:rFonts w:cs="Segoe UI"/>
          <w:sz w:val="18"/>
          <w:szCs w:val="18"/>
        </w:rPr>
      </w:pPr>
      <w:r w:rsidRPr="00D77C59">
        <w:rPr>
          <w:rStyle w:val="Znakapoznpodarou"/>
          <w:rFonts w:cs="Segoe UI"/>
          <w:sz w:val="18"/>
          <w:szCs w:val="18"/>
        </w:rPr>
        <w:footnoteRef/>
      </w:r>
      <w:r w:rsidRPr="00D77C59">
        <w:rPr>
          <w:rFonts w:cs="Segoe UI"/>
          <w:sz w:val="18"/>
          <w:szCs w:val="18"/>
        </w:rPr>
        <w:t xml:space="preserve"> Typová zařízení dle Příloha č. 2 k zákonu č. 541/2020 Sb. (viz str. 179)</w:t>
      </w:r>
      <w:r>
        <w:rPr>
          <w:rFonts w:cs="Segoe UI"/>
          <w:sz w:val="18"/>
          <w:szCs w:val="18"/>
        </w:rPr>
        <w:t>.</w:t>
      </w:r>
    </w:p>
  </w:footnote>
  <w:footnote w:id="194">
    <w:p w14:paraId="6D88416C" w14:textId="77777777" w:rsidR="00E310E9" w:rsidRPr="00D77C59" w:rsidRDefault="00E310E9" w:rsidP="00E310E9">
      <w:pPr>
        <w:pStyle w:val="Textpoznpodarou"/>
        <w:rPr>
          <w:rFonts w:cs="Segoe UI"/>
          <w:sz w:val="18"/>
          <w:szCs w:val="18"/>
        </w:rPr>
      </w:pPr>
      <w:r w:rsidRPr="00D77C59">
        <w:rPr>
          <w:rStyle w:val="Znakapoznpodarou"/>
          <w:rFonts w:cs="Segoe UI"/>
          <w:sz w:val="18"/>
          <w:szCs w:val="18"/>
        </w:rPr>
        <w:footnoteRef/>
      </w:r>
      <w:r w:rsidRPr="00D77C59">
        <w:rPr>
          <w:rFonts w:cs="Segoe UI"/>
          <w:sz w:val="18"/>
          <w:szCs w:val="18"/>
        </w:rPr>
        <w:t xml:space="preserve"> Pozn.: Smlouvu dle zákona musí mít původce odpadu ještě před vznikem odpadu – doporučuje se proto dokládání smlouvy již při žádosti o podporu; doklad o převzetí – doloží žadatel po realizaci opatření.</w:t>
      </w:r>
    </w:p>
  </w:footnote>
  <w:footnote w:id="195">
    <w:p w14:paraId="1F42CF36" w14:textId="77777777" w:rsidR="00E310E9" w:rsidRPr="00D77C59" w:rsidRDefault="00E310E9" w:rsidP="00E310E9">
      <w:pPr>
        <w:pStyle w:val="Textpoznpodarou"/>
        <w:jc w:val="left"/>
        <w:rPr>
          <w:rFonts w:cs="Segoe UI"/>
          <w:sz w:val="18"/>
          <w:szCs w:val="18"/>
        </w:rPr>
      </w:pPr>
      <w:r w:rsidRPr="00D77C59">
        <w:rPr>
          <w:rStyle w:val="Znakapoznpodarou"/>
          <w:rFonts w:cs="Segoe UI"/>
          <w:sz w:val="18"/>
          <w:szCs w:val="18"/>
        </w:rPr>
        <w:footnoteRef/>
      </w:r>
      <w:r w:rsidRPr="00D77C59">
        <w:rPr>
          <w:rFonts w:cs="Segoe UI"/>
          <w:sz w:val="18"/>
          <w:szCs w:val="18"/>
        </w:rPr>
        <w:tab/>
        <w:t>Protokol EU pro nakládání se stavebním a demoličním odpadem (verze ze dne [datum přijetí]: https://ec.europa.eu/growth/content/eu-construction-and-demolition-waste-protocol-0_en).</w:t>
      </w:r>
    </w:p>
  </w:footnote>
  <w:footnote w:id="196">
    <w:p w14:paraId="61141193" w14:textId="77777777" w:rsidR="00E310E9" w:rsidRPr="00D77C59" w:rsidRDefault="00E310E9" w:rsidP="00E310E9">
      <w:pPr>
        <w:pStyle w:val="Textpoznpodarou"/>
        <w:jc w:val="left"/>
        <w:rPr>
          <w:rFonts w:cs="Segoe UI"/>
          <w:sz w:val="18"/>
          <w:szCs w:val="18"/>
        </w:rPr>
      </w:pPr>
      <w:r w:rsidRPr="00D77C59">
        <w:rPr>
          <w:rStyle w:val="Znakapoznpodarou"/>
          <w:rFonts w:cs="Segoe UI"/>
          <w:sz w:val="18"/>
          <w:szCs w:val="18"/>
        </w:rPr>
        <w:footnoteRef/>
      </w:r>
      <w:r>
        <w:rPr>
          <w:rFonts w:cs="Segoe UI"/>
          <w:sz w:val="18"/>
          <w:szCs w:val="18"/>
        </w:rPr>
        <w:t xml:space="preserve"> </w:t>
      </w:r>
      <w:r w:rsidRPr="00D77C59">
        <w:rPr>
          <w:rFonts w:cs="Segoe UI"/>
          <w:sz w:val="18"/>
          <w:szCs w:val="18"/>
        </w:rPr>
        <w:t>ISO 20887:2020, Udržitelnost u budov a inženýrských staveb – Návrh umožňující demontáž a přizpůsobivost – Zásady, požadavky a pokyny (verze ze dne [datum přijetí]: https://www.iso.org/standard/69370.html).</w:t>
      </w:r>
    </w:p>
  </w:footnote>
  <w:footnote w:id="197">
    <w:p w14:paraId="59F30EC4" w14:textId="77777777" w:rsidR="00E310E9" w:rsidRPr="00D77C59" w:rsidRDefault="00E310E9" w:rsidP="00E310E9">
      <w:pPr>
        <w:pStyle w:val="Textpoznpodarou"/>
        <w:jc w:val="left"/>
        <w:rPr>
          <w:rFonts w:cs="Segoe UI"/>
          <w:sz w:val="18"/>
          <w:szCs w:val="18"/>
        </w:rPr>
      </w:pPr>
      <w:r w:rsidRPr="00D77C59">
        <w:rPr>
          <w:rStyle w:val="Znakapoznpodarou"/>
          <w:rFonts w:cs="Segoe UI"/>
          <w:sz w:val="18"/>
          <w:szCs w:val="18"/>
        </w:rPr>
        <w:footnoteRef/>
      </w:r>
      <w:r w:rsidRPr="00D77C59">
        <w:rPr>
          <w:rFonts w:cs="Segoe UI"/>
          <w:sz w:val="18"/>
          <w:szCs w:val="18"/>
        </w:rPr>
        <w:tab/>
        <w:t>Nařízení Evropského parlamentu a Rady (EU) 2019/1021 ze dne 20. června 2019 o perzistentních organických znečišťujících látkách (Úř. věst. L 169, 25.</w:t>
      </w:r>
      <w:r>
        <w:rPr>
          <w:rFonts w:cs="Segoe UI"/>
          <w:sz w:val="18"/>
          <w:szCs w:val="18"/>
        </w:rPr>
        <w:t> </w:t>
      </w:r>
      <w:r w:rsidRPr="00D77C59">
        <w:rPr>
          <w:rFonts w:cs="Segoe UI"/>
          <w:sz w:val="18"/>
          <w:szCs w:val="18"/>
        </w:rPr>
        <w:t>6.</w:t>
      </w:r>
      <w:r>
        <w:rPr>
          <w:rFonts w:cs="Segoe UI"/>
          <w:sz w:val="18"/>
          <w:szCs w:val="18"/>
        </w:rPr>
        <w:t> </w:t>
      </w:r>
      <w:r w:rsidRPr="00D77C59">
        <w:rPr>
          <w:rFonts w:cs="Segoe UI"/>
          <w:sz w:val="18"/>
          <w:szCs w:val="18"/>
        </w:rPr>
        <w:t>2019, s. 45).</w:t>
      </w:r>
    </w:p>
  </w:footnote>
  <w:footnote w:id="198">
    <w:p w14:paraId="5C8A514A" w14:textId="77777777" w:rsidR="00E310E9" w:rsidRPr="00D77C59" w:rsidRDefault="00E310E9" w:rsidP="00E310E9">
      <w:pPr>
        <w:pStyle w:val="Textpoznpodarou"/>
        <w:jc w:val="left"/>
        <w:rPr>
          <w:rFonts w:cs="Segoe UI"/>
          <w:sz w:val="18"/>
          <w:szCs w:val="18"/>
        </w:rPr>
      </w:pPr>
      <w:r w:rsidRPr="00D77C59">
        <w:rPr>
          <w:rStyle w:val="Znakapoznpodarou"/>
          <w:rFonts w:cs="Segoe UI"/>
          <w:sz w:val="18"/>
          <w:szCs w:val="18"/>
        </w:rPr>
        <w:footnoteRef/>
      </w:r>
      <w:r w:rsidRPr="00D77C59">
        <w:rPr>
          <w:rFonts w:cs="Segoe UI"/>
          <w:sz w:val="18"/>
          <w:szCs w:val="18"/>
        </w:rPr>
        <w:tab/>
        <w:t>Nařízení Evropského parlamentu a Rady (EU) 2017/852 ze dne 17. května 2017 o rtuti a o zrušení nařízení (ES) č. 1102/2008 (Úř. věst. L 137, 24.</w:t>
      </w:r>
      <w:r>
        <w:rPr>
          <w:rFonts w:cs="Segoe UI"/>
          <w:sz w:val="18"/>
          <w:szCs w:val="18"/>
        </w:rPr>
        <w:t> </w:t>
      </w:r>
      <w:r w:rsidRPr="00D77C59">
        <w:rPr>
          <w:rFonts w:cs="Segoe UI"/>
          <w:sz w:val="18"/>
          <w:szCs w:val="18"/>
        </w:rPr>
        <w:t>5</w:t>
      </w:r>
      <w:r>
        <w:rPr>
          <w:rFonts w:cs="Segoe UI"/>
          <w:sz w:val="18"/>
          <w:szCs w:val="18"/>
        </w:rPr>
        <w:t> </w:t>
      </w:r>
      <w:r w:rsidRPr="00D77C59">
        <w:rPr>
          <w:rFonts w:cs="Segoe UI"/>
          <w:sz w:val="18"/>
          <w:szCs w:val="18"/>
        </w:rPr>
        <w:t>.2017, s. 1).</w:t>
      </w:r>
    </w:p>
  </w:footnote>
  <w:footnote w:id="199">
    <w:p w14:paraId="415D66CA" w14:textId="77777777" w:rsidR="00E310E9" w:rsidRPr="00D77C59" w:rsidRDefault="00E310E9" w:rsidP="00E310E9">
      <w:pPr>
        <w:pStyle w:val="Textpoznpodarou"/>
        <w:jc w:val="left"/>
        <w:rPr>
          <w:rFonts w:cs="Segoe UI"/>
          <w:sz w:val="18"/>
          <w:szCs w:val="18"/>
        </w:rPr>
      </w:pPr>
      <w:r w:rsidRPr="00D77C59">
        <w:rPr>
          <w:rStyle w:val="Znakapoznpodarou"/>
          <w:rFonts w:cs="Segoe UI"/>
          <w:sz w:val="18"/>
          <w:szCs w:val="18"/>
        </w:rPr>
        <w:footnoteRef/>
      </w:r>
      <w:r w:rsidRPr="00D77C59">
        <w:rPr>
          <w:rFonts w:cs="Segoe UI"/>
          <w:sz w:val="18"/>
          <w:szCs w:val="18"/>
        </w:rPr>
        <w:tab/>
        <w:t>Nařízení Evropského parlamentu a Rady (EU) 2024/590 ze dne 7. února 2024 o látkách, které poškozují ozonovou vrstvu (Úř. věst. L, 2024/590, 20.</w:t>
      </w:r>
      <w:r>
        <w:rPr>
          <w:rFonts w:cs="Segoe UI"/>
          <w:sz w:val="18"/>
          <w:szCs w:val="18"/>
        </w:rPr>
        <w:t> </w:t>
      </w:r>
      <w:r w:rsidRPr="00D77C59">
        <w:rPr>
          <w:rFonts w:cs="Segoe UI"/>
          <w:sz w:val="18"/>
          <w:szCs w:val="18"/>
        </w:rPr>
        <w:t>2.</w:t>
      </w:r>
      <w:r>
        <w:rPr>
          <w:rFonts w:cs="Segoe UI"/>
          <w:sz w:val="18"/>
          <w:szCs w:val="18"/>
        </w:rPr>
        <w:t> </w:t>
      </w:r>
      <w:r w:rsidRPr="00D77C59">
        <w:rPr>
          <w:rFonts w:cs="Segoe UI"/>
          <w:sz w:val="18"/>
          <w:szCs w:val="18"/>
        </w:rPr>
        <w:t>2024)</w:t>
      </w:r>
    </w:p>
  </w:footnote>
  <w:footnote w:id="200">
    <w:p w14:paraId="373D243B" w14:textId="77777777" w:rsidR="00E310E9" w:rsidRPr="00D77C59" w:rsidRDefault="00E310E9" w:rsidP="00E310E9">
      <w:pPr>
        <w:pStyle w:val="Textpoznpodarou"/>
        <w:jc w:val="left"/>
        <w:rPr>
          <w:rFonts w:cs="Segoe UI"/>
          <w:sz w:val="18"/>
          <w:szCs w:val="18"/>
        </w:rPr>
      </w:pPr>
      <w:r w:rsidRPr="00D77C59">
        <w:rPr>
          <w:rStyle w:val="Znakapoznpodarou"/>
          <w:rFonts w:cs="Segoe UI"/>
          <w:sz w:val="18"/>
          <w:szCs w:val="18"/>
        </w:rPr>
        <w:footnoteRef/>
      </w:r>
      <w:r w:rsidRPr="00D77C59">
        <w:rPr>
          <w:rFonts w:cs="Segoe UI"/>
          <w:sz w:val="18"/>
          <w:szCs w:val="18"/>
        </w:rPr>
        <w:tab/>
        <w:t>Směrnice Evropského parlamentu a Rady 2011/65/EU ze dne 8. června 2011 o omezení používání některých nebezpečných látek v elektrických a elektronických zařízeních (Úř. věst. L 174, 1</w:t>
      </w:r>
      <w:r>
        <w:rPr>
          <w:rFonts w:cs="Segoe UI"/>
          <w:sz w:val="18"/>
          <w:szCs w:val="18"/>
        </w:rPr>
        <w:t> </w:t>
      </w:r>
      <w:r w:rsidRPr="00D77C59">
        <w:rPr>
          <w:rFonts w:cs="Segoe UI"/>
          <w:sz w:val="18"/>
          <w:szCs w:val="18"/>
        </w:rPr>
        <w:t>.7.</w:t>
      </w:r>
      <w:r>
        <w:rPr>
          <w:rFonts w:cs="Segoe UI"/>
          <w:sz w:val="18"/>
          <w:szCs w:val="18"/>
        </w:rPr>
        <w:t> </w:t>
      </w:r>
      <w:r w:rsidRPr="00D77C59">
        <w:rPr>
          <w:rFonts w:cs="Segoe UI"/>
          <w:sz w:val="18"/>
          <w:szCs w:val="18"/>
        </w:rPr>
        <w:t>2011, s. 88).</w:t>
      </w:r>
    </w:p>
  </w:footnote>
  <w:footnote w:id="201">
    <w:p w14:paraId="3FA3C4E6" w14:textId="77777777" w:rsidR="00E310E9" w:rsidRPr="00D77C59" w:rsidRDefault="00E310E9" w:rsidP="00E310E9">
      <w:pPr>
        <w:pStyle w:val="Textpoznpodarou"/>
        <w:jc w:val="left"/>
        <w:rPr>
          <w:rFonts w:cs="Segoe UI"/>
          <w:sz w:val="18"/>
          <w:szCs w:val="18"/>
        </w:rPr>
      </w:pPr>
      <w:r w:rsidRPr="00D77C59">
        <w:rPr>
          <w:rStyle w:val="Znakapoznpodarou"/>
          <w:rFonts w:cs="Segoe UI"/>
          <w:sz w:val="18"/>
          <w:szCs w:val="18"/>
        </w:rPr>
        <w:footnoteRef/>
      </w:r>
      <w:r w:rsidRPr="00D77C59">
        <w:rPr>
          <w:rFonts w:cs="Segoe UI"/>
          <w:sz w:val="18"/>
          <w:szCs w:val="18"/>
        </w:rPr>
        <w:tab/>
        <w:t>Nařízení Evropského parlamentu a Rady (ES) č. 1907/2006 ze dne 18. prosince 2006 o registraci, hodnocení, povolování a omezování chemických látek, o zřízení Evropské agentury pro chemické látky, o změně směrnice 1999/45/ES a o zrušení nařízení Rady (EHS) č. 793/93, nařízení Komise (ES) č. 1488/94, směrnice Rady 76/769/EHS a směrnic Komise 91/155/EHS, 93/67/EHS, 93/105/ES a 2000/21/ES (Úř. věst. L 396, 30.</w:t>
      </w:r>
      <w:r>
        <w:rPr>
          <w:rFonts w:cs="Segoe UI"/>
          <w:sz w:val="18"/>
          <w:szCs w:val="18"/>
        </w:rPr>
        <w:t> </w:t>
      </w:r>
      <w:r w:rsidRPr="00D77C59">
        <w:rPr>
          <w:rFonts w:cs="Segoe UI"/>
          <w:sz w:val="18"/>
          <w:szCs w:val="18"/>
        </w:rPr>
        <w:t>12.</w:t>
      </w:r>
      <w:r>
        <w:rPr>
          <w:rFonts w:cs="Segoe UI"/>
          <w:sz w:val="18"/>
          <w:szCs w:val="18"/>
        </w:rPr>
        <w:t> </w:t>
      </w:r>
      <w:r w:rsidRPr="00D77C59">
        <w:rPr>
          <w:rFonts w:cs="Segoe UI"/>
          <w:sz w:val="18"/>
          <w:szCs w:val="18"/>
        </w:rPr>
        <w:t>2006, s. 1).</w:t>
      </w:r>
    </w:p>
  </w:footnote>
  <w:footnote w:id="202">
    <w:p w14:paraId="08C580C0" w14:textId="77777777" w:rsidR="00E310E9" w:rsidRPr="00D77C59" w:rsidRDefault="00E310E9" w:rsidP="00E310E9">
      <w:pPr>
        <w:pStyle w:val="Textpoznpodarou"/>
        <w:jc w:val="left"/>
        <w:rPr>
          <w:rFonts w:cs="Segoe UI"/>
          <w:sz w:val="18"/>
          <w:szCs w:val="18"/>
        </w:rPr>
      </w:pPr>
      <w:r w:rsidRPr="00D77C59">
        <w:rPr>
          <w:rStyle w:val="Znakapoznpodarou"/>
          <w:rFonts w:cs="Segoe UI"/>
          <w:sz w:val="18"/>
          <w:szCs w:val="18"/>
        </w:rPr>
        <w:footnoteRef/>
      </w:r>
      <w:r w:rsidRPr="00D77C59">
        <w:rPr>
          <w:rFonts w:cs="Segoe UI"/>
          <w:sz w:val="18"/>
          <w:szCs w:val="18"/>
        </w:rPr>
        <w:tab/>
        <w:t>Nařízení Evropského parlamentu a Rady (EU) 2019/1021 ze dne 20. června 2019 o perzistentních organických znečišťujících látkách (Úř. věst. L 169, 25.6.2019, s. 45).</w:t>
      </w:r>
    </w:p>
  </w:footnote>
  <w:footnote w:id="203">
    <w:p w14:paraId="1BE90D62" w14:textId="77777777" w:rsidR="00E310E9" w:rsidRPr="00D77C59" w:rsidRDefault="00E310E9" w:rsidP="00E310E9">
      <w:pPr>
        <w:pStyle w:val="Textpoznpodarou"/>
        <w:jc w:val="left"/>
        <w:rPr>
          <w:rFonts w:cs="Segoe UI"/>
          <w:sz w:val="18"/>
          <w:szCs w:val="18"/>
        </w:rPr>
      </w:pPr>
      <w:r w:rsidRPr="00D77C59">
        <w:rPr>
          <w:rStyle w:val="Znakapoznpodarou"/>
          <w:rFonts w:cs="Segoe UI"/>
          <w:sz w:val="18"/>
          <w:szCs w:val="18"/>
        </w:rPr>
        <w:footnoteRef/>
      </w:r>
      <w:r w:rsidRPr="00D77C59">
        <w:rPr>
          <w:rFonts w:cs="Segoe UI"/>
          <w:sz w:val="18"/>
          <w:szCs w:val="18"/>
        </w:rPr>
        <w:tab/>
        <w:t>Nařízení Evropského parlamentu a Rady (EU) 2017/852 ze dne 17. května 2017 o rtuti a o zrušení nařízení (ES) č. 1102/2008 (Úř. věst. L 137, 24.5.2017, s. 1).</w:t>
      </w:r>
    </w:p>
  </w:footnote>
  <w:footnote w:id="204">
    <w:p w14:paraId="56B334F4" w14:textId="77777777" w:rsidR="00E310E9" w:rsidRPr="00D77C59" w:rsidRDefault="00E310E9" w:rsidP="00E310E9">
      <w:pPr>
        <w:pStyle w:val="Textpoznpodarou"/>
        <w:jc w:val="left"/>
        <w:rPr>
          <w:rFonts w:cs="Segoe UI"/>
          <w:sz w:val="18"/>
          <w:szCs w:val="18"/>
        </w:rPr>
      </w:pPr>
      <w:r w:rsidRPr="00D77C59">
        <w:rPr>
          <w:rStyle w:val="Znakapoznpodarou"/>
          <w:rFonts w:cs="Segoe UI"/>
          <w:sz w:val="18"/>
          <w:szCs w:val="18"/>
        </w:rPr>
        <w:footnoteRef/>
      </w:r>
      <w:r w:rsidRPr="00D77C59">
        <w:rPr>
          <w:rFonts w:cs="Segoe UI"/>
          <w:sz w:val="18"/>
          <w:szCs w:val="18"/>
        </w:rPr>
        <w:tab/>
        <w:t>V textu zmíněné Nařízení (ES) č. 1005/2009 bylo zrušeno a nahrazeno Nařízením Evropského parlamentu a Rady (EU) 2024/590 ze dne 7. února 2024 o látkách, které poškozují ozonovou vrstvu (Úř. věst. L, 2024/590, 20.</w:t>
      </w:r>
      <w:r>
        <w:rPr>
          <w:rFonts w:cs="Segoe UI"/>
          <w:sz w:val="18"/>
          <w:szCs w:val="18"/>
        </w:rPr>
        <w:t> </w:t>
      </w:r>
      <w:r w:rsidRPr="00D77C59">
        <w:rPr>
          <w:rFonts w:cs="Segoe UI"/>
          <w:sz w:val="18"/>
          <w:szCs w:val="18"/>
        </w:rPr>
        <w:t>2.</w:t>
      </w:r>
      <w:r>
        <w:rPr>
          <w:rFonts w:cs="Segoe UI"/>
          <w:sz w:val="18"/>
          <w:szCs w:val="18"/>
        </w:rPr>
        <w:t> </w:t>
      </w:r>
      <w:r w:rsidRPr="00D77C59">
        <w:rPr>
          <w:rFonts w:cs="Segoe UI"/>
          <w:sz w:val="18"/>
          <w:szCs w:val="18"/>
        </w:rPr>
        <w:t>2024)</w:t>
      </w:r>
      <w:r>
        <w:rPr>
          <w:rFonts w:cs="Segoe UI"/>
          <w:sz w:val="18"/>
          <w:szCs w:val="18"/>
        </w:rPr>
        <w:t>.</w:t>
      </w:r>
    </w:p>
  </w:footnote>
  <w:footnote w:id="205">
    <w:p w14:paraId="34035201" w14:textId="77777777" w:rsidR="00E310E9" w:rsidRPr="00D77C59" w:rsidRDefault="00E310E9" w:rsidP="00E310E9">
      <w:pPr>
        <w:pStyle w:val="Textpoznpodarou"/>
        <w:jc w:val="left"/>
        <w:rPr>
          <w:rFonts w:cs="Segoe UI"/>
          <w:sz w:val="18"/>
          <w:szCs w:val="18"/>
        </w:rPr>
      </w:pPr>
      <w:r w:rsidRPr="00D77C59">
        <w:rPr>
          <w:rStyle w:val="Znakapoznpodarou"/>
          <w:rFonts w:cs="Segoe UI"/>
          <w:sz w:val="18"/>
          <w:szCs w:val="18"/>
        </w:rPr>
        <w:footnoteRef/>
      </w:r>
      <w:r w:rsidRPr="00D77C59">
        <w:rPr>
          <w:rFonts w:cs="Segoe UI"/>
          <w:sz w:val="18"/>
          <w:szCs w:val="18"/>
        </w:rPr>
        <w:tab/>
        <w:t>Směrnice Evropského parlamentu a Rady 2011/65/EU ze dne 8. června 2011 o omezení používání některých nebezpečných látek v elektrických a elektronických zařízeních (Úř. věst. L 174, 1.</w:t>
      </w:r>
      <w:r>
        <w:rPr>
          <w:rFonts w:cs="Segoe UI"/>
          <w:sz w:val="18"/>
          <w:szCs w:val="18"/>
        </w:rPr>
        <w:t> </w:t>
      </w:r>
      <w:r w:rsidRPr="00D77C59">
        <w:rPr>
          <w:rFonts w:cs="Segoe UI"/>
          <w:sz w:val="18"/>
          <w:szCs w:val="18"/>
        </w:rPr>
        <w:t>7.</w:t>
      </w:r>
      <w:r>
        <w:rPr>
          <w:rFonts w:cs="Segoe UI"/>
          <w:sz w:val="18"/>
          <w:szCs w:val="18"/>
        </w:rPr>
        <w:t> </w:t>
      </w:r>
      <w:r w:rsidRPr="00D77C59">
        <w:rPr>
          <w:rFonts w:cs="Segoe UI"/>
          <w:sz w:val="18"/>
          <w:szCs w:val="18"/>
        </w:rPr>
        <w:t>2011, s. 88).</w:t>
      </w:r>
    </w:p>
  </w:footnote>
  <w:footnote w:id="206">
    <w:p w14:paraId="7E6DB046" w14:textId="77777777" w:rsidR="00E310E9" w:rsidRPr="00D77C59" w:rsidRDefault="00E310E9" w:rsidP="00E310E9">
      <w:pPr>
        <w:pStyle w:val="Textpoznpodarou"/>
        <w:jc w:val="left"/>
        <w:rPr>
          <w:rFonts w:cs="Segoe UI"/>
          <w:sz w:val="18"/>
          <w:szCs w:val="18"/>
        </w:rPr>
      </w:pPr>
      <w:r w:rsidRPr="00D77C59">
        <w:rPr>
          <w:rStyle w:val="Znakapoznpodarou"/>
          <w:rFonts w:cs="Segoe UI"/>
          <w:sz w:val="18"/>
          <w:szCs w:val="18"/>
        </w:rPr>
        <w:footnoteRef/>
      </w:r>
      <w:r w:rsidRPr="00D77C59">
        <w:rPr>
          <w:rFonts w:cs="Segoe UI"/>
          <w:sz w:val="18"/>
          <w:szCs w:val="18"/>
        </w:rPr>
        <w:tab/>
        <w:t>Nařízení Evropského parlamentu a Rady (ES) č. 1907/2006 ze dne 18. prosince 2006 o registraci, hodnocení, povolování a omezování chemických látek, o zřízení Evropské agentury pro chemické látky, o změně směrnice 1999/45/ES a o zrušení nařízení Rady (EHS) č. 793/93, nařízení Komise (ES) č. 1488/94, směrnice Rady 76/769/EHS a směrnic Komise 91/155/EHS, 93/67/EHS, 93/105/ES a 2000/21/ES (Úř. věst. L 396, 30.</w:t>
      </w:r>
      <w:r>
        <w:rPr>
          <w:rFonts w:cs="Segoe UI"/>
          <w:sz w:val="18"/>
          <w:szCs w:val="18"/>
        </w:rPr>
        <w:t> </w:t>
      </w:r>
      <w:r w:rsidRPr="00D77C59">
        <w:rPr>
          <w:rFonts w:cs="Segoe UI"/>
          <w:sz w:val="18"/>
          <w:szCs w:val="18"/>
        </w:rPr>
        <w:t>12.</w:t>
      </w:r>
      <w:r>
        <w:rPr>
          <w:rFonts w:cs="Segoe UI"/>
          <w:sz w:val="18"/>
          <w:szCs w:val="18"/>
        </w:rPr>
        <w:t> </w:t>
      </w:r>
      <w:r w:rsidRPr="00D77C59">
        <w:rPr>
          <w:rFonts w:cs="Segoe UI"/>
          <w:sz w:val="18"/>
          <w:szCs w:val="18"/>
        </w:rPr>
        <w:t>2006, s. 1).</w:t>
      </w:r>
    </w:p>
  </w:footnote>
  <w:footnote w:id="207">
    <w:p w14:paraId="51106B4F" w14:textId="77777777" w:rsidR="00E310E9" w:rsidRPr="00D77C59" w:rsidRDefault="00E310E9" w:rsidP="00E310E9">
      <w:pPr>
        <w:pStyle w:val="Textpoznpodarou"/>
        <w:jc w:val="left"/>
        <w:rPr>
          <w:rFonts w:cs="Segoe UI"/>
          <w:sz w:val="18"/>
          <w:szCs w:val="18"/>
        </w:rPr>
      </w:pPr>
      <w:r w:rsidRPr="00D77C59">
        <w:rPr>
          <w:rStyle w:val="Znakapoznpodarou"/>
          <w:rFonts w:cs="Segoe UI"/>
          <w:sz w:val="18"/>
          <w:szCs w:val="18"/>
        </w:rPr>
        <w:footnoteRef/>
      </w:r>
      <w:r w:rsidRPr="00D77C59">
        <w:rPr>
          <w:rFonts w:cs="Segoe UI"/>
          <w:sz w:val="18"/>
          <w:szCs w:val="18"/>
        </w:rPr>
        <w:tab/>
        <w:t>Platí pro barvy a laky, obklady stropů, podlahové krytiny, včetně použitých lepidel a tmelů, vnitřní izolaci a vnitřní povrchové úpravy, jako je ošetření proti vlhkosti a plísni.</w:t>
      </w:r>
    </w:p>
  </w:footnote>
  <w:footnote w:id="208">
    <w:p w14:paraId="7DF19587" w14:textId="77777777" w:rsidR="00E310E9" w:rsidRPr="00D77C59" w:rsidRDefault="00E310E9" w:rsidP="00E310E9">
      <w:pPr>
        <w:pStyle w:val="Textpoznpodarou"/>
        <w:jc w:val="left"/>
        <w:rPr>
          <w:rFonts w:cs="Segoe UI"/>
          <w:sz w:val="18"/>
          <w:szCs w:val="18"/>
        </w:rPr>
      </w:pPr>
      <w:r w:rsidRPr="00D77C59">
        <w:rPr>
          <w:rStyle w:val="Znakapoznpodarou"/>
          <w:rFonts w:cs="Segoe UI"/>
          <w:sz w:val="18"/>
          <w:szCs w:val="18"/>
        </w:rPr>
        <w:footnoteRef/>
      </w:r>
      <w:r w:rsidRPr="00D77C59">
        <w:rPr>
          <w:rFonts w:cs="Segoe UI"/>
          <w:sz w:val="18"/>
          <w:szCs w:val="18"/>
        </w:rPr>
        <w:tab/>
        <w:t>CEN/TS 16516: 2013, Stavební výrobky – Posuzování uvolňování nebezpečných látek – Stanovení emisí do vnitřního ovzduší.</w:t>
      </w:r>
    </w:p>
  </w:footnote>
  <w:footnote w:id="209">
    <w:p w14:paraId="38026876" w14:textId="77777777" w:rsidR="00E310E9" w:rsidRPr="00D77C59" w:rsidRDefault="00E310E9" w:rsidP="00E310E9">
      <w:pPr>
        <w:pStyle w:val="Textpoznpodarou"/>
        <w:jc w:val="left"/>
        <w:rPr>
          <w:rFonts w:cs="Segoe UI"/>
          <w:sz w:val="18"/>
          <w:szCs w:val="18"/>
        </w:rPr>
      </w:pPr>
      <w:r w:rsidRPr="00D77C59">
        <w:rPr>
          <w:rStyle w:val="Znakapoznpodarou"/>
          <w:rFonts w:cs="Segoe UI"/>
          <w:sz w:val="18"/>
          <w:szCs w:val="18"/>
        </w:rPr>
        <w:footnoteRef/>
      </w:r>
      <w:r w:rsidRPr="00D77C59">
        <w:rPr>
          <w:rFonts w:cs="Segoe UI"/>
          <w:sz w:val="18"/>
          <w:szCs w:val="18"/>
        </w:rPr>
        <w:tab/>
        <w:t>ISO 16000-3:2011, Vnitřní ovzduší – Část 3: Stanovení formaldehydu a dalších karbonylových sloučenin ve vnitřním ovzduší a ve zkušební komoře – Aktivní metoda odběru vzorků (verze ze dne [datum přijetí]: https://www.iso.org/standard/51812.html).</w:t>
      </w:r>
    </w:p>
  </w:footnote>
  <w:footnote w:id="210">
    <w:p w14:paraId="4F6E39A1" w14:textId="77777777" w:rsidR="00E310E9" w:rsidRPr="00D77C59" w:rsidRDefault="00E310E9" w:rsidP="00E310E9">
      <w:pPr>
        <w:pStyle w:val="Textpoznpodarou"/>
        <w:jc w:val="left"/>
        <w:rPr>
          <w:rFonts w:cs="Segoe UI"/>
          <w:sz w:val="18"/>
          <w:szCs w:val="18"/>
        </w:rPr>
      </w:pPr>
      <w:r w:rsidRPr="00D77C59">
        <w:rPr>
          <w:rStyle w:val="Znakapoznpodarou"/>
          <w:rFonts w:cs="Segoe UI"/>
          <w:sz w:val="18"/>
          <w:szCs w:val="18"/>
        </w:rPr>
        <w:footnoteRef/>
      </w:r>
      <w:r w:rsidRPr="00D77C59">
        <w:rPr>
          <w:rFonts w:cs="Segoe UI"/>
          <w:sz w:val="18"/>
          <w:szCs w:val="18"/>
        </w:rPr>
        <w:tab/>
        <w:t>Mezní hodnoty emisí pro karcinogenní těkavé organické sloučeniny se vztahují k 28dennímu zkušebnímu období.</w:t>
      </w:r>
    </w:p>
  </w:footnote>
  <w:footnote w:id="211">
    <w:p w14:paraId="52A5A942" w14:textId="77777777" w:rsidR="00E310E9" w:rsidRPr="00D77C59" w:rsidRDefault="00E310E9" w:rsidP="00E310E9">
      <w:pPr>
        <w:pStyle w:val="Textpoznpodarou"/>
        <w:jc w:val="left"/>
        <w:rPr>
          <w:rFonts w:cs="Segoe UI"/>
          <w:sz w:val="18"/>
          <w:szCs w:val="18"/>
        </w:rPr>
      </w:pPr>
      <w:r w:rsidRPr="00D77C59">
        <w:rPr>
          <w:rStyle w:val="Znakapoznpodarou"/>
          <w:rFonts w:cs="Segoe UI"/>
          <w:sz w:val="18"/>
          <w:szCs w:val="18"/>
        </w:rPr>
        <w:footnoteRef/>
      </w:r>
      <w:r w:rsidRPr="00D77C59">
        <w:rPr>
          <w:rFonts w:cs="Segoe UI"/>
          <w:sz w:val="18"/>
          <w:szCs w:val="18"/>
        </w:rPr>
        <w:tab/>
        <w:t>Platí pro barvy a laky, obklady stropů, podlahové krytiny, včetně použitých lepidel a tmelů, vnitřní izolaci a vnitřní povrchové úpravy, jako je ošetření proti vlhkosti a plísni.</w:t>
      </w:r>
    </w:p>
  </w:footnote>
  <w:footnote w:id="212">
    <w:p w14:paraId="385B25AA" w14:textId="77777777" w:rsidR="00E310E9" w:rsidRPr="00D77C59" w:rsidRDefault="00E310E9" w:rsidP="00E310E9">
      <w:pPr>
        <w:pStyle w:val="Textpoznpodarou"/>
        <w:jc w:val="left"/>
        <w:rPr>
          <w:rFonts w:cs="Segoe UI"/>
          <w:sz w:val="18"/>
          <w:szCs w:val="18"/>
        </w:rPr>
      </w:pPr>
      <w:r w:rsidRPr="00D77C59">
        <w:rPr>
          <w:rStyle w:val="Znakapoznpodarou"/>
          <w:rFonts w:cs="Segoe UI"/>
          <w:sz w:val="18"/>
          <w:szCs w:val="18"/>
        </w:rPr>
        <w:footnoteRef/>
      </w:r>
      <w:r w:rsidRPr="00D77C59">
        <w:rPr>
          <w:rFonts w:cs="Segoe UI"/>
          <w:sz w:val="18"/>
          <w:szCs w:val="18"/>
        </w:rPr>
        <w:tab/>
        <w:t>CEN/TS 16516: 2013, Stavební výrobky – Posuzování uvolňování nebezpečných látek – Stanovení emisí do vnitřního ovzduší.</w:t>
      </w:r>
    </w:p>
  </w:footnote>
  <w:footnote w:id="213">
    <w:p w14:paraId="1BC0B8B0" w14:textId="77777777" w:rsidR="00E310E9" w:rsidRPr="00D77C59" w:rsidRDefault="00E310E9" w:rsidP="00E310E9">
      <w:pPr>
        <w:pStyle w:val="Textpoznpodarou"/>
        <w:jc w:val="left"/>
        <w:rPr>
          <w:rFonts w:cs="Segoe UI"/>
          <w:sz w:val="18"/>
          <w:szCs w:val="18"/>
        </w:rPr>
      </w:pPr>
      <w:r w:rsidRPr="00D77C59">
        <w:rPr>
          <w:rStyle w:val="Znakapoznpodarou"/>
          <w:rFonts w:cs="Segoe UI"/>
          <w:sz w:val="18"/>
          <w:szCs w:val="18"/>
        </w:rPr>
        <w:footnoteRef/>
      </w:r>
      <w:r w:rsidRPr="00D77C59">
        <w:rPr>
          <w:rFonts w:cs="Segoe UI"/>
          <w:sz w:val="18"/>
          <w:szCs w:val="18"/>
        </w:rPr>
        <w:tab/>
        <w:t>ISO 16000-3:2011, Vnitřní ovzduší – Část 3: Stanovení formaldehydu a dalších karbonylových sloučenin ve vnitřním ovzduší a ve zkušební komoře – Aktivní metoda odběru vzorků (verze ze dne [datum přijetí]: https://www.iso.org/standard/51812.html).</w:t>
      </w:r>
    </w:p>
  </w:footnote>
  <w:footnote w:id="214">
    <w:p w14:paraId="4B79E7D1" w14:textId="77777777" w:rsidR="00E310E9" w:rsidRPr="00D77C59" w:rsidRDefault="00E310E9" w:rsidP="00E310E9">
      <w:pPr>
        <w:pStyle w:val="Textpoznpodarou"/>
        <w:jc w:val="left"/>
        <w:rPr>
          <w:rFonts w:cs="Segoe UI"/>
          <w:sz w:val="18"/>
          <w:szCs w:val="18"/>
        </w:rPr>
      </w:pPr>
      <w:r w:rsidRPr="00D77C59">
        <w:rPr>
          <w:rStyle w:val="Znakapoznpodarou"/>
          <w:rFonts w:cs="Segoe UI"/>
          <w:sz w:val="18"/>
          <w:szCs w:val="18"/>
        </w:rPr>
        <w:footnoteRef/>
      </w:r>
      <w:r w:rsidRPr="00D77C59">
        <w:rPr>
          <w:rFonts w:cs="Segoe UI"/>
          <w:sz w:val="18"/>
          <w:szCs w:val="18"/>
        </w:rPr>
        <w:tab/>
        <w:t>Mezní hodnoty emisí pro karcinogenní těkavé organické sloučeniny se vztahují k 28dennímu zkušebnímu období.</w:t>
      </w:r>
    </w:p>
  </w:footnote>
  <w:footnote w:id="215">
    <w:p w14:paraId="1EBF1964" w14:textId="77777777" w:rsidR="00E310E9" w:rsidRPr="00D77C59" w:rsidRDefault="00E310E9" w:rsidP="00E310E9">
      <w:pPr>
        <w:pStyle w:val="Textpoznpodarou"/>
        <w:jc w:val="left"/>
        <w:rPr>
          <w:rFonts w:cs="Segoe UI"/>
          <w:sz w:val="18"/>
          <w:szCs w:val="18"/>
        </w:rPr>
      </w:pPr>
      <w:r w:rsidRPr="00D77C59">
        <w:rPr>
          <w:rStyle w:val="Znakapoznpodarou"/>
          <w:rFonts w:cs="Segoe UI"/>
          <w:sz w:val="18"/>
          <w:szCs w:val="18"/>
        </w:rPr>
        <w:footnoteRef/>
      </w:r>
      <w:r w:rsidRPr="00D77C59">
        <w:rPr>
          <w:rFonts w:cs="Segoe UI"/>
          <w:sz w:val="18"/>
          <w:szCs w:val="18"/>
        </w:rPr>
        <w:t xml:space="preserve"> </w:t>
      </w:r>
      <w:hyperlink r:id="rId64" w:tooltip="https://www.sekm.cz/portal/" w:history="1">
        <w:r w:rsidRPr="00D77C59">
          <w:rPr>
            <w:rStyle w:val="Hypertextovodkaz"/>
            <w:rFonts w:cs="Segoe UI"/>
            <w:sz w:val="18"/>
            <w:szCs w:val="18"/>
          </w:rPr>
          <w:t>https://www.sekm.cz/portal/</w:t>
        </w:r>
      </w:hyperlink>
      <w:r>
        <w:rPr>
          <w:rFonts w:cs="Segoe UI"/>
          <w:sz w:val="18"/>
          <w:szCs w:val="18"/>
        </w:rPr>
        <w:t>.</w:t>
      </w:r>
    </w:p>
  </w:footnote>
  <w:footnote w:id="216">
    <w:p w14:paraId="243DCA5A" w14:textId="77777777" w:rsidR="00E310E9" w:rsidRPr="00D77C59" w:rsidRDefault="00E310E9" w:rsidP="00E310E9">
      <w:pPr>
        <w:spacing w:after="0" w:line="240" w:lineRule="auto"/>
        <w:jc w:val="left"/>
        <w:rPr>
          <w:rFonts w:cs="Segoe UI"/>
          <w:sz w:val="18"/>
          <w:szCs w:val="18"/>
        </w:rPr>
      </w:pPr>
      <w:r w:rsidRPr="00D77C59">
        <w:rPr>
          <w:rStyle w:val="Znakapoznpodarou"/>
          <w:rFonts w:cs="Segoe UI"/>
          <w:sz w:val="18"/>
          <w:szCs w:val="18"/>
        </w:rPr>
        <w:footnoteRef/>
      </w:r>
      <w:r w:rsidRPr="00D77C59">
        <w:rPr>
          <w:rFonts w:cs="Segoe UI"/>
          <w:sz w:val="18"/>
          <w:szCs w:val="18"/>
        </w:rPr>
        <w:t xml:space="preserve"> Metodický pokyn ke stanovování podmínek k omezení emisí ze stavebních strojů a</w:t>
      </w:r>
      <w:r>
        <w:rPr>
          <w:rFonts w:cs="Segoe UI"/>
          <w:sz w:val="18"/>
          <w:szCs w:val="18"/>
        </w:rPr>
        <w:t xml:space="preserve"> </w:t>
      </w:r>
      <w:r w:rsidRPr="00D77C59">
        <w:rPr>
          <w:rFonts w:cs="Segoe UI"/>
          <w:sz w:val="18"/>
          <w:szCs w:val="18"/>
        </w:rPr>
        <w:t>z dalších stavebních činností (https://mzp.gov.cz/system/files/2024-11/OOO-MP_omezovani_prasnosti_ze_stavebni_cinnosti-20190918.pdf)</w:t>
      </w:r>
    </w:p>
  </w:footnote>
  <w:footnote w:id="217">
    <w:p w14:paraId="71889AEF" w14:textId="77777777" w:rsidR="00E310E9" w:rsidRPr="00D77C59" w:rsidRDefault="00E310E9" w:rsidP="00E310E9">
      <w:pPr>
        <w:pStyle w:val="Textpoznpodarou"/>
        <w:rPr>
          <w:rFonts w:cs="Segoe UI"/>
          <w:sz w:val="18"/>
          <w:szCs w:val="18"/>
        </w:rPr>
      </w:pPr>
      <w:r w:rsidRPr="00D77C59">
        <w:rPr>
          <w:rStyle w:val="Znakapoznpodarou"/>
          <w:rFonts w:cs="Segoe UI"/>
          <w:sz w:val="18"/>
          <w:szCs w:val="18"/>
        </w:rPr>
        <w:footnoteRef/>
      </w:r>
      <w:r>
        <w:rPr>
          <w:rFonts w:cs="Segoe UI"/>
          <w:sz w:val="18"/>
          <w:szCs w:val="18"/>
        </w:rPr>
        <w:t> </w:t>
      </w:r>
      <w:r w:rsidRPr="00D77C59">
        <w:rPr>
          <w:rFonts w:cs="Segoe UI"/>
          <w:sz w:val="18"/>
          <w:szCs w:val="18"/>
        </w:rPr>
        <w:t>Průvodce</w:t>
      </w:r>
      <w:r>
        <w:rPr>
          <w:rFonts w:cs="Segoe UI"/>
          <w:sz w:val="18"/>
          <w:szCs w:val="18"/>
        </w:rPr>
        <w:t> </w:t>
      </w:r>
      <w:r w:rsidRPr="00D77C59">
        <w:rPr>
          <w:rFonts w:cs="Segoe UI"/>
          <w:sz w:val="18"/>
          <w:szCs w:val="18"/>
        </w:rPr>
        <w:t>udržitelností</w:t>
      </w:r>
      <w:r>
        <w:rPr>
          <w:rFonts w:cs="Segoe UI"/>
          <w:sz w:val="18"/>
          <w:szCs w:val="18"/>
        </w:rPr>
        <w:t> </w:t>
      </w:r>
      <w:r w:rsidRPr="00D77C59">
        <w:rPr>
          <w:rFonts w:cs="Segoe UI"/>
          <w:sz w:val="18"/>
          <w:szCs w:val="18"/>
        </w:rPr>
        <w:t>a</w:t>
      </w:r>
      <w:r>
        <w:rPr>
          <w:rFonts w:cs="Segoe UI"/>
          <w:sz w:val="18"/>
          <w:szCs w:val="18"/>
        </w:rPr>
        <w:t> </w:t>
      </w:r>
      <w:r w:rsidRPr="00D77C59">
        <w:rPr>
          <w:rFonts w:cs="Segoe UI"/>
          <w:sz w:val="18"/>
          <w:szCs w:val="18"/>
        </w:rPr>
        <w:t>zásadou</w:t>
      </w:r>
      <w:r>
        <w:rPr>
          <w:rFonts w:cs="Segoe UI"/>
          <w:sz w:val="18"/>
          <w:szCs w:val="18"/>
        </w:rPr>
        <w:t> </w:t>
      </w:r>
      <w:r w:rsidRPr="00D77C59">
        <w:rPr>
          <w:rFonts w:cs="Segoe UI"/>
          <w:sz w:val="18"/>
          <w:szCs w:val="18"/>
        </w:rPr>
        <w:t>DNSH</w:t>
      </w:r>
      <w:r>
        <w:rPr>
          <w:rFonts w:cs="Segoe UI"/>
          <w:sz w:val="18"/>
          <w:szCs w:val="18"/>
        </w:rPr>
        <w:t> </w:t>
      </w:r>
      <w:r w:rsidRPr="00D77C59">
        <w:rPr>
          <w:rFonts w:cs="Segoe UI"/>
          <w:sz w:val="18"/>
          <w:szCs w:val="18"/>
        </w:rPr>
        <w:t>pro</w:t>
      </w:r>
      <w:r>
        <w:rPr>
          <w:rFonts w:cs="Segoe UI"/>
          <w:sz w:val="18"/>
          <w:szCs w:val="18"/>
        </w:rPr>
        <w:t> </w:t>
      </w:r>
      <w:r w:rsidRPr="00D77C59">
        <w:rPr>
          <w:rFonts w:cs="Segoe UI"/>
          <w:sz w:val="18"/>
          <w:szCs w:val="18"/>
        </w:rPr>
        <w:t>budovy</w:t>
      </w:r>
      <w:r>
        <w:rPr>
          <w:rFonts w:cs="Segoe UI"/>
          <w:sz w:val="18"/>
          <w:szCs w:val="18"/>
        </w:rPr>
        <w:br/>
      </w:r>
      <w:r w:rsidRPr="00D77C59">
        <w:rPr>
          <w:rFonts w:cs="Segoe UI"/>
          <w:sz w:val="18"/>
          <w:szCs w:val="18"/>
        </w:rPr>
        <w:t>(</w:t>
      </w:r>
      <w:hyperlink r:id="rId65" w:history="1">
        <w:r w:rsidRPr="00D77C59">
          <w:rPr>
            <w:rStyle w:val="Hypertextovodkaz"/>
            <w:rFonts w:cs="Segoe UI"/>
            <w:sz w:val="18"/>
            <w:szCs w:val="18"/>
          </w:rPr>
          <w:t>https://sfpi.cz/komponenta-4-1/assets/documents/SFPI_Pr%C5%AFvodce%20udr%C5%BEitelnost%C3%AD%20a%20z%C3%A1sadou%20DNSH%20pro%20budovy_2024-09.pdf</w:t>
        </w:r>
      </w:hyperlink>
      <w:r w:rsidRPr="00D77C59">
        <w:rPr>
          <w:rFonts w:cs="Segoe UI"/>
          <w:sz w:val="18"/>
          <w:szCs w:val="18"/>
        </w:rPr>
        <w:t>, str. 39)</w:t>
      </w:r>
      <w:r>
        <w:rPr>
          <w:rFonts w:cs="Segoe UI"/>
          <w:sz w:val="18"/>
          <w:szCs w:val="18"/>
        </w:rPr>
        <w:t>.</w:t>
      </w:r>
    </w:p>
  </w:footnote>
  <w:footnote w:id="218">
    <w:p w14:paraId="20ACC487" w14:textId="77777777" w:rsidR="00E310E9" w:rsidRPr="00D77C59" w:rsidRDefault="00E310E9" w:rsidP="00E310E9">
      <w:pPr>
        <w:pStyle w:val="Textpoznpodarou"/>
        <w:rPr>
          <w:rFonts w:cs="Segoe UI"/>
          <w:sz w:val="18"/>
          <w:szCs w:val="18"/>
        </w:rPr>
      </w:pPr>
      <w:r w:rsidRPr="00D77C59">
        <w:rPr>
          <w:rStyle w:val="Znakapoznpodarou"/>
          <w:rFonts w:cs="Segoe UI"/>
          <w:sz w:val="18"/>
          <w:szCs w:val="18"/>
        </w:rPr>
        <w:footnoteRef/>
      </w:r>
      <w:r w:rsidRPr="00D77C59">
        <w:rPr>
          <w:rFonts w:cs="Segoe UI"/>
          <w:sz w:val="18"/>
          <w:szCs w:val="18"/>
        </w:rPr>
        <w:t xml:space="preserve"> Pro tyto účely je možné konzultovat kandidátský seznam látek vzbuzujících mimořádné obavy (SVHC) obsahující látky, které mohou mít vážný dopad na lidské zdraví nebo na životní prostředí: </w:t>
      </w:r>
      <w:hyperlink r:id="rId66" w:history="1">
        <w:r w:rsidRPr="00D77C59">
          <w:rPr>
            <w:rStyle w:val="Hypertextovodkaz"/>
            <w:rFonts w:cs="Segoe UI"/>
            <w:sz w:val="18"/>
            <w:szCs w:val="18"/>
          </w:rPr>
          <w:t>https://echa.europa.eu/cs/candidate-list-table</w:t>
        </w:r>
      </w:hyperlink>
      <w:r>
        <w:rPr>
          <w:rFonts w:cs="Segoe UI"/>
          <w:sz w:val="18"/>
          <w:szCs w:val="18"/>
        </w:rPr>
        <w:t>.</w:t>
      </w:r>
    </w:p>
  </w:footnote>
  <w:footnote w:id="219">
    <w:p w14:paraId="1EFC32B5" w14:textId="77777777" w:rsidR="00E310E9" w:rsidRPr="00D77C59" w:rsidRDefault="00E310E9" w:rsidP="00E310E9">
      <w:pPr>
        <w:pStyle w:val="Textpoznpodarou"/>
        <w:jc w:val="left"/>
        <w:rPr>
          <w:rFonts w:cs="Segoe UI"/>
          <w:sz w:val="18"/>
          <w:szCs w:val="18"/>
        </w:rPr>
      </w:pPr>
      <w:r w:rsidRPr="00D77C59">
        <w:rPr>
          <w:rStyle w:val="Znakapoznpodarou"/>
          <w:rFonts w:cs="Segoe UI"/>
          <w:sz w:val="18"/>
          <w:szCs w:val="18"/>
        </w:rPr>
        <w:footnoteRef/>
      </w:r>
      <w:r>
        <w:rPr>
          <w:rFonts w:cs="Segoe UI"/>
          <w:sz w:val="18"/>
          <w:szCs w:val="18"/>
        </w:rPr>
        <w:t xml:space="preserve"> </w:t>
      </w:r>
      <w:r w:rsidRPr="00D77C59">
        <w:rPr>
          <w:rFonts w:cs="Segoe UI"/>
          <w:sz w:val="18"/>
          <w:szCs w:val="18"/>
        </w:rPr>
        <w:t xml:space="preserve">Půda o rozloze větší než 0,5 hektaru se stromy vyššími než pět metrů a korunovým zápojem tvořícím více než 10 % nebo se stromy schopnými dosáhnout těchto limitů </w:t>
      </w:r>
      <w:r w:rsidRPr="00D77C59">
        <w:rPr>
          <w:rFonts w:cs="Segoe UI"/>
          <w:i/>
          <w:iCs/>
          <w:sz w:val="18"/>
          <w:szCs w:val="18"/>
        </w:rPr>
        <w:t>in situ</w:t>
      </w:r>
      <w:r w:rsidRPr="00D77C59">
        <w:rPr>
          <w:rFonts w:cs="Segoe UI"/>
          <w:sz w:val="18"/>
          <w:szCs w:val="18"/>
        </w:rPr>
        <w:t xml:space="preserve">. Nezahrnuje území, u něhož převažuje zemědělské nebo městské využití. Posouzení globálních lesních zdrojů FAO 2020. Pojmy a definice (verze ze dne [datum přijetí]: </w:t>
      </w:r>
      <w:hyperlink r:id="rId67" w:tooltip="http://www.fao.org/3/I8661EN/i8661en.pdf" w:history="1">
        <w:r w:rsidRPr="00D77C59">
          <w:rPr>
            <w:rStyle w:val="Hypertextovodkaz"/>
            <w:rFonts w:cs="Segoe UI"/>
            <w:sz w:val="18"/>
            <w:szCs w:val="18"/>
          </w:rPr>
          <w:t>http://www.fao.org/3/I8661EN/i8661en.pdf</w:t>
        </w:r>
      </w:hyperlink>
      <w:r w:rsidRPr="00D77C59">
        <w:rPr>
          <w:rFonts w:cs="Segoe UI"/>
          <w:sz w:val="18"/>
          <w:szCs w:val="18"/>
        </w:rPr>
        <w:t>).</w:t>
      </w:r>
    </w:p>
  </w:footnote>
  <w:footnote w:id="220">
    <w:p w14:paraId="4C31FE0E" w14:textId="77777777" w:rsidR="00E310E9" w:rsidRPr="00D77C59" w:rsidRDefault="00E310E9" w:rsidP="00E310E9">
      <w:pPr>
        <w:pStyle w:val="Textpoznpodarou"/>
        <w:rPr>
          <w:rFonts w:cs="Segoe UI"/>
          <w:sz w:val="18"/>
          <w:szCs w:val="18"/>
        </w:rPr>
      </w:pPr>
      <w:r w:rsidRPr="00D77C59">
        <w:rPr>
          <w:rStyle w:val="Znakapoznpodarou"/>
          <w:rFonts w:cs="Segoe UI"/>
          <w:sz w:val="18"/>
          <w:szCs w:val="18"/>
        </w:rPr>
        <w:footnoteRef/>
      </w:r>
      <w:r w:rsidRPr="00D77C59">
        <w:rPr>
          <w:rFonts w:cs="Segoe UI"/>
          <w:sz w:val="18"/>
          <w:szCs w:val="18"/>
        </w:rPr>
        <w:t xml:space="preserve"> Požadování dokládání uvedené podmínky ze strany administrátorů EU fondů se nevztahuje na jednoduché stavby dle přílohy 2 stavebního zákona č. 283/2021 Sb</w:t>
      </w:r>
      <w:r>
        <w:rPr>
          <w:rFonts w:cs="Segoe UI"/>
          <w:sz w:val="18"/>
          <w:szCs w:val="18"/>
        </w:rPr>
        <w:t>.</w:t>
      </w:r>
    </w:p>
  </w:footnote>
  <w:footnote w:id="221">
    <w:p w14:paraId="6F00FD39" w14:textId="54E9A5DD" w:rsidR="00FC7D7E" w:rsidRPr="00D77C59" w:rsidRDefault="00FC7D7E">
      <w:pPr>
        <w:pStyle w:val="Textpoznpodarou"/>
        <w:rPr>
          <w:rFonts w:cs="Segoe UI"/>
          <w:sz w:val="18"/>
          <w:szCs w:val="18"/>
        </w:rPr>
      </w:pPr>
      <w:r w:rsidRPr="00D77C59">
        <w:rPr>
          <w:rStyle w:val="Znakapoznpodarou"/>
          <w:rFonts w:cs="Segoe UI"/>
          <w:sz w:val="18"/>
          <w:szCs w:val="18"/>
        </w:rPr>
        <w:footnoteRef/>
      </w:r>
      <w:r w:rsidRPr="00D77C59">
        <w:rPr>
          <w:rFonts w:cs="Segoe UI"/>
          <w:sz w:val="18"/>
          <w:szCs w:val="18"/>
        </w:rPr>
        <w:t xml:space="preserve"> </w:t>
      </w:r>
      <w:r w:rsidR="00CE132A" w:rsidRPr="00D77C59">
        <w:rPr>
          <w:rFonts w:cs="Segoe UI"/>
          <w:sz w:val="18"/>
          <w:szCs w:val="18"/>
        </w:rPr>
        <w:t>Pro splnění podmínky je možno využít následující t</w:t>
      </w:r>
      <w:r w:rsidR="00CA7A08" w:rsidRPr="00D77C59">
        <w:rPr>
          <w:rFonts w:cs="Segoe UI"/>
          <w:sz w:val="18"/>
          <w:szCs w:val="18"/>
        </w:rPr>
        <w:t xml:space="preserve">ypová zařízení </w:t>
      </w:r>
      <w:r w:rsidR="00CE132A" w:rsidRPr="00D77C59">
        <w:rPr>
          <w:rFonts w:cs="Segoe UI"/>
          <w:sz w:val="18"/>
          <w:szCs w:val="18"/>
        </w:rPr>
        <w:t xml:space="preserve">pro </w:t>
      </w:r>
      <w:r w:rsidR="00D878A3" w:rsidRPr="00D77C59">
        <w:rPr>
          <w:rFonts w:cs="Segoe UI"/>
          <w:sz w:val="18"/>
          <w:szCs w:val="18"/>
        </w:rPr>
        <w:t>nakládání</w:t>
      </w:r>
      <w:r w:rsidR="00CE132A" w:rsidRPr="00D77C59">
        <w:rPr>
          <w:rFonts w:cs="Segoe UI"/>
          <w:sz w:val="18"/>
          <w:szCs w:val="18"/>
        </w:rPr>
        <w:t xml:space="preserve"> s odpadem </w:t>
      </w:r>
      <w:r w:rsidR="00CA7A08" w:rsidRPr="00D77C59">
        <w:rPr>
          <w:rFonts w:cs="Segoe UI"/>
          <w:sz w:val="18"/>
          <w:szCs w:val="18"/>
        </w:rPr>
        <w:t xml:space="preserve">dle Příloha č. 2 k zákonu č. 541/2020 Sb.: </w:t>
      </w:r>
    </w:p>
    <w:p w14:paraId="13FF751C" w14:textId="77777777" w:rsidR="00CA7A08" w:rsidRPr="00D77C59" w:rsidRDefault="00CA7A08" w:rsidP="00A32A7E">
      <w:pPr>
        <w:pStyle w:val="Textpoznpodarou"/>
        <w:numPr>
          <w:ilvl w:val="0"/>
          <w:numId w:val="55"/>
        </w:numPr>
        <w:rPr>
          <w:rFonts w:cs="Segoe UI"/>
          <w:sz w:val="18"/>
          <w:szCs w:val="18"/>
        </w:rPr>
      </w:pPr>
      <w:r w:rsidRPr="00D77C59">
        <w:rPr>
          <w:rFonts w:cs="Segoe UI"/>
          <w:b/>
          <w:bCs/>
          <w:sz w:val="18"/>
          <w:szCs w:val="18"/>
        </w:rPr>
        <w:t>Typ zařízení (název technologie / činnosti):</w:t>
      </w:r>
      <w:r w:rsidRPr="00D77C59">
        <w:rPr>
          <w:rFonts w:cs="Segoe UI"/>
          <w:sz w:val="18"/>
          <w:szCs w:val="18"/>
        </w:rPr>
        <w:t xml:space="preserve"> </w:t>
      </w:r>
      <w:r w:rsidR="00A568A1" w:rsidRPr="00D77C59">
        <w:rPr>
          <w:rFonts w:cs="Segoe UI"/>
          <w:sz w:val="18"/>
          <w:szCs w:val="18"/>
        </w:rPr>
        <w:t>d</w:t>
      </w:r>
      <w:r w:rsidRPr="00D77C59">
        <w:rPr>
          <w:rFonts w:cs="Segoe UI"/>
          <w:sz w:val="18"/>
          <w:szCs w:val="18"/>
        </w:rPr>
        <w:t xml:space="preserve">rcení odpadu; </w:t>
      </w:r>
      <w:r w:rsidRPr="00D77C59">
        <w:rPr>
          <w:rFonts w:cs="Segoe UI"/>
          <w:b/>
          <w:bCs/>
          <w:sz w:val="18"/>
          <w:szCs w:val="18"/>
        </w:rPr>
        <w:t>činnost:</w:t>
      </w:r>
      <w:r w:rsidRPr="00D77C59">
        <w:rPr>
          <w:rFonts w:cs="Segoe UI"/>
          <w:sz w:val="18"/>
          <w:szCs w:val="18"/>
        </w:rPr>
        <w:t xml:space="preserve"> 3.2.0; </w:t>
      </w:r>
      <w:r w:rsidRPr="00D77C59">
        <w:rPr>
          <w:rFonts w:cs="Segoe UI"/>
          <w:b/>
          <w:bCs/>
          <w:sz w:val="18"/>
          <w:szCs w:val="18"/>
        </w:rPr>
        <w:t>způsob nakládání:</w:t>
      </w:r>
      <w:r w:rsidRPr="00D77C59">
        <w:rPr>
          <w:rFonts w:cs="Segoe UI"/>
          <w:sz w:val="18"/>
          <w:szCs w:val="18"/>
        </w:rPr>
        <w:t xml:space="preserve"> </w:t>
      </w:r>
      <w:r w:rsidR="00D61F19" w:rsidRPr="00D77C59">
        <w:rPr>
          <w:rFonts w:cs="Segoe UI"/>
          <w:sz w:val="18"/>
          <w:szCs w:val="18"/>
        </w:rPr>
        <w:t>R12a</w:t>
      </w:r>
      <w:r w:rsidR="00EA03DB">
        <w:rPr>
          <w:rFonts w:cs="Segoe UI"/>
          <w:sz w:val="18"/>
          <w:szCs w:val="18"/>
        </w:rPr>
        <w:t>.</w:t>
      </w:r>
    </w:p>
    <w:p w14:paraId="4A3C8152" w14:textId="77777777" w:rsidR="00D61F19" w:rsidRPr="00D77C59" w:rsidRDefault="00D61F19" w:rsidP="00A32A7E">
      <w:pPr>
        <w:pStyle w:val="Textpoznpodarou"/>
        <w:numPr>
          <w:ilvl w:val="0"/>
          <w:numId w:val="55"/>
        </w:numPr>
        <w:rPr>
          <w:rFonts w:cs="Segoe UI"/>
          <w:sz w:val="18"/>
          <w:szCs w:val="18"/>
        </w:rPr>
      </w:pPr>
      <w:r w:rsidRPr="00D77C59">
        <w:rPr>
          <w:rFonts w:cs="Segoe UI"/>
          <w:b/>
          <w:bCs/>
          <w:sz w:val="18"/>
          <w:szCs w:val="18"/>
        </w:rPr>
        <w:t>Typ zařízení (název technologie / činnosti):</w:t>
      </w:r>
      <w:r w:rsidRPr="00D77C59">
        <w:rPr>
          <w:rFonts w:cs="Segoe UI"/>
          <w:sz w:val="18"/>
          <w:szCs w:val="18"/>
        </w:rPr>
        <w:t xml:space="preserve"> </w:t>
      </w:r>
      <w:r w:rsidR="00A568A1" w:rsidRPr="00D77C59">
        <w:rPr>
          <w:rFonts w:cs="Segoe UI"/>
          <w:sz w:val="18"/>
          <w:szCs w:val="18"/>
        </w:rPr>
        <w:t>třídění, dotřídění odpadu</w:t>
      </w:r>
      <w:r w:rsidRPr="00D77C59">
        <w:rPr>
          <w:rFonts w:cs="Segoe UI"/>
          <w:sz w:val="18"/>
          <w:szCs w:val="18"/>
        </w:rPr>
        <w:t xml:space="preserve">; </w:t>
      </w:r>
      <w:r w:rsidRPr="00D77C59">
        <w:rPr>
          <w:rFonts w:cs="Segoe UI"/>
          <w:b/>
          <w:bCs/>
          <w:sz w:val="18"/>
          <w:szCs w:val="18"/>
        </w:rPr>
        <w:t>činnost:</w:t>
      </w:r>
      <w:r w:rsidRPr="00D77C59">
        <w:rPr>
          <w:rFonts w:cs="Segoe UI"/>
          <w:sz w:val="18"/>
          <w:szCs w:val="18"/>
        </w:rPr>
        <w:t xml:space="preserve"> 3.4.0; </w:t>
      </w:r>
      <w:r w:rsidRPr="00D77C59">
        <w:rPr>
          <w:rFonts w:cs="Segoe UI"/>
          <w:b/>
          <w:bCs/>
          <w:sz w:val="18"/>
          <w:szCs w:val="18"/>
        </w:rPr>
        <w:t>způsob nakládání:</w:t>
      </w:r>
      <w:r w:rsidRPr="00D77C59">
        <w:rPr>
          <w:rFonts w:cs="Segoe UI"/>
          <w:sz w:val="18"/>
          <w:szCs w:val="18"/>
        </w:rPr>
        <w:t xml:space="preserve"> R12a,e</w:t>
      </w:r>
      <w:r w:rsidR="00EA03DB">
        <w:rPr>
          <w:rFonts w:cs="Segoe UI"/>
          <w:sz w:val="18"/>
          <w:szCs w:val="18"/>
        </w:rPr>
        <w:t>.</w:t>
      </w:r>
    </w:p>
    <w:p w14:paraId="0E3A11F1" w14:textId="77777777" w:rsidR="00D61F19" w:rsidRPr="00D77C59" w:rsidRDefault="00D61F19" w:rsidP="00A32A7E">
      <w:pPr>
        <w:pStyle w:val="Textpoznpodarou"/>
        <w:numPr>
          <w:ilvl w:val="0"/>
          <w:numId w:val="55"/>
        </w:numPr>
        <w:rPr>
          <w:rFonts w:cs="Segoe UI"/>
          <w:sz w:val="18"/>
          <w:szCs w:val="18"/>
        </w:rPr>
      </w:pPr>
      <w:r w:rsidRPr="00D77C59">
        <w:rPr>
          <w:rFonts w:cs="Segoe UI"/>
          <w:b/>
          <w:bCs/>
          <w:sz w:val="18"/>
          <w:szCs w:val="18"/>
        </w:rPr>
        <w:t>Typ zařízení (název technologie / činnosti):</w:t>
      </w:r>
      <w:r w:rsidRPr="00D77C59">
        <w:rPr>
          <w:rFonts w:cs="Segoe UI"/>
          <w:sz w:val="18"/>
          <w:szCs w:val="18"/>
        </w:rPr>
        <w:t xml:space="preserve"> zařízení k přípravě pro opětovné použití; </w:t>
      </w:r>
      <w:r w:rsidRPr="00D77C59">
        <w:rPr>
          <w:rFonts w:cs="Segoe UI"/>
          <w:b/>
          <w:bCs/>
          <w:sz w:val="18"/>
          <w:szCs w:val="18"/>
        </w:rPr>
        <w:t>činnost:</w:t>
      </w:r>
      <w:r w:rsidRPr="00D77C59">
        <w:rPr>
          <w:rFonts w:cs="Segoe UI"/>
          <w:sz w:val="18"/>
          <w:szCs w:val="18"/>
        </w:rPr>
        <w:t xml:space="preserve"> 5.17.0; </w:t>
      </w:r>
      <w:r w:rsidRPr="00D77C59">
        <w:rPr>
          <w:rFonts w:cs="Segoe UI"/>
          <w:b/>
          <w:bCs/>
          <w:sz w:val="18"/>
          <w:szCs w:val="18"/>
        </w:rPr>
        <w:t>způsob nakládání:</w:t>
      </w:r>
      <w:r w:rsidRPr="00D77C59">
        <w:rPr>
          <w:rFonts w:cs="Segoe UI"/>
          <w:sz w:val="18"/>
          <w:szCs w:val="18"/>
        </w:rPr>
        <w:t xml:space="preserve"> R5c</w:t>
      </w:r>
      <w:r w:rsidR="00EA03DB">
        <w:rPr>
          <w:rFonts w:cs="Segoe UI"/>
          <w:sz w:val="18"/>
          <w:szCs w:val="18"/>
        </w:rPr>
        <w:t>.</w:t>
      </w:r>
    </w:p>
    <w:p w14:paraId="64CEF449" w14:textId="77777777" w:rsidR="00D61F19" w:rsidRPr="00D77C59" w:rsidRDefault="00D61F19" w:rsidP="00A32A7E">
      <w:pPr>
        <w:pStyle w:val="Textpoznpodarou"/>
        <w:numPr>
          <w:ilvl w:val="0"/>
          <w:numId w:val="55"/>
        </w:numPr>
        <w:rPr>
          <w:rFonts w:cs="Segoe UI"/>
          <w:sz w:val="18"/>
          <w:szCs w:val="18"/>
        </w:rPr>
      </w:pPr>
      <w:r w:rsidRPr="00D77C59">
        <w:rPr>
          <w:rFonts w:cs="Segoe UI"/>
          <w:b/>
          <w:bCs/>
          <w:sz w:val="18"/>
          <w:szCs w:val="18"/>
        </w:rPr>
        <w:t>Typ zařízení (název technologie / činnosti):</w:t>
      </w:r>
      <w:r w:rsidRPr="00D77C59">
        <w:rPr>
          <w:rFonts w:cs="Segoe UI"/>
          <w:sz w:val="18"/>
          <w:szCs w:val="18"/>
        </w:rPr>
        <w:t xml:space="preserve"> výroba recyklátu ze stavebních a demoličních odpadů; </w:t>
      </w:r>
      <w:r w:rsidRPr="00D77C59">
        <w:rPr>
          <w:rFonts w:cs="Segoe UI"/>
          <w:b/>
          <w:bCs/>
          <w:sz w:val="18"/>
          <w:szCs w:val="18"/>
        </w:rPr>
        <w:t>činnost:</w:t>
      </w:r>
      <w:r w:rsidRPr="00D77C59">
        <w:rPr>
          <w:rFonts w:cs="Segoe UI"/>
          <w:sz w:val="18"/>
          <w:szCs w:val="18"/>
        </w:rPr>
        <w:t xml:space="preserve"> 5.10.2; </w:t>
      </w:r>
      <w:r w:rsidRPr="00D77C59">
        <w:rPr>
          <w:rFonts w:cs="Segoe UI"/>
          <w:b/>
          <w:bCs/>
          <w:sz w:val="18"/>
          <w:szCs w:val="18"/>
        </w:rPr>
        <w:t>způsob nakládání:</w:t>
      </w:r>
      <w:r w:rsidRPr="00D77C59">
        <w:rPr>
          <w:rFonts w:cs="Segoe UI"/>
          <w:sz w:val="18"/>
          <w:szCs w:val="18"/>
        </w:rPr>
        <w:t xml:space="preserve"> R5d</w:t>
      </w:r>
      <w:r w:rsidR="00EA03DB">
        <w:rPr>
          <w:rFonts w:cs="Segoe UI"/>
          <w:sz w:val="18"/>
          <w:szCs w:val="18"/>
        </w:rPr>
        <w:t>.</w:t>
      </w:r>
    </w:p>
    <w:p w14:paraId="727E7506" w14:textId="77777777" w:rsidR="00D61F19" w:rsidRPr="00D77C59" w:rsidRDefault="00D61F19" w:rsidP="00A32A7E">
      <w:pPr>
        <w:pStyle w:val="Textpoznpodarou"/>
        <w:numPr>
          <w:ilvl w:val="0"/>
          <w:numId w:val="55"/>
        </w:numPr>
        <w:rPr>
          <w:rFonts w:cs="Segoe UI"/>
          <w:sz w:val="18"/>
          <w:szCs w:val="18"/>
        </w:rPr>
      </w:pPr>
      <w:r w:rsidRPr="00D77C59">
        <w:rPr>
          <w:rFonts w:cs="Segoe UI"/>
          <w:b/>
          <w:bCs/>
          <w:sz w:val="18"/>
          <w:szCs w:val="18"/>
        </w:rPr>
        <w:t>Typ zařízení (název technologie / činnosti):</w:t>
      </w:r>
      <w:r w:rsidRPr="00D77C59">
        <w:rPr>
          <w:rFonts w:cs="Segoe UI"/>
          <w:sz w:val="18"/>
          <w:szCs w:val="18"/>
        </w:rPr>
        <w:t xml:space="preserve"> sběr odpadů; </w:t>
      </w:r>
      <w:r w:rsidRPr="00D77C59">
        <w:rPr>
          <w:rFonts w:cs="Segoe UI"/>
          <w:b/>
          <w:bCs/>
          <w:sz w:val="18"/>
          <w:szCs w:val="18"/>
        </w:rPr>
        <w:t>činnost:</w:t>
      </w:r>
      <w:r w:rsidRPr="00D77C59">
        <w:rPr>
          <w:rFonts w:cs="Segoe UI"/>
          <w:sz w:val="18"/>
          <w:szCs w:val="18"/>
        </w:rPr>
        <w:t xml:space="preserve"> </w:t>
      </w:r>
      <w:r w:rsidR="00CD638B" w:rsidRPr="00D77C59">
        <w:rPr>
          <w:rFonts w:cs="Segoe UI"/>
          <w:sz w:val="18"/>
          <w:szCs w:val="18"/>
        </w:rPr>
        <w:t>11.1.0</w:t>
      </w:r>
      <w:r w:rsidRPr="00D77C59">
        <w:rPr>
          <w:rFonts w:cs="Segoe UI"/>
          <w:sz w:val="18"/>
          <w:szCs w:val="18"/>
        </w:rPr>
        <w:t>;</w:t>
      </w:r>
      <w:r w:rsidR="000D5891" w:rsidRPr="00D77C59">
        <w:rPr>
          <w:rFonts w:cs="Segoe UI"/>
          <w:sz w:val="18"/>
          <w:szCs w:val="18"/>
        </w:rPr>
        <w:t xml:space="preserve"> (v případě, že zařízení ke sběru odpadů na základě interní smlouvy zpětně doloží žadateli vážní lístek o předání odpadu do zařízení k recyklaci dle § 17 odst. 1</w:t>
      </w:r>
      <w:r w:rsidR="00614A61" w:rsidRPr="00D77C59">
        <w:rPr>
          <w:rFonts w:cs="Segoe UI"/>
          <w:sz w:val="18"/>
          <w:szCs w:val="18"/>
        </w:rPr>
        <w:t xml:space="preserve"> písm. c)</w:t>
      </w:r>
      <w:r w:rsidR="000D5891" w:rsidRPr="00D77C59">
        <w:rPr>
          <w:rFonts w:cs="Segoe UI"/>
          <w:sz w:val="18"/>
          <w:szCs w:val="18"/>
        </w:rPr>
        <w:t xml:space="preserve"> zák</w:t>
      </w:r>
      <w:r w:rsidR="00614A61" w:rsidRPr="00D77C59">
        <w:rPr>
          <w:rFonts w:cs="Segoe UI"/>
          <w:sz w:val="18"/>
          <w:szCs w:val="18"/>
        </w:rPr>
        <w:t>ona</w:t>
      </w:r>
      <w:r w:rsidR="000D5891" w:rsidRPr="00D77C59">
        <w:rPr>
          <w:rFonts w:cs="Segoe UI"/>
          <w:sz w:val="18"/>
          <w:szCs w:val="18"/>
        </w:rPr>
        <w:t xml:space="preserve"> č. 541/2020 Sb., o odpadech.</w:t>
      </w:r>
    </w:p>
    <w:p w14:paraId="785C6595" w14:textId="77777777" w:rsidR="00614A61" w:rsidRPr="00D77C59" w:rsidRDefault="00614A61" w:rsidP="00A32A7E">
      <w:pPr>
        <w:pStyle w:val="Textpoznpodarou"/>
        <w:numPr>
          <w:ilvl w:val="0"/>
          <w:numId w:val="55"/>
        </w:numPr>
        <w:rPr>
          <w:rFonts w:cs="Segoe UI"/>
          <w:b/>
          <w:bCs/>
          <w:i/>
          <w:iCs/>
          <w:sz w:val="18"/>
          <w:szCs w:val="18"/>
        </w:rPr>
      </w:pPr>
      <w:hyperlink r:id="rId68" w:history="1">
        <w:r w:rsidRPr="00D77C59">
          <w:rPr>
            <w:rStyle w:val="Hypertextovodkaz"/>
            <w:rFonts w:cs="Segoe UI"/>
            <w:b/>
            <w:bCs/>
            <w:i/>
            <w:iCs/>
            <w:sz w:val="18"/>
            <w:szCs w:val="18"/>
          </w:rPr>
          <w:t>Registr zařízení pro nakládání s odpady provozovaných dle zákona o odpadech</w:t>
        </w:r>
      </w:hyperlink>
      <w:r w:rsidR="00EA03DB">
        <w:t>.</w:t>
      </w:r>
    </w:p>
    <w:p w14:paraId="0BB1EF75" w14:textId="77777777" w:rsidR="00D61F19" w:rsidRPr="00D77C59" w:rsidRDefault="00D61F19" w:rsidP="001A199F">
      <w:pPr>
        <w:pStyle w:val="Textpoznpodarou"/>
        <w:ind w:left="720"/>
        <w:rPr>
          <w:rFonts w:cs="Segoe UI"/>
          <w:sz w:val="18"/>
          <w:szCs w:val="18"/>
        </w:rPr>
      </w:pPr>
    </w:p>
  </w:footnote>
  <w:footnote w:id="222">
    <w:p w14:paraId="09A67026" w14:textId="2B0989D4" w:rsidR="00522759" w:rsidRPr="00D77C59" w:rsidRDefault="00522759">
      <w:pPr>
        <w:pStyle w:val="Textpoznpodarou"/>
        <w:rPr>
          <w:rFonts w:cs="Segoe UI"/>
          <w:sz w:val="18"/>
          <w:szCs w:val="18"/>
        </w:rPr>
      </w:pPr>
      <w:r w:rsidRPr="00D77C59">
        <w:rPr>
          <w:rStyle w:val="Znakapoznpodarou"/>
          <w:rFonts w:cs="Segoe UI"/>
          <w:sz w:val="18"/>
          <w:szCs w:val="18"/>
        </w:rPr>
        <w:footnoteRef/>
      </w:r>
      <w:r w:rsidRPr="00D77C59">
        <w:rPr>
          <w:rFonts w:cs="Segoe UI"/>
          <w:sz w:val="18"/>
          <w:szCs w:val="18"/>
        </w:rPr>
        <w:t xml:space="preserve"> </w:t>
      </w:r>
      <w:r w:rsidR="00AB2D04" w:rsidRPr="00D77C59">
        <w:rPr>
          <w:rFonts w:cs="Segoe UI"/>
          <w:sz w:val="18"/>
          <w:szCs w:val="18"/>
        </w:rPr>
        <w:t>Zasypáváním ve smyslu zákona o odpadech není, pokud tímto způsobem dojde k použití výrobku ve formě recyklátu, který vznikl recyklací stavebního odpadu. Tento způsob lze započítat jako součást výpočtu podmínky 70</w:t>
      </w:r>
      <w:r w:rsidR="00EA03DB">
        <w:rPr>
          <w:rFonts w:cs="Segoe UI"/>
          <w:sz w:val="18"/>
          <w:szCs w:val="18"/>
        </w:rPr>
        <w:t> </w:t>
      </w:r>
      <w:r w:rsidR="00AB2D04" w:rsidRPr="00D77C59">
        <w:rPr>
          <w:rFonts w:cs="Segoe UI"/>
          <w:sz w:val="18"/>
          <w:szCs w:val="18"/>
        </w:rPr>
        <w:t>%.</w:t>
      </w:r>
    </w:p>
  </w:footnote>
  <w:footnote w:id="223">
    <w:p w14:paraId="0B2260AE" w14:textId="77777777" w:rsidR="00602DCA" w:rsidRPr="00D77C59" w:rsidRDefault="00C5530C">
      <w:pPr>
        <w:pStyle w:val="Textpoznpodarou"/>
        <w:jc w:val="left"/>
        <w:rPr>
          <w:rFonts w:cs="Segoe UI"/>
          <w:sz w:val="18"/>
          <w:szCs w:val="18"/>
        </w:rPr>
      </w:pPr>
      <w:r w:rsidRPr="00D77C59">
        <w:rPr>
          <w:rStyle w:val="Znakapoznpodarou"/>
          <w:rFonts w:cs="Segoe UI"/>
          <w:sz w:val="18"/>
          <w:szCs w:val="18"/>
        </w:rPr>
        <w:footnoteRef/>
      </w:r>
      <w:r w:rsidRPr="00D77C59">
        <w:rPr>
          <w:rFonts w:cs="Segoe UI"/>
          <w:sz w:val="18"/>
          <w:szCs w:val="18"/>
        </w:rPr>
        <w:tab/>
        <w:t>Podle přílohy I směrnice Evropského parlamentu a Rady 2005/64/ES ze dne 26. října 2005 o schvalování typu motorových vozidel z hlediska jejich opětné použitelnosti, recyklovatelnosti a využitelnosti a o změně směrnice Rady 70/156/EHS (Úř. věst. L 310, 25.11.2005, s. 10).</w:t>
      </w:r>
    </w:p>
  </w:footnote>
  <w:footnote w:id="224">
    <w:p w14:paraId="40E39F45" w14:textId="77777777" w:rsidR="00602DCA" w:rsidRPr="00D77C59" w:rsidRDefault="00C5530C">
      <w:pPr>
        <w:pStyle w:val="Textpoznpodarou"/>
        <w:jc w:val="left"/>
        <w:rPr>
          <w:rFonts w:cs="Segoe UI"/>
          <w:sz w:val="18"/>
          <w:szCs w:val="18"/>
        </w:rPr>
      </w:pPr>
      <w:r w:rsidRPr="00D77C59">
        <w:rPr>
          <w:rStyle w:val="Znakapoznpodarou"/>
          <w:rFonts w:cs="Segoe UI"/>
          <w:sz w:val="18"/>
          <w:szCs w:val="18"/>
        </w:rPr>
        <w:footnoteRef/>
      </w:r>
      <w:r w:rsidRPr="00D77C59">
        <w:rPr>
          <w:rFonts w:cs="Segoe UI"/>
          <w:sz w:val="18"/>
          <w:szCs w:val="18"/>
        </w:rPr>
        <w:tab/>
        <w:t>Nařízení Komise (EU) 2018/1832 ze dne 5. listopadu 2018, kterým se mění směrnice Evropského parlamentu a Rady 2007/46/ES, nařízení Komise (ES) č. 692/2008 a nařízení Komise (EU) 2017/1151 za účelem zlepšení zkoušek a postupů schválení typu z hlediska emisí pro lehká osobní vozidla a užitková vozidla, včetně zkoušek a postupů týkajících se shodnosti v provozu a emisí v reálném provozu, a za účelem zavedení zařízení pro monitorování spotřeby paliva a elektrické energie (Úř. věst. L 301, 27.11.2018, s. 1).</w:t>
      </w:r>
    </w:p>
  </w:footnote>
  <w:footnote w:id="225">
    <w:p w14:paraId="7761EC69" w14:textId="77777777" w:rsidR="00602DCA" w:rsidRPr="00D77C59" w:rsidRDefault="00C5530C">
      <w:pPr>
        <w:pStyle w:val="Textpoznpodarou"/>
        <w:jc w:val="left"/>
        <w:rPr>
          <w:rFonts w:cs="Segoe UI"/>
          <w:sz w:val="18"/>
          <w:szCs w:val="18"/>
        </w:rPr>
      </w:pPr>
      <w:r w:rsidRPr="00D77C59">
        <w:rPr>
          <w:rStyle w:val="Znakapoznpodarou"/>
          <w:rFonts w:cs="Segoe UI"/>
          <w:sz w:val="18"/>
          <w:szCs w:val="18"/>
        </w:rPr>
        <w:footnoteRef/>
      </w:r>
      <w:r w:rsidRPr="00D77C59">
        <w:rPr>
          <w:rFonts w:cs="Segoe UI"/>
          <w:sz w:val="18"/>
          <w:szCs w:val="18"/>
        </w:rPr>
        <w:tab/>
        <w:t>Nařízení Evropského parlamentu a Rady (EU) č. 540/2014 ze dne 16. dubna 2014 o hladině akustického tlaku motorových vozidel a náhradních systémů tlumení hluku a o změně směrnice 2007/46/ES a o zrušení směrnice 70/157/EHS (Úř. věst. L 158, 27.5.2014, s. 131).</w:t>
      </w:r>
    </w:p>
  </w:footnote>
  <w:footnote w:id="226">
    <w:p w14:paraId="42F8542C" w14:textId="77777777" w:rsidR="00384D5C" w:rsidRPr="0046624D" w:rsidRDefault="00384D5C" w:rsidP="00384D5C">
      <w:pPr>
        <w:pStyle w:val="Textpoznpodarou"/>
        <w:jc w:val="left"/>
        <w:rPr>
          <w:sz w:val="18"/>
        </w:rPr>
      </w:pPr>
      <w:r w:rsidRPr="0046624D">
        <w:rPr>
          <w:rStyle w:val="Znakapoznpodarou"/>
          <w:sz w:val="18"/>
        </w:rPr>
        <w:footnoteRef/>
      </w:r>
      <w:r w:rsidRPr="0046624D">
        <w:rPr>
          <w:sz w:val="18"/>
        </w:rPr>
        <w:tab/>
        <w:t>Zahrnuje autobusy, které mají druh karoserie klasifikovaný jako „CE“ (nízkopodlažní jednopodlažní vozidlo), „CF“ (nízkopodlažní dvojpodlažní vozidlo), „CG“ (kloubové nízkopodlažní jednopodlažní vozidlo), „CH“ (kloubové nízkopodlažní dvojpodlažní vozidlo), „CI“ (jednopodlažní vozidlo s otevřenou střechou) nebo „CJ“ (dvojpodlažní vozidlo s otevřenou střechou) podle přílohy I části C bodu 3 nařízení (EU) 2018/858.</w:t>
      </w:r>
    </w:p>
  </w:footnote>
  <w:footnote w:id="227">
    <w:p w14:paraId="4BC1FC6B" w14:textId="77777777" w:rsidR="00384D5C" w:rsidRPr="0046624D" w:rsidRDefault="00384D5C" w:rsidP="00384D5C">
      <w:pPr>
        <w:pStyle w:val="Textpoznpodarou"/>
        <w:jc w:val="left"/>
        <w:rPr>
          <w:sz w:val="18"/>
        </w:rPr>
      </w:pPr>
      <w:r w:rsidRPr="0046624D">
        <w:rPr>
          <w:rStyle w:val="Znakapoznpodarou"/>
          <w:sz w:val="18"/>
        </w:rPr>
        <w:footnoteRef/>
      </w:r>
      <w:r w:rsidRPr="0046624D">
        <w:rPr>
          <w:sz w:val="18"/>
        </w:rPr>
        <w:tab/>
        <w:t>Podle čl. 4 odst. 1 písm. a) nařízení (EU) 2018/858.</w:t>
      </w:r>
    </w:p>
  </w:footnote>
  <w:footnote w:id="228">
    <w:p w14:paraId="6BFD65F1" w14:textId="77777777" w:rsidR="00384D5C" w:rsidRPr="0046624D" w:rsidRDefault="00384D5C" w:rsidP="00384D5C">
      <w:pPr>
        <w:pStyle w:val="Textpoznpodarou"/>
        <w:jc w:val="left"/>
        <w:rPr>
          <w:sz w:val="18"/>
        </w:rPr>
      </w:pPr>
      <w:r w:rsidRPr="0046624D">
        <w:rPr>
          <w:rStyle w:val="Znakapoznpodarou"/>
          <w:sz w:val="18"/>
        </w:rPr>
        <w:footnoteRef/>
      </w:r>
      <w:r w:rsidRPr="0046624D">
        <w:rPr>
          <w:sz w:val="18"/>
        </w:rPr>
        <w:tab/>
        <w:t>Jak je stanoveno v příloze I části C bodě 3 nařízení (EU) 2018/858.</w:t>
      </w:r>
    </w:p>
  </w:footnote>
  <w:footnote w:id="229">
    <w:p w14:paraId="733CBCEB" w14:textId="77777777" w:rsidR="00384D5C" w:rsidRPr="0046624D" w:rsidRDefault="00384D5C" w:rsidP="00384D5C">
      <w:pPr>
        <w:pStyle w:val="Textpoznpodarou"/>
        <w:jc w:val="left"/>
        <w:rPr>
          <w:sz w:val="18"/>
        </w:rPr>
      </w:pPr>
      <w:r w:rsidRPr="0046624D">
        <w:rPr>
          <w:rStyle w:val="Znakapoznpodarou"/>
          <w:sz w:val="18"/>
        </w:rPr>
        <w:footnoteRef/>
      </w:r>
      <w:r w:rsidRPr="0046624D">
        <w:rPr>
          <w:sz w:val="18"/>
        </w:rPr>
        <w:tab/>
        <w:t>Do 31. prosince 2021 EURO VI, krok E podle nařízení (ES) č. 595/2009.</w:t>
      </w:r>
    </w:p>
  </w:footnote>
  <w:footnote w:id="230">
    <w:p w14:paraId="1C52A2EB" w14:textId="77777777" w:rsidR="00DA26DF" w:rsidRPr="0046624D" w:rsidRDefault="00DA26DF" w:rsidP="00DA26DF">
      <w:pPr>
        <w:pStyle w:val="Textpoznpodarou"/>
        <w:jc w:val="left"/>
        <w:rPr>
          <w:sz w:val="18"/>
        </w:rPr>
      </w:pPr>
      <w:r w:rsidRPr="0046624D">
        <w:rPr>
          <w:rStyle w:val="Znakapoznpodarou"/>
          <w:sz w:val="18"/>
        </w:rPr>
        <w:footnoteRef/>
      </w:r>
      <w:r w:rsidRPr="0046624D">
        <w:rPr>
          <w:sz w:val="18"/>
        </w:rPr>
        <w:tab/>
        <w:t>Nařízení Evropského parlamentu a Rady (EU) 2020/740 ze dne 25. května 2020 o označování pneumatik s ohledem na palivovou účinnost a jiné parametry, o změně nařízení (EU) 2017/1369 a o zrušení nařízení (ES) č. 1222/2009 (Úř. věst. L 177, 5.6.2020, s. 1).</w:t>
      </w:r>
    </w:p>
  </w:footnote>
  <w:footnote w:id="231">
    <w:p w14:paraId="4BFD620F" w14:textId="77777777" w:rsidR="00EC4678" w:rsidRPr="00D77C59" w:rsidRDefault="00EC4678" w:rsidP="00EC4678">
      <w:pPr>
        <w:pStyle w:val="Textpoznpodarou"/>
        <w:rPr>
          <w:rFonts w:cs="Segoe UI"/>
          <w:sz w:val="18"/>
          <w:szCs w:val="18"/>
        </w:rPr>
      </w:pPr>
      <w:r w:rsidRPr="00D77C59">
        <w:rPr>
          <w:rStyle w:val="Znakapoznpodarou"/>
          <w:rFonts w:cs="Segoe UI"/>
          <w:sz w:val="18"/>
          <w:szCs w:val="18"/>
        </w:rPr>
        <w:footnoteRef/>
      </w:r>
      <w:r w:rsidRPr="00D77C59">
        <w:rPr>
          <w:rFonts w:cs="Segoe UI"/>
          <w:sz w:val="18"/>
          <w:szCs w:val="18"/>
        </w:rPr>
        <w:t xml:space="preserve"> Podle přílohy I směrnice 2005/64/ES.</w:t>
      </w:r>
    </w:p>
  </w:footnote>
  <w:footnote w:id="232">
    <w:p w14:paraId="34CC8A81" w14:textId="77777777" w:rsidR="00DA26DF" w:rsidRDefault="00DA26DF" w:rsidP="00DA26DF">
      <w:pPr>
        <w:pStyle w:val="Textpoznpodarou"/>
        <w:jc w:val="left"/>
      </w:pPr>
      <w:r w:rsidRPr="0046624D">
        <w:rPr>
          <w:rStyle w:val="Znakapoznpodarou"/>
          <w:sz w:val="18"/>
        </w:rPr>
        <w:footnoteRef/>
      </w:r>
      <w:r w:rsidRPr="0046624D">
        <w:rPr>
          <w:sz w:val="18"/>
        </w:rPr>
        <w:tab/>
        <w:t>Nařízení Komise (EU) č. 582/2011 ze dne 25. května 2011, kterým se provádí a mění nařízení Evropského parlamentu a Rady (ES) č. 595/2009 z hlediska emisí z těžkých nákladních vozidel (Euro VI) a kterým se mění přílohy I a III směrnice Evropského parlamentu a Rady 2007/46/ES (Úř. věst. L 167, 25.6.2011, s.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74914" w14:textId="77777777" w:rsidR="00602DCA" w:rsidRDefault="00602DCA">
    <w:pPr>
      <w:pStyle w:val="Zhlav"/>
    </w:pPr>
  </w:p>
  <w:p w14:paraId="21CB47DA" w14:textId="77777777" w:rsidR="00602DCA" w:rsidRDefault="00602DCA"/>
  <w:p w14:paraId="0E9049E5" w14:textId="77777777" w:rsidR="00602DCA" w:rsidRDefault="00602DCA"/>
  <w:p w14:paraId="506F858C" w14:textId="77777777" w:rsidR="00602DCA" w:rsidRDefault="00602DCA"/>
  <w:p w14:paraId="61631DE7" w14:textId="77777777" w:rsidR="00602DCA" w:rsidRDefault="00602DC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51B278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visibility:visible" o:bullet="t">
        <v:imagedata r:id="rId1" o:title=""/>
      </v:shape>
    </w:pict>
  </w:numPicBullet>
  <w:abstractNum w:abstractNumId="0" w15:restartNumberingAfterBreak="0">
    <w:nsid w:val="012D472E"/>
    <w:multiLevelType w:val="hybridMultilevel"/>
    <w:tmpl w:val="F0DCB8B8"/>
    <w:lvl w:ilvl="0" w:tplc="F7B6BA2A">
      <w:start w:val="1"/>
      <w:numFmt w:val="bullet"/>
      <w:lvlText w:val=""/>
      <w:lvlJc w:val="left"/>
      <w:pPr>
        <w:ind w:left="720" w:hanging="360"/>
      </w:pPr>
      <w:rPr>
        <w:rFonts w:ascii="Symbol" w:hAnsi="Symbol" w:hint="default"/>
      </w:rPr>
    </w:lvl>
    <w:lvl w:ilvl="1" w:tplc="4DE81ACE">
      <w:start w:val="1"/>
      <w:numFmt w:val="bullet"/>
      <w:lvlText w:val="o"/>
      <w:lvlJc w:val="left"/>
      <w:pPr>
        <w:ind w:left="1440" w:hanging="360"/>
      </w:pPr>
      <w:rPr>
        <w:rFonts w:ascii="Courier New" w:hAnsi="Courier New" w:cs="Courier New" w:hint="default"/>
      </w:rPr>
    </w:lvl>
    <w:lvl w:ilvl="2" w:tplc="B646354E">
      <w:start w:val="1"/>
      <w:numFmt w:val="bullet"/>
      <w:lvlText w:val=""/>
      <w:lvlJc w:val="left"/>
      <w:pPr>
        <w:ind w:left="2160" w:hanging="360"/>
      </w:pPr>
      <w:rPr>
        <w:rFonts w:ascii="Wingdings" w:hAnsi="Wingdings" w:hint="default"/>
      </w:rPr>
    </w:lvl>
    <w:lvl w:ilvl="3" w:tplc="65CA4B18">
      <w:start w:val="1"/>
      <w:numFmt w:val="bullet"/>
      <w:lvlText w:val=""/>
      <w:lvlJc w:val="left"/>
      <w:pPr>
        <w:ind w:left="2880" w:hanging="360"/>
      </w:pPr>
      <w:rPr>
        <w:rFonts w:ascii="Symbol" w:hAnsi="Symbol" w:hint="default"/>
      </w:rPr>
    </w:lvl>
    <w:lvl w:ilvl="4" w:tplc="47CA6BA0">
      <w:start w:val="1"/>
      <w:numFmt w:val="bullet"/>
      <w:lvlText w:val="o"/>
      <w:lvlJc w:val="left"/>
      <w:pPr>
        <w:ind w:left="3600" w:hanging="360"/>
      </w:pPr>
      <w:rPr>
        <w:rFonts w:ascii="Courier New" w:hAnsi="Courier New" w:cs="Courier New" w:hint="default"/>
      </w:rPr>
    </w:lvl>
    <w:lvl w:ilvl="5" w:tplc="407C315A">
      <w:start w:val="1"/>
      <w:numFmt w:val="bullet"/>
      <w:lvlText w:val=""/>
      <w:lvlJc w:val="left"/>
      <w:pPr>
        <w:ind w:left="4320" w:hanging="360"/>
      </w:pPr>
      <w:rPr>
        <w:rFonts w:ascii="Wingdings" w:hAnsi="Wingdings" w:hint="default"/>
      </w:rPr>
    </w:lvl>
    <w:lvl w:ilvl="6" w:tplc="C13A5C4E">
      <w:start w:val="1"/>
      <w:numFmt w:val="bullet"/>
      <w:lvlText w:val=""/>
      <w:lvlJc w:val="left"/>
      <w:pPr>
        <w:ind w:left="5040" w:hanging="360"/>
      </w:pPr>
      <w:rPr>
        <w:rFonts w:ascii="Symbol" w:hAnsi="Symbol" w:hint="default"/>
      </w:rPr>
    </w:lvl>
    <w:lvl w:ilvl="7" w:tplc="85CA3650">
      <w:start w:val="1"/>
      <w:numFmt w:val="bullet"/>
      <w:lvlText w:val="o"/>
      <w:lvlJc w:val="left"/>
      <w:pPr>
        <w:ind w:left="5760" w:hanging="360"/>
      </w:pPr>
      <w:rPr>
        <w:rFonts w:ascii="Courier New" w:hAnsi="Courier New" w:cs="Courier New" w:hint="default"/>
      </w:rPr>
    </w:lvl>
    <w:lvl w:ilvl="8" w:tplc="E57C6B3E">
      <w:start w:val="1"/>
      <w:numFmt w:val="bullet"/>
      <w:lvlText w:val=""/>
      <w:lvlJc w:val="left"/>
      <w:pPr>
        <w:ind w:left="6480" w:hanging="360"/>
      </w:pPr>
      <w:rPr>
        <w:rFonts w:ascii="Wingdings" w:hAnsi="Wingdings" w:hint="default"/>
      </w:rPr>
    </w:lvl>
  </w:abstractNum>
  <w:abstractNum w:abstractNumId="1" w15:restartNumberingAfterBreak="0">
    <w:nsid w:val="0162338F"/>
    <w:multiLevelType w:val="hybridMultilevel"/>
    <w:tmpl w:val="DCFA094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52346A"/>
    <w:multiLevelType w:val="hybridMultilevel"/>
    <w:tmpl w:val="A9D4A67E"/>
    <w:lvl w:ilvl="0" w:tplc="E3BA1794">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76A14AF"/>
    <w:multiLevelType w:val="hybridMultilevel"/>
    <w:tmpl w:val="627459D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7AB6DF4"/>
    <w:multiLevelType w:val="multilevel"/>
    <w:tmpl w:val="DDEA10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BB1F7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A766FA5"/>
    <w:multiLevelType w:val="hybridMultilevel"/>
    <w:tmpl w:val="CB82D8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AF17EF3"/>
    <w:multiLevelType w:val="multilevel"/>
    <w:tmpl w:val="1632D7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B3C24DE"/>
    <w:multiLevelType w:val="multilevel"/>
    <w:tmpl w:val="356CF24C"/>
    <w:lvl w:ilvl="0">
      <w:start w:val="1"/>
      <w:numFmt w:val="decimal"/>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9" w15:restartNumberingAfterBreak="0">
    <w:nsid w:val="0BE20D4A"/>
    <w:multiLevelType w:val="hybridMultilevel"/>
    <w:tmpl w:val="0610D6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0D0359F8"/>
    <w:multiLevelType w:val="multilevel"/>
    <w:tmpl w:val="9E7A5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D134759"/>
    <w:multiLevelType w:val="multilevel"/>
    <w:tmpl w:val="E8246D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D6E7762"/>
    <w:multiLevelType w:val="hybridMultilevel"/>
    <w:tmpl w:val="84DA1DEE"/>
    <w:lvl w:ilvl="0" w:tplc="04050003">
      <w:start w:val="1"/>
      <w:numFmt w:val="bullet"/>
      <w:lvlText w:val="o"/>
      <w:lvlJc w:val="left"/>
      <w:pPr>
        <w:ind w:left="1080" w:hanging="360"/>
      </w:pPr>
      <w:rPr>
        <w:rFonts w:ascii="Courier New" w:hAnsi="Courier New" w:cs="Courier New"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0DAF1B8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E702206"/>
    <w:multiLevelType w:val="hybridMultilevel"/>
    <w:tmpl w:val="017669E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EA61A48"/>
    <w:multiLevelType w:val="hybridMultilevel"/>
    <w:tmpl w:val="C54813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0EC8487D"/>
    <w:multiLevelType w:val="hybridMultilevel"/>
    <w:tmpl w:val="71B6D7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0F381C58"/>
    <w:multiLevelType w:val="hybridMultilevel"/>
    <w:tmpl w:val="1C5A16F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0F9740A0"/>
    <w:multiLevelType w:val="multilevel"/>
    <w:tmpl w:val="E61C61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0152E2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05A0BB6"/>
    <w:multiLevelType w:val="multilevel"/>
    <w:tmpl w:val="CD5008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05D633D"/>
    <w:multiLevelType w:val="multilevel"/>
    <w:tmpl w:val="E91435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06937E1"/>
    <w:multiLevelType w:val="hybridMultilevel"/>
    <w:tmpl w:val="FBBE3BF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109672D1"/>
    <w:multiLevelType w:val="hybridMultilevel"/>
    <w:tmpl w:val="32DCB3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115C267A"/>
    <w:multiLevelType w:val="multilevel"/>
    <w:tmpl w:val="9EFA65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2434601"/>
    <w:multiLevelType w:val="hybridMultilevel"/>
    <w:tmpl w:val="34A27DCA"/>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13B84085"/>
    <w:multiLevelType w:val="multilevel"/>
    <w:tmpl w:val="BE567C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5256FD5"/>
    <w:multiLevelType w:val="hybridMultilevel"/>
    <w:tmpl w:val="A768E7D4"/>
    <w:lvl w:ilvl="0" w:tplc="04050001">
      <w:start w:val="1"/>
      <w:numFmt w:val="bullet"/>
      <w:lvlText w:val=""/>
      <w:lvlJc w:val="left"/>
      <w:pPr>
        <w:ind w:left="720" w:hanging="360"/>
      </w:pPr>
      <w:rPr>
        <w:rFonts w:ascii="Symbol" w:hAnsi="Symbol" w:hint="default"/>
      </w:rPr>
    </w:lvl>
    <w:lvl w:ilvl="1" w:tplc="832A7D58">
      <w:start w:val="1"/>
      <w:numFmt w:val="lowerLetter"/>
      <w:lvlText w:val="%2)"/>
      <w:lvlJc w:val="left"/>
      <w:pPr>
        <w:ind w:left="1440" w:hanging="360"/>
      </w:pPr>
      <w:rPr>
        <w:rFonts w:hint="default"/>
      </w:rPr>
    </w:lvl>
    <w:lvl w:ilvl="2" w:tplc="3868444A">
      <w:start w:val="2"/>
      <w:numFmt w:val="bullet"/>
      <w:lvlText w:val="-"/>
      <w:lvlJc w:val="left"/>
      <w:pPr>
        <w:ind w:left="2340" w:hanging="360"/>
      </w:pPr>
      <w:rPr>
        <w:rFonts w:ascii="Aptos" w:eastAsiaTheme="minorHAnsi" w:hAnsi="Aptos" w:cstheme="minorBidi"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15AD4F72"/>
    <w:multiLevelType w:val="hybridMultilevel"/>
    <w:tmpl w:val="42842500"/>
    <w:lvl w:ilvl="0" w:tplc="FA16D80A">
      <w:start w:val="1"/>
      <w:numFmt w:val="bullet"/>
      <w:lvlText w:val=""/>
      <w:lvlJc w:val="left"/>
      <w:pPr>
        <w:ind w:left="720" w:hanging="360"/>
      </w:pPr>
      <w:rPr>
        <w:rFonts w:ascii="Symbol" w:hAnsi="Symbol" w:hint="default"/>
      </w:rPr>
    </w:lvl>
    <w:lvl w:ilvl="1" w:tplc="70A86B28">
      <w:start w:val="1"/>
      <w:numFmt w:val="bullet"/>
      <w:lvlText w:val="o"/>
      <w:lvlJc w:val="left"/>
      <w:pPr>
        <w:ind w:left="1440" w:hanging="360"/>
      </w:pPr>
      <w:rPr>
        <w:rFonts w:ascii="Courier New" w:hAnsi="Courier New" w:cs="Courier New" w:hint="default"/>
      </w:rPr>
    </w:lvl>
    <w:lvl w:ilvl="2" w:tplc="74123ED4">
      <w:start w:val="1"/>
      <w:numFmt w:val="bullet"/>
      <w:lvlText w:val=""/>
      <w:lvlJc w:val="left"/>
      <w:pPr>
        <w:ind w:left="2160" w:hanging="360"/>
      </w:pPr>
      <w:rPr>
        <w:rFonts w:ascii="Wingdings" w:hAnsi="Wingdings" w:hint="default"/>
      </w:rPr>
    </w:lvl>
    <w:lvl w:ilvl="3" w:tplc="A18AA1A4">
      <w:start w:val="1"/>
      <w:numFmt w:val="bullet"/>
      <w:lvlText w:val=""/>
      <w:lvlJc w:val="left"/>
      <w:pPr>
        <w:ind w:left="2880" w:hanging="360"/>
      </w:pPr>
      <w:rPr>
        <w:rFonts w:ascii="Symbol" w:hAnsi="Symbol" w:hint="default"/>
      </w:rPr>
    </w:lvl>
    <w:lvl w:ilvl="4" w:tplc="79309F60">
      <w:start w:val="1"/>
      <w:numFmt w:val="bullet"/>
      <w:lvlText w:val="o"/>
      <w:lvlJc w:val="left"/>
      <w:pPr>
        <w:ind w:left="3600" w:hanging="360"/>
      </w:pPr>
      <w:rPr>
        <w:rFonts w:ascii="Courier New" w:hAnsi="Courier New" w:cs="Courier New" w:hint="default"/>
      </w:rPr>
    </w:lvl>
    <w:lvl w:ilvl="5" w:tplc="8FBA46B6">
      <w:start w:val="1"/>
      <w:numFmt w:val="bullet"/>
      <w:lvlText w:val=""/>
      <w:lvlJc w:val="left"/>
      <w:pPr>
        <w:ind w:left="4320" w:hanging="360"/>
      </w:pPr>
      <w:rPr>
        <w:rFonts w:ascii="Wingdings" w:hAnsi="Wingdings" w:hint="default"/>
      </w:rPr>
    </w:lvl>
    <w:lvl w:ilvl="6" w:tplc="3E8CE3FC">
      <w:start w:val="1"/>
      <w:numFmt w:val="bullet"/>
      <w:lvlText w:val=""/>
      <w:lvlJc w:val="left"/>
      <w:pPr>
        <w:ind w:left="5040" w:hanging="360"/>
      </w:pPr>
      <w:rPr>
        <w:rFonts w:ascii="Symbol" w:hAnsi="Symbol" w:hint="default"/>
      </w:rPr>
    </w:lvl>
    <w:lvl w:ilvl="7" w:tplc="FD2633F6">
      <w:start w:val="1"/>
      <w:numFmt w:val="bullet"/>
      <w:lvlText w:val="o"/>
      <w:lvlJc w:val="left"/>
      <w:pPr>
        <w:ind w:left="5760" w:hanging="360"/>
      </w:pPr>
      <w:rPr>
        <w:rFonts w:ascii="Courier New" w:hAnsi="Courier New" w:cs="Courier New" w:hint="default"/>
      </w:rPr>
    </w:lvl>
    <w:lvl w:ilvl="8" w:tplc="BDBC78BA">
      <w:start w:val="1"/>
      <w:numFmt w:val="bullet"/>
      <w:lvlText w:val=""/>
      <w:lvlJc w:val="left"/>
      <w:pPr>
        <w:ind w:left="6480" w:hanging="360"/>
      </w:pPr>
      <w:rPr>
        <w:rFonts w:ascii="Wingdings" w:hAnsi="Wingdings" w:hint="default"/>
      </w:rPr>
    </w:lvl>
  </w:abstractNum>
  <w:abstractNum w:abstractNumId="29" w15:restartNumberingAfterBreak="0">
    <w:nsid w:val="15F469A5"/>
    <w:multiLevelType w:val="hybridMultilevel"/>
    <w:tmpl w:val="66B6AD1A"/>
    <w:lvl w:ilvl="0" w:tplc="2B28255A">
      <w:start w:val="1"/>
      <w:numFmt w:val="bullet"/>
      <w:lvlText w:val=""/>
      <w:lvlJc w:val="left"/>
      <w:pPr>
        <w:ind w:left="720" w:hanging="360"/>
      </w:pPr>
      <w:rPr>
        <w:rFonts w:ascii="Symbol" w:hAnsi="Symbol" w:hint="default"/>
      </w:rPr>
    </w:lvl>
    <w:lvl w:ilvl="1" w:tplc="6C14C3E4">
      <w:start w:val="1"/>
      <w:numFmt w:val="bullet"/>
      <w:lvlText w:val="o"/>
      <w:lvlJc w:val="left"/>
      <w:pPr>
        <w:ind w:left="1440" w:hanging="360"/>
      </w:pPr>
      <w:rPr>
        <w:rFonts w:ascii="Courier New" w:hAnsi="Courier New" w:cs="Courier New" w:hint="default"/>
      </w:rPr>
    </w:lvl>
    <w:lvl w:ilvl="2" w:tplc="A8E8594A">
      <w:start w:val="1"/>
      <w:numFmt w:val="bullet"/>
      <w:lvlText w:val=""/>
      <w:lvlJc w:val="left"/>
      <w:pPr>
        <w:ind w:left="2160" w:hanging="360"/>
      </w:pPr>
      <w:rPr>
        <w:rFonts w:ascii="Wingdings" w:hAnsi="Wingdings" w:hint="default"/>
      </w:rPr>
    </w:lvl>
    <w:lvl w:ilvl="3" w:tplc="C1C8B91E">
      <w:start w:val="1"/>
      <w:numFmt w:val="bullet"/>
      <w:lvlText w:val=""/>
      <w:lvlJc w:val="left"/>
      <w:pPr>
        <w:ind w:left="2880" w:hanging="360"/>
      </w:pPr>
      <w:rPr>
        <w:rFonts w:ascii="Symbol" w:hAnsi="Symbol" w:hint="default"/>
      </w:rPr>
    </w:lvl>
    <w:lvl w:ilvl="4" w:tplc="5B4A9BCC">
      <w:start w:val="1"/>
      <w:numFmt w:val="bullet"/>
      <w:lvlText w:val="o"/>
      <w:lvlJc w:val="left"/>
      <w:pPr>
        <w:ind w:left="3600" w:hanging="360"/>
      </w:pPr>
      <w:rPr>
        <w:rFonts w:ascii="Courier New" w:hAnsi="Courier New" w:cs="Courier New" w:hint="default"/>
      </w:rPr>
    </w:lvl>
    <w:lvl w:ilvl="5" w:tplc="822A1D56">
      <w:start w:val="1"/>
      <w:numFmt w:val="bullet"/>
      <w:lvlText w:val=""/>
      <w:lvlJc w:val="left"/>
      <w:pPr>
        <w:ind w:left="4320" w:hanging="360"/>
      </w:pPr>
      <w:rPr>
        <w:rFonts w:ascii="Wingdings" w:hAnsi="Wingdings" w:hint="default"/>
      </w:rPr>
    </w:lvl>
    <w:lvl w:ilvl="6" w:tplc="AE74385A">
      <w:start w:val="1"/>
      <w:numFmt w:val="bullet"/>
      <w:lvlText w:val=""/>
      <w:lvlJc w:val="left"/>
      <w:pPr>
        <w:ind w:left="5040" w:hanging="360"/>
      </w:pPr>
      <w:rPr>
        <w:rFonts w:ascii="Symbol" w:hAnsi="Symbol" w:hint="default"/>
      </w:rPr>
    </w:lvl>
    <w:lvl w:ilvl="7" w:tplc="226E616E">
      <w:start w:val="1"/>
      <w:numFmt w:val="bullet"/>
      <w:lvlText w:val="o"/>
      <w:lvlJc w:val="left"/>
      <w:pPr>
        <w:ind w:left="5760" w:hanging="360"/>
      </w:pPr>
      <w:rPr>
        <w:rFonts w:ascii="Courier New" w:hAnsi="Courier New" w:cs="Courier New" w:hint="default"/>
      </w:rPr>
    </w:lvl>
    <w:lvl w:ilvl="8" w:tplc="235AA23C">
      <w:start w:val="1"/>
      <w:numFmt w:val="bullet"/>
      <w:lvlText w:val=""/>
      <w:lvlJc w:val="left"/>
      <w:pPr>
        <w:ind w:left="6480" w:hanging="360"/>
      </w:pPr>
      <w:rPr>
        <w:rFonts w:ascii="Wingdings" w:hAnsi="Wingdings" w:hint="default"/>
      </w:rPr>
    </w:lvl>
  </w:abstractNum>
  <w:abstractNum w:abstractNumId="30" w15:restartNumberingAfterBreak="0">
    <w:nsid w:val="16016B30"/>
    <w:multiLevelType w:val="multilevel"/>
    <w:tmpl w:val="A5AC3BEA"/>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62B1A28"/>
    <w:multiLevelType w:val="hybridMultilevel"/>
    <w:tmpl w:val="7124FBF0"/>
    <w:lvl w:ilvl="0" w:tplc="04050003">
      <w:start w:val="1"/>
      <w:numFmt w:val="bullet"/>
      <w:lvlText w:val="o"/>
      <w:lvlJc w:val="left"/>
      <w:pPr>
        <w:ind w:left="1068" w:hanging="360"/>
      </w:pPr>
      <w:rPr>
        <w:rFonts w:ascii="Courier New" w:hAnsi="Courier New" w:cs="Courier New"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2" w15:restartNumberingAfterBreak="0">
    <w:nsid w:val="16EA425C"/>
    <w:multiLevelType w:val="hybridMultilevel"/>
    <w:tmpl w:val="0CFA2746"/>
    <w:lvl w:ilvl="0" w:tplc="04050003">
      <w:start w:val="1"/>
      <w:numFmt w:val="bullet"/>
      <w:lvlText w:val="o"/>
      <w:lvlJc w:val="left"/>
      <w:pPr>
        <w:ind w:left="1068" w:hanging="360"/>
      </w:pPr>
      <w:rPr>
        <w:rFonts w:ascii="Courier New" w:hAnsi="Courier New" w:cs="Courier New"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3" w15:restartNumberingAfterBreak="0">
    <w:nsid w:val="17A70DDC"/>
    <w:multiLevelType w:val="hybridMultilevel"/>
    <w:tmpl w:val="BB68F6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18855500"/>
    <w:multiLevelType w:val="multilevel"/>
    <w:tmpl w:val="7324C1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1983644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1AD2212E"/>
    <w:multiLevelType w:val="multilevel"/>
    <w:tmpl w:val="3C0E6D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1B6F2289"/>
    <w:multiLevelType w:val="hybridMultilevel"/>
    <w:tmpl w:val="990CED6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1C260815"/>
    <w:multiLevelType w:val="hybridMultilevel"/>
    <w:tmpl w:val="A01862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1CB579B3"/>
    <w:multiLevelType w:val="multilevel"/>
    <w:tmpl w:val="2466C1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1D1976E5"/>
    <w:multiLevelType w:val="multilevel"/>
    <w:tmpl w:val="03FE95A4"/>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1D7702FB"/>
    <w:multiLevelType w:val="multilevel"/>
    <w:tmpl w:val="18A255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1E40224C"/>
    <w:multiLevelType w:val="hybridMultilevel"/>
    <w:tmpl w:val="FCF4B1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1FD325D4"/>
    <w:multiLevelType w:val="hybridMultilevel"/>
    <w:tmpl w:val="D34E120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20A35047"/>
    <w:multiLevelType w:val="multilevel"/>
    <w:tmpl w:val="B1E401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16554F1"/>
    <w:multiLevelType w:val="hybridMultilevel"/>
    <w:tmpl w:val="C7709E5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220C4C3B"/>
    <w:multiLevelType w:val="multilevel"/>
    <w:tmpl w:val="5DE0F1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22D32F72"/>
    <w:multiLevelType w:val="multilevel"/>
    <w:tmpl w:val="D4F07B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231515C8"/>
    <w:multiLevelType w:val="hybridMultilevel"/>
    <w:tmpl w:val="6986C778"/>
    <w:lvl w:ilvl="0" w:tplc="EE8C2D22">
      <w:numFmt w:val="bullet"/>
      <w:lvlText w:val="•"/>
      <w:lvlJc w:val="left"/>
      <w:pPr>
        <w:ind w:left="720" w:hanging="360"/>
      </w:pPr>
      <w:rPr>
        <w:rFonts w:ascii="Aptos" w:eastAsiaTheme="minorHAnsi" w:hAnsi="Aptos" w:cstheme="minorBid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2372025E"/>
    <w:multiLevelType w:val="hybridMultilevel"/>
    <w:tmpl w:val="0A3AB0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23983E1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23D5548B"/>
    <w:multiLevelType w:val="multilevel"/>
    <w:tmpl w:val="1B6C6B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2415017B"/>
    <w:multiLevelType w:val="hybridMultilevel"/>
    <w:tmpl w:val="025844BA"/>
    <w:lvl w:ilvl="0" w:tplc="22987D18">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24800530"/>
    <w:multiLevelType w:val="multilevel"/>
    <w:tmpl w:val="4CB64B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25F573AD"/>
    <w:multiLevelType w:val="hybridMultilevel"/>
    <w:tmpl w:val="E75090E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264C6452"/>
    <w:multiLevelType w:val="hybridMultilevel"/>
    <w:tmpl w:val="AE4407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26861E95"/>
    <w:multiLevelType w:val="hybridMultilevel"/>
    <w:tmpl w:val="CB7E23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15:restartNumberingAfterBreak="0">
    <w:nsid w:val="26A24A31"/>
    <w:multiLevelType w:val="hybridMultilevel"/>
    <w:tmpl w:val="20B411A6"/>
    <w:lvl w:ilvl="0" w:tplc="04050003">
      <w:start w:val="1"/>
      <w:numFmt w:val="bullet"/>
      <w:lvlText w:val="o"/>
      <w:lvlJc w:val="left"/>
      <w:pPr>
        <w:ind w:left="1068" w:hanging="360"/>
      </w:pPr>
      <w:rPr>
        <w:rFonts w:ascii="Courier New" w:hAnsi="Courier New" w:cs="Courier New"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8" w15:restartNumberingAfterBreak="0">
    <w:nsid w:val="26AC4DA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27AC23FC"/>
    <w:multiLevelType w:val="hybridMultilevel"/>
    <w:tmpl w:val="7AE889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15:restartNumberingAfterBreak="0">
    <w:nsid w:val="289B0D4C"/>
    <w:multiLevelType w:val="multilevel"/>
    <w:tmpl w:val="AD365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8C54F72"/>
    <w:multiLevelType w:val="multilevel"/>
    <w:tmpl w:val="1C380D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8FC7ED7"/>
    <w:multiLevelType w:val="multilevel"/>
    <w:tmpl w:val="C02CF44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29486368"/>
    <w:multiLevelType w:val="hybridMultilevel"/>
    <w:tmpl w:val="9EC460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4" w15:restartNumberingAfterBreak="0">
    <w:nsid w:val="295437A0"/>
    <w:multiLevelType w:val="multilevel"/>
    <w:tmpl w:val="475AB8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2A066CE4"/>
    <w:multiLevelType w:val="hybridMultilevel"/>
    <w:tmpl w:val="51E0948E"/>
    <w:lvl w:ilvl="0" w:tplc="04050001">
      <w:start w:val="1"/>
      <w:numFmt w:val="bullet"/>
      <w:lvlText w:val=""/>
      <w:lvlJc w:val="left"/>
      <w:pPr>
        <w:ind w:left="720" w:hanging="360"/>
      </w:pPr>
      <w:rPr>
        <w:rFonts w:ascii="Symbol" w:hAnsi="Symbol" w:hint="default"/>
      </w:rPr>
    </w:lvl>
    <w:lvl w:ilvl="1" w:tplc="1CAA1A32">
      <w:start w:val="5"/>
      <w:numFmt w:val="bullet"/>
      <w:lvlText w:val="-"/>
      <w:lvlJc w:val="left"/>
      <w:pPr>
        <w:ind w:left="1440" w:hanging="360"/>
      </w:pPr>
      <w:rPr>
        <w:rFonts w:ascii="Aptos" w:eastAsiaTheme="minorHAnsi" w:hAnsi="Aptos" w:cstheme="minorBid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6" w15:restartNumberingAfterBreak="0">
    <w:nsid w:val="2AB22B7E"/>
    <w:multiLevelType w:val="hybridMultilevel"/>
    <w:tmpl w:val="7AB01B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7" w15:restartNumberingAfterBreak="0">
    <w:nsid w:val="2B441224"/>
    <w:multiLevelType w:val="hybridMultilevel"/>
    <w:tmpl w:val="E0BE731A"/>
    <w:lvl w:ilvl="0" w:tplc="05BC50EA">
      <w:start w:val="1"/>
      <w:numFmt w:val="bullet"/>
      <w:lvlText w:val=""/>
      <w:lvlJc w:val="left"/>
      <w:pPr>
        <w:ind w:left="720" w:hanging="360"/>
      </w:pPr>
      <w:rPr>
        <w:rFonts w:ascii="Symbol" w:hAnsi="Symbol"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8" w15:restartNumberingAfterBreak="0">
    <w:nsid w:val="2BDF3E27"/>
    <w:multiLevelType w:val="multilevel"/>
    <w:tmpl w:val="2C46DF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2EAF1B8D"/>
    <w:multiLevelType w:val="hybridMultilevel"/>
    <w:tmpl w:val="FE7EBA3E"/>
    <w:lvl w:ilvl="0" w:tplc="EE8C2D22">
      <w:numFmt w:val="bullet"/>
      <w:lvlText w:val="•"/>
      <w:lvlJc w:val="left"/>
      <w:pPr>
        <w:ind w:left="720" w:hanging="360"/>
      </w:pPr>
      <w:rPr>
        <w:rFonts w:ascii="Aptos" w:eastAsiaTheme="minorHAnsi" w:hAnsi="Aptos" w:cstheme="minorBid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0" w15:restartNumberingAfterBreak="0">
    <w:nsid w:val="31640A1E"/>
    <w:multiLevelType w:val="hybridMultilevel"/>
    <w:tmpl w:val="BECE5F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1" w15:restartNumberingAfterBreak="0">
    <w:nsid w:val="31ED10B6"/>
    <w:multiLevelType w:val="hybridMultilevel"/>
    <w:tmpl w:val="6A860C64"/>
    <w:lvl w:ilvl="0" w:tplc="04050001">
      <w:start w:val="1"/>
      <w:numFmt w:val="bullet"/>
      <w:lvlText w:val=""/>
      <w:lvlJc w:val="left"/>
      <w:pPr>
        <w:ind w:left="720" w:hanging="360"/>
      </w:pPr>
      <w:rPr>
        <w:rFonts w:ascii="Symbol" w:hAnsi="Symbol" w:hint="default"/>
      </w:rPr>
    </w:lvl>
    <w:lvl w:ilvl="1" w:tplc="9AD8DCFA">
      <w:start w:val="3"/>
      <w:numFmt w:val="bullet"/>
      <w:lvlText w:val="•"/>
      <w:lvlJc w:val="left"/>
      <w:pPr>
        <w:ind w:left="1440" w:hanging="360"/>
      </w:pPr>
      <w:rPr>
        <w:rFonts w:ascii="Aptos" w:eastAsiaTheme="minorHAnsi" w:hAnsi="Aptos" w:cstheme="minorBid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2" w15:restartNumberingAfterBreak="0">
    <w:nsid w:val="331E4343"/>
    <w:multiLevelType w:val="hybridMultilevel"/>
    <w:tmpl w:val="B40E12BC"/>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3" w15:restartNumberingAfterBreak="0">
    <w:nsid w:val="33AB548A"/>
    <w:multiLevelType w:val="multilevel"/>
    <w:tmpl w:val="EA36AA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34E330E9"/>
    <w:multiLevelType w:val="hybridMultilevel"/>
    <w:tmpl w:val="2A1CD35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5" w15:restartNumberingAfterBreak="0">
    <w:nsid w:val="34E85DD7"/>
    <w:multiLevelType w:val="hybridMultilevel"/>
    <w:tmpl w:val="B5062FFE"/>
    <w:lvl w:ilvl="0" w:tplc="8E3AC502">
      <w:start w:val="1"/>
      <w:numFmt w:val="bullet"/>
      <w:lvlText w:val=""/>
      <w:lvlJc w:val="left"/>
      <w:pPr>
        <w:ind w:left="720" w:hanging="360"/>
      </w:pPr>
      <w:rPr>
        <w:rFonts w:ascii="Symbol" w:hAnsi="Symbol" w:hint="default"/>
      </w:rPr>
    </w:lvl>
    <w:lvl w:ilvl="1" w:tplc="7E587DC0">
      <w:start w:val="1"/>
      <w:numFmt w:val="bullet"/>
      <w:lvlText w:val="o"/>
      <w:lvlJc w:val="left"/>
      <w:pPr>
        <w:ind w:left="1440" w:hanging="360"/>
      </w:pPr>
      <w:rPr>
        <w:rFonts w:ascii="Courier New" w:hAnsi="Courier New" w:cs="Courier New" w:hint="default"/>
      </w:rPr>
    </w:lvl>
    <w:lvl w:ilvl="2" w:tplc="B5CC06B4">
      <w:start w:val="1"/>
      <w:numFmt w:val="bullet"/>
      <w:lvlText w:val=""/>
      <w:lvlJc w:val="left"/>
      <w:pPr>
        <w:ind w:left="2160" w:hanging="360"/>
      </w:pPr>
      <w:rPr>
        <w:rFonts w:ascii="Wingdings" w:hAnsi="Wingdings" w:hint="default"/>
      </w:rPr>
    </w:lvl>
    <w:lvl w:ilvl="3" w:tplc="AA62FBBA">
      <w:start w:val="1"/>
      <w:numFmt w:val="bullet"/>
      <w:lvlText w:val=""/>
      <w:lvlJc w:val="left"/>
      <w:pPr>
        <w:ind w:left="2880" w:hanging="360"/>
      </w:pPr>
      <w:rPr>
        <w:rFonts w:ascii="Symbol" w:hAnsi="Symbol" w:hint="default"/>
      </w:rPr>
    </w:lvl>
    <w:lvl w:ilvl="4" w:tplc="B5F4033E">
      <w:start w:val="1"/>
      <w:numFmt w:val="bullet"/>
      <w:lvlText w:val="o"/>
      <w:lvlJc w:val="left"/>
      <w:pPr>
        <w:ind w:left="3600" w:hanging="360"/>
      </w:pPr>
      <w:rPr>
        <w:rFonts w:ascii="Courier New" w:hAnsi="Courier New" w:cs="Courier New" w:hint="default"/>
      </w:rPr>
    </w:lvl>
    <w:lvl w:ilvl="5" w:tplc="C9B490BA">
      <w:start w:val="1"/>
      <w:numFmt w:val="bullet"/>
      <w:lvlText w:val=""/>
      <w:lvlJc w:val="left"/>
      <w:pPr>
        <w:ind w:left="4320" w:hanging="360"/>
      </w:pPr>
      <w:rPr>
        <w:rFonts w:ascii="Wingdings" w:hAnsi="Wingdings" w:hint="default"/>
      </w:rPr>
    </w:lvl>
    <w:lvl w:ilvl="6" w:tplc="A1BC3BE6">
      <w:start w:val="1"/>
      <w:numFmt w:val="bullet"/>
      <w:lvlText w:val=""/>
      <w:lvlJc w:val="left"/>
      <w:pPr>
        <w:ind w:left="5040" w:hanging="360"/>
      </w:pPr>
      <w:rPr>
        <w:rFonts w:ascii="Symbol" w:hAnsi="Symbol" w:hint="default"/>
      </w:rPr>
    </w:lvl>
    <w:lvl w:ilvl="7" w:tplc="4926B5F6">
      <w:start w:val="1"/>
      <w:numFmt w:val="bullet"/>
      <w:lvlText w:val="o"/>
      <w:lvlJc w:val="left"/>
      <w:pPr>
        <w:ind w:left="5760" w:hanging="360"/>
      </w:pPr>
      <w:rPr>
        <w:rFonts w:ascii="Courier New" w:hAnsi="Courier New" w:cs="Courier New" w:hint="default"/>
      </w:rPr>
    </w:lvl>
    <w:lvl w:ilvl="8" w:tplc="550C21D8">
      <w:start w:val="1"/>
      <w:numFmt w:val="bullet"/>
      <w:lvlText w:val=""/>
      <w:lvlJc w:val="left"/>
      <w:pPr>
        <w:ind w:left="6480" w:hanging="360"/>
      </w:pPr>
      <w:rPr>
        <w:rFonts w:ascii="Wingdings" w:hAnsi="Wingdings" w:hint="default"/>
      </w:rPr>
    </w:lvl>
  </w:abstractNum>
  <w:abstractNum w:abstractNumId="76" w15:restartNumberingAfterBreak="0">
    <w:nsid w:val="34F83ABF"/>
    <w:multiLevelType w:val="hybridMultilevel"/>
    <w:tmpl w:val="736C8D2E"/>
    <w:lvl w:ilvl="0" w:tplc="B748DFEC">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7" w15:restartNumberingAfterBreak="0">
    <w:nsid w:val="34FB328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35571876"/>
    <w:multiLevelType w:val="hybridMultilevel"/>
    <w:tmpl w:val="34D65F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9" w15:restartNumberingAfterBreak="0">
    <w:nsid w:val="356B0F6F"/>
    <w:multiLevelType w:val="hybridMultilevel"/>
    <w:tmpl w:val="A7D2A6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0" w15:restartNumberingAfterBreak="0">
    <w:nsid w:val="35A65570"/>
    <w:multiLevelType w:val="hybridMultilevel"/>
    <w:tmpl w:val="C72C9484"/>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1" w15:restartNumberingAfterBreak="0">
    <w:nsid w:val="35D02BC0"/>
    <w:multiLevelType w:val="hybridMultilevel"/>
    <w:tmpl w:val="49D021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2" w15:restartNumberingAfterBreak="0">
    <w:nsid w:val="36174FC2"/>
    <w:multiLevelType w:val="hybridMultilevel"/>
    <w:tmpl w:val="017669E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36DC48E0"/>
    <w:multiLevelType w:val="multilevel"/>
    <w:tmpl w:val="FA4CC5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37E800BA"/>
    <w:multiLevelType w:val="hybridMultilevel"/>
    <w:tmpl w:val="2E8042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5" w15:restartNumberingAfterBreak="0">
    <w:nsid w:val="39133AE3"/>
    <w:multiLevelType w:val="hybridMultilevel"/>
    <w:tmpl w:val="A33601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6" w15:restartNumberingAfterBreak="0">
    <w:nsid w:val="39A23BF2"/>
    <w:multiLevelType w:val="hybridMultilevel"/>
    <w:tmpl w:val="017669E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39A530A3"/>
    <w:multiLevelType w:val="hybridMultilevel"/>
    <w:tmpl w:val="531A5F38"/>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8" w15:restartNumberingAfterBreak="0">
    <w:nsid w:val="3B1A1C7B"/>
    <w:multiLevelType w:val="hybridMultilevel"/>
    <w:tmpl w:val="883001C4"/>
    <w:lvl w:ilvl="0" w:tplc="20465F68">
      <w:start w:val="1"/>
      <w:numFmt w:val="bullet"/>
      <w:lvlText w:val=""/>
      <w:lvlJc w:val="left"/>
      <w:pPr>
        <w:ind w:left="720" w:hanging="360"/>
      </w:pPr>
      <w:rPr>
        <w:rFonts w:ascii="Symbol" w:hAnsi="Symbol" w:hint="default"/>
      </w:rPr>
    </w:lvl>
    <w:lvl w:ilvl="1" w:tplc="AC082256">
      <w:start w:val="1"/>
      <w:numFmt w:val="bullet"/>
      <w:lvlText w:val="o"/>
      <w:lvlJc w:val="left"/>
      <w:pPr>
        <w:ind w:left="1440" w:hanging="360"/>
      </w:pPr>
      <w:rPr>
        <w:rFonts w:ascii="Courier New" w:hAnsi="Courier New" w:cs="Courier New" w:hint="default"/>
      </w:rPr>
    </w:lvl>
    <w:lvl w:ilvl="2" w:tplc="B6BCFAD8">
      <w:start w:val="1"/>
      <w:numFmt w:val="bullet"/>
      <w:lvlText w:val=""/>
      <w:lvlJc w:val="left"/>
      <w:pPr>
        <w:ind w:left="2160" w:hanging="360"/>
      </w:pPr>
      <w:rPr>
        <w:rFonts w:ascii="Wingdings" w:hAnsi="Wingdings" w:hint="default"/>
      </w:rPr>
    </w:lvl>
    <w:lvl w:ilvl="3" w:tplc="F07A206A">
      <w:start w:val="1"/>
      <w:numFmt w:val="bullet"/>
      <w:lvlText w:val=""/>
      <w:lvlJc w:val="left"/>
      <w:pPr>
        <w:ind w:left="2880" w:hanging="360"/>
      </w:pPr>
      <w:rPr>
        <w:rFonts w:ascii="Symbol" w:hAnsi="Symbol" w:hint="default"/>
      </w:rPr>
    </w:lvl>
    <w:lvl w:ilvl="4" w:tplc="FE04666C">
      <w:start w:val="1"/>
      <w:numFmt w:val="bullet"/>
      <w:lvlText w:val="o"/>
      <w:lvlJc w:val="left"/>
      <w:pPr>
        <w:ind w:left="3600" w:hanging="360"/>
      </w:pPr>
      <w:rPr>
        <w:rFonts w:ascii="Courier New" w:hAnsi="Courier New" w:cs="Courier New" w:hint="default"/>
      </w:rPr>
    </w:lvl>
    <w:lvl w:ilvl="5" w:tplc="9DA086AC">
      <w:start w:val="1"/>
      <w:numFmt w:val="bullet"/>
      <w:lvlText w:val=""/>
      <w:lvlJc w:val="left"/>
      <w:pPr>
        <w:ind w:left="4320" w:hanging="360"/>
      </w:pPr>
      <w:rPr>
        <w:rFonts w:ascii="Wingdings" w:hAnsi="Wingdings" w:hint="default"/>
      </w:rPr>
    </w:lvl>
    <w:lvl w:ilvl="6" w:tplc="FBBE5A72">
      <w:start w:val="1"/>
      <w:numFmt w:val="bullet"/>
      <w:lvlText w:val=""/>
      <w:lvlJc w:val="left"/>
      <w:pPr>
        <w:ind w:left="5040" w:hanging="360"/>
      </w:pPr>
      <w:rPr>
        <w:rFonts w:ascii="Symbol" w:hAnsi="Symbol" w:hint="default"/>
      </w:rPr>
    </w:lvl>
    <w:lvl w:ilvl="7" w:tplc="449EC76E">
      <w:start w:val="1"/>
      <w:numFmt w:val="bullet"/>
      <w:lvlText w:val="o"/>
      <w:lvlJc w:val="left"/>
      <w:pPr>
        <w:ind w:left="5760" w:hanging="360"/>
      </w:pPr>
      <w:rPr>
        <w:rFonts w:ascii="Courier New" w:hAnsi="Courier New" w:cs="Courier New" w:hint="default"/>
      </w:rPr>
    </w:lvl>
    <w:lvl w:ilvl="8" w:tplc="83689B38">
      <w:start w:val="1"/>
      <w:numFmt w:val="bullet"/>
      <w:lvlText w:val=""/>
      <w:lvlJc w:val="left"/>
      <w:pPr>
        <w:ind w:left="6480" w:hanging="360"/>
      </w:pPr>
      <w:rPr>
        <w:rFonts w:ascii="Wingdings" w:hAnsi="Wingdings" w:hint="default"/>
      </w:rPr>
    </w:lvl>
  </w:abstractNum>
  <w:abstractNum w:abstractNumId="89" w15:restartNumberingAfterBreak="0">
    <w:nsid w:val="3B3B1587"/>
    <w:multiLevelType w:val="hybridMultilevel"/>
    <w:tmpl w:val="1B04AB8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0" w15:restartNumberingAfterBreak="0">
    <w:nsid w:val="3B463607"/>
    <w:multiLevelType w:val="hybridMultilevel"/>
    <w:tmpl w:val="049A05E6"/>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1" w15:restartNumberingAfterBreak="0">
    <w:nsid w:val="3B7B26A5"/>
    <w:multiLevelType w:val="hybridMultilevel"/>
    <w:tmpl w:val="C45C71FE"/>
    <w:lvl w:ilvl="0" w:tplc="FFFFFFFF">
      <w:start w:val="1"/>
      <w:numFmt w:val="bullet"/>
      <w:lvlText w:val=""/>
      <w:lvlJc w:val="left"/>
      <w:pPr>
        <w:ind w:left="720" w:hanging="360"/>
      </w:pPr>
      <w:rPr>
        <w:rFonts w:ascii="Symbol" w:hAnsi="Symbol" w:hint="default"/>
      </w:rPr>
    </w:lvl>
    <w:lvl w:ilvl="1" w:tplc="9C0CE1D0">
      <w:start w:val="1"/>
      <w:numFmt w:val="lowerLetter"/>
      <w:lvlText w:val="%2)"/>
      <w:lvlJc w:val="left"/>
      <w:pPr>
        <w:ind w:left="1440" w:hanging="360"/>
      </w:pPr>
      <w:rPr>
        <w:b/>
        <w:bCs/>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2" w15:restartNumberingAfterBreak="0">
    <w:nsid w:val="3C2A60D4"/>
    <w:multiLevelType w:val="hybridMultilevel"/>
    <w:tmpl w:val="F02431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3" w15:restartNumberingAfterBreak="0">
    <w:nsid w:val="3DBE54E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4" w15:restartNumberingAfterBreak="0">
    <w:nsid w:val="3E7D78C3"/>
    <w:multiLevelType w:val="multilevel"/>
    <w:tmpl w:val="66E6E6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408C0ADE"/>
    <w:multiLevelType w:val="hybridMultilevel"/>
    <w:tmpl w:val="1EB8D980"/>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6" w15:restartNumberingAfterBreak="0">
    <w:nsid w:val="423A78EA"/>
    <w:multiLevelType w:val="hybridMultilevel"/>
    <w:tmpl w:val="37B6B0A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7" w15:restartNumberingAfterBreak="0">
    <w:nsid w:val="43706D99"/>
    <w:multiLevelType w:val="hybridMultilevel"/>
    <w:tmpl w:val="A54835D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8" w15:restartNumberingAfterBreak="0">
    <w:nsid w:val="43834242"/>
    <w:multiLevelType w:val="multilevel"/>
    <w:tmpl w:val="534AB8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44AA6384"/>
    <w:multiLevelType w:val="hybridMultilevel"/>
    <w:tmpl w:val="B3987C68"/>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0" w15:restartNumberingAfterBreak="0">
    <w:nsid w:val="451F70F3"/>
    <w:multiLevelType w:val="multilevel"/>
    <w:tmpl w:val="F68AB5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1" w15:restartNumberingAfterBreak="0">
    <w:nsid w:val="454706AC"/>
    <w:multiLevelType w:val="hybridMultilevel"/>
    <w:tmpl w:val="662031CC"/>
    <w:lvl w:ilvl="0" w:tplc="E54C1718">
      <w:start w:val="1"/>
      <w:numFmt w:val="bullet"/>
      <w:lvlText w:val=""/>
      <w:lvlJc w:val="left"/>
      <w:pPr>
        <w:ind w:left="720" w:hanging="360"/>
      </w:pPr>
      <w:rPr>
        <w:rFonts w:ascii="Symbol" w:hAnsi="Symbol" w:hint="default"/>
      </w:rPr>
    </w:lvl>
    <w:lvl w:ilvl="1" w:tplc="5734C51C">
      <w:start w:val="1"/>
      <w:numFmt w:val="bullet"/>
      <w:lvlText w:val="o"/>
      <w:lvlJc w:val="left"/>
      <w:pPr>
        <w:ind w:left="1440" w:hanging="360"/>
      </w:pPr>
      <w:rPr>
        <w:rFonts w:ascii="Courier New" w:hAnsi="Courier New" w:cs="Courier New" w:hint="default"/>
      </w:rPr>
    </w:lvl>
    <w:lvl w:ilvl="2" w:tplc="3CDE5E10">
      <w:start w:val="1"/>
      <w:numFmt w:val="bullet"/>
      <w:lvlText w:val=""/>
      <w:lvlJc w:val="left"/>
      <w:pPr>
        <w:ind w:left="2160" w:hanging="360"/>
      </w:pPr>
      <w:rPr>
        <w:rFonts w:ascii="Wingdings" w:hAnsi="Wingdings" w:hint="default"/>
      </w:rPr>
    </w:lvl>
    <w:lvl w:ilvl="3" w:tplc="10B2CD46">
      <w:start w:val="1"/>
      <w:numFmt w:val="bullet"/>
      <w:lvlText w:val=""/>
      <w:lvlJc w:val="left"/>
      <w:pPr>
        <w:ind w:left="2880" w:hanging="360"/>
      </w:pPr>
      <w:rPr>
        <w:rFonts w:ascii="Symbol" w:hAnsi="Symbol" w:hint="default"/>
      </w:rPr>
    </w:lvl>
    <w:lvl w:ilvl="4" w:tplc="7F5C74CC">
      <w:start w:val="1"/>
      <w:numFmt w:val="bullet"/>
      <w:lvlText w:val="o"/>
      <w:lvlJc w:val="left"/>
      <w:pPr>
        <w:ind w:left="3600" w:hanging="360"/>
      </w:pPr>
      <w:rPr>
        <w:rFonts w:ascii="Courier New" w:hAnsi="Courier New" w:cs="Courier New" w:hint="default"/>
      </w:rPr>
    </w:lvl>
    <w:lvl w:ilvl="5" w:tplc="13504C26">
      <w:start w:val="1"/>
      <w:numFmt w:val="bullet"/>
      <w:lvlText w:val=""/>
      <w:lvlJc w:val="left"/>
      <w:pPr>
        <w:ind w:left="4320" w:hanging="360"/>
      </w:pPr>
      <w:rPr>
        <w:rFonts w:ascii="Wingdings" w:hAnsi="Wingdings" w:hint="default"/>
      </w:rPr>
    </w:lvl>
    <w:lvl w:ilvl="6" w:tplc="A1328A52">
      <w:start w:val="1"/>
      <w:numFmt w:val="bullet"/>
      <w:lvlText w:val=""/>
      <w:lvlJc w:val="left"/>
      <w:pPr>
        <w:ind w:left="5040" w:hanging="360"/>
      </w:pPr>
      <w:rPr>
        <w:rFonts w:ascii="Symbol" w:hAnsi="Symbol" w:hint="default"/>
      </w:rPr>
    </w:lvl>
    <w:lvl w:ilvl="7" w:tplc="F6825942">
      <w:start w:val="1"/>
      <w:numFmt w:val="bullet"/>
      <w:lvlText w:val="o"/>
      <w:lvlJc w:val="left"/>
      <w:pPr>
        <w:ind w:left="5760" w:hanging="360"/>
      </w:pPr>
      <w:rPr>
        <w:rFonts w:ascii="Courier New" w:hAnsi="Courier New" w:cs="Courier New" w:hint="default"/>
      </w:rPr>
    </w:lvl>
    <w:lvl w:ilvl="8" w:tplc="A45A8F64">
      <w:start w:val="1"/>
      <w:numFmt w:val="bullet"/>
      <w:lvlText w:val=""/>
      <w:lvlJc w:val="left"/>
      <w:pPr>
        <w:ind w:left="6480" w:hanging="360"/>
      </w:pPr>
      <w:rPr>
        <w:rFonts w:ascii="Wingdings" w:hAnsi="Wingdings" w:hint="default"/>
      </w:rPr>
    </w:lvl>
  </w:abstractNum>
  <w:abstractNum w:abstractNumId="102" w15:restartNumberingAfterBreak="0">
    <w:nsid w:val="464B7A6C"/>
    <w:multiLevelType w:val="hybridMultilevel"/>
    <w:tmpl w:val="B7C0CB8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3" w15:restartNumberingAfterBreak="0">
    <w:nsid w:val="47967BB7"/>
    <w:multiLevelType w:val="multilevel"/>
    <w:tmpl w:val="EA94D0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4" w15:restartNumberingAfterBreak="0">
    <w:nsid w:val="4829130E"/>
    <w:multiLevelType w:val="hybridMultilevel"/>
    <w:tmpl w:val="85D6E4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5" w15:restartNumberingAfterBreak="0">
    <w:nsid w:val="487B610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6" w15:restartNumberingAfterBreak="0">
    <w:nsid w:val="490B642F"/>
    <w:multiLevelType w:val="hybridMultilevel"/>
    <w:tmpl w:val="5714FD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7" w15:restartNumberingAfterBreak="0">
    <w:nsid w:val="49FC0057"/>
    <w:multiLevelType w:val="hybridMultilevel"/>
    <w:tmpl w:val="CF00AFDA"/>
    <w:lvl w:ilvl="0" w:tplc="35488662">
      <w:start w:val="1"/>
      <w:numFmt w:val="decimal"/>
      <w:lvlText w:val="%1."/>
      <w:lvlJc w:val="left"/>
      <w:pPr>
        <w:ind w:left="218" w:hanging="360"/>
      </w:pPr>
      <w:rPr>
        <w:rFonts w:hint="default"/>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108" w15:restartNumberingAfterBreak="0">
    <w:nsid w:val="4A3F0DA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4AC36471"/>
    <w:multiLevelType w:val="hybridMultilevel"/>
    <w:tmpl w:val="705CFBA0"/>
    <w:lvl w:ilvl="0" w:tplc="FFFFFFFF">
      <w:start w:val="1"/>
      <w:numFmt w:val="lowerLetter"/>
      <w:lvlText w:val="%1)"/>
      <w:lvlJc w:val="left"/>
      <w:pPr>
        <w:ind w:left="720" w:hanging="360"/>
      </w:pPr>
    </w:lvl>
    <w:lvl w:ilvl="1" w:tplc="0405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4B2B6F91"/>
    <w:multiLevelType w:val="multilevel"/>
    <w:tmpl w:val="C3E267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1" w15:restartNumberingAfterBreak="0">
    <w:nsid w:val="4B7C0881"/>
    <w:multiLevelType w:val="multilevel"/>
    <w:tmpl w:val="DE5E7DA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4B9902CC"/>
    <w:multiLevelType w:val="hybridMultilevel"/>
    <w:tmpl w:val="EA54594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3" w15:restartNumberingAfterBreak="0">
    <w:nsid w:val="4C244D5B"/>
    <w:multiLevelType w:val="hybridMultilevel"/>
    <w:tmpl w:val="1A04731A"/>
    <w:lvl w:ilvl="0" w:tplc="260E403C">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4" w15:restartNumberingAfterBreak="0">
    <w:nsid w:val="4C8679C8"/>
    <w:multiLevelType w:val="hybridMultilevel"/>
    <w:tmpl w:val="4F025B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5" w15:restartNumberingAfterBreak="0">
    <w:nsid w:val="4C9E1267"/>
    <w:multiLevelType w:val="multilevel"/>
    <w:tmpl w:val="5D9821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6" w15:restartNumberingAfterBreak="0">
    <w:nsid w:val="4D297210"/>
    <w:multiLevelType w:val="hybridMultilevel"/>
    <w:tmpl w:val="54A820F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7" w15:restartNumberingAfterBreak="0">
    <w:nsid w:val="4E624D4C"/>
    <w:multiLevelType w:val="hybridMultilevel"/>
    <w:tmpl w:val="52E692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8" w15:restartNumberingAfterBreak="0">
    <w:nsid w:val="4FE12F25"/>
    <w:multiLevelType w:val="hybridMultilevel"/>
    <w:tmpl w:val="2FDA162A"/>
    <w:lvl w:ilvl="0" w:tplc="55089D68">
      <w:start w:val="1"/>
      <w:numFmt w:val="decimal"/>
      <w:lvlText w:val="%1)"/>
      <w:lvlJc w:val="left"/>
      <w:pPr>
        <w:ind w:left="720" w:hanging="360"/>
      </w:pPr>
      <w:rPr>
        <w:rFonts w:eastAsia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9" w15:restartNumberingAfterBreak="0">
    <w:nsid w:val="51032933"/>
    <w:multiLevelType w:val="multilevel"/>
    <w:tmpl w:val="6B1A51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517C50B5"/>
    <w:multiLevelType w:val="hybridMultilevel"/>
    <w:tmpl w:val="F4A8709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1" w15:restartNumberingAfterBreak="0">
    <w:nsid w:val="51A15FB1"/>
    <w:multiLevelType w:val="multilevel"/>
    <w:tmpl w:val="83503A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15:restartNumberingAfterBreak="0">
    <w:nsid w:val="52846A5D"/>
    <w:multiLevelType w:val="multilevel"/>
    <w:tmpl w:val="9318AE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3" w15:restartNumberingAfterBreak="0">
    <w:nsid w:val="52AB42F5"/>
    <w:multiLevelType w:val="multilevel"/>
    <w:tmpl w:val="EA44EA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4" w15:restartNumberingAfterBreak="0">
    <w:nsid w:val="536C172F"/>
    <w:multiLevelType w:val="multilevel"/>
    <w:tmpl w:val="5C86EE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5" w15:restartNumberingAfterBreak="0">
    <w:nsid w:val="53B62E94"/>
    <w:multiLevelType w:val="hybridMultilevel"/>
    <w:tmpl w:val="505EA26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6" w15:restartNumberingAfterBreak="0">
    <w:nsid w:val="547C4F5A"/>
    <w:multiLevelType w:val="multilevel"/>
    <w:tmpl w:val="A5AC3BEA"/>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54F15F91"/>
    <w:multiLevelType w:val="multilevel"/>
    <w:tmpl w:val="16B476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8" w15:restartNumberingAfterBreak="0">
    <w:nsid w:val="55543182"/>
    <w:multiLevelType w:val="multilevel"/>
    <w:tmpl w:val="2BE8BD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9" w15:restartNumberingAfterBreak="0">
    <w:nsid w:val="555E3DFF"/>
    <w:multiLevelType w:val="multilevel"/>
    <w:tmpl w:val="3A3C85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559906AE"/>
    <w:multiLevelType w:val="multilevel"/>
    <w:tmpl w:val="D62E3B90"/>
    <w:lvl w:ilvl="0">
      <w:start w:val="1"/>
      <w:numFmt w:val="decimal"/>
      <w:pStyle w:val="Nadpis1"/>
      <w:suff w:val="space"/>
      <w:lvlText w:val="%1."/>
      <w:lvlJc w:val="left"/>
      <w:pPr>
        <w:ind w:left="0" w:firstLine="0"/>
      </w:pPr>
      <w:rPr>
        <w:rFonts w:ascii="Segoe UI" w:hAnsi="Segoe UI" w:hint="default"/>
        <w:b/>
        <w:i w:val="0"/>
        <w:sz w:val="28"/>
      </w:rPr>
    </w:lvl>
    <w:lvl w:ilvl="1">
      <w:start w:val="1"/>
      <w:numFmt w:val="decimal"/>
      <w:pStyle w:val="Nadpis2"/>
      <w:suff w:val="space"/>
      <w:lvlText w:val="%1.%2"/>
      <w:lvlJc w:val="left"/>
      <w:pPr>
        <w:ind w:left="1134" w:firstLine="0"/>
      </w:pPr>
      <w:rPr>
        <w:rFonts w:ascii="Segoe UI" w:hAnsi="Segoe UI" w:hint="default"/>
        <w:b/>
        <w:i w:val="0"/>
        <w:sz w:val="24"/>
      </w:rPr>
    </w:lvl>
    <w:lvl w:ilvl="2">
      <w:start w:val="1"/>
      <w:numFmt w:val="decimal"/>
      <w:pStyle w:val="Nadpis3"/>
      <w:suff w:val="space"/>
      <w:lvlText w:val="%1.%2.%3."/>
      <w:lvlJc w:val="left"/>
      <w:pPr>
        <w:ind w:left="0" w:firstLine="0"/>
      </w:pPr>
    </w:lvl>
    <w:lvl w:ilvl="3">
      <w:start w:val="1"/>
      <w:numFmt w:val="decimal"/>
      <w:pStyle w:val="Nadpis4"/>
      <w:lvlText w:val="%1.%2.%3.%4."/>
      <w:lvlJc w:val="left"/>
      <w:pPr>
        <w:ind w:left="1728" w:hanging="648"/>
      </w:pPr>
      <w:rPr>
        <w:b/>
        <w:bCs/>
        <w:i w:val="0"/>
        <w:iCs w:val="0"/>
      </w:rPr>
    </w:lvl>
    <w:lvl w:ilvl="4">
      <w:start w:val="1"/>
      <w:numFmt w:val="decimal"/>
      <w:pStyle w:val="Nadpis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1" w15:restartNumberingAfterBreak="0">
    <w:nsid w:val="56E851E1"/>
    <w:multiLevelType w:val="hybridMultilevel"/>
    <w:tmpl w:val="DBD07C96"/>
    <w:lvl w:ilvl="0" w:tplc="FEE8C088">
      <w:start w:val="1"/>
      <w:numFmt w:val="bullet"/>
      <w:lvlText w:val="o"/>
      <w:lvlJc w:val="left"/>
      <w:pPr>
        <w:ind w:left="1428" w:hanging="360"/>
      </w:pPr>
      <w:rPr>
        <w:rFonts w:ascii="Courier New" w:hAnsi="Courier New" w:cs="Courier New" w:hint="default"/>
        <w:color w:val="404040" w:themeColor="text1" w:themeTint="BF"/>
        <w:sz w:val="18"/>
        <w:szCs w:val="18"/>
      </w:rPr>
    </w:lvl>
    <w:lvl w:ilvl="1" w:tplc="C92E7A58">
      <w:start w:val="1"/>
      <w:numFmt w:val="bullet"/>
      <w:lvlText w:val="o"/>
      <w:lvlJc w:val="left"/>
      <w:pPr>
        <w:ind w:left="2148" w:hanging="360"/>
      </w:pPr>
      <w:rPr>
        <w:rFonts w:ascii="Courier New" w:hAnsi="Courier New" w:cs="Courier New" w:hint="default"/>
      </w:rPr>
    </w:lvl>
    <w:lvl w:ilvl="2" w:tplc="F8D81B94">
      <w:start w:val="1"/>
      <w:numFmt w:val="bullet"/>
      <w:lvlText w:val=""/>
      <w:lvlJc w:val="left"/>
      <w:pPr>
        <w:ind w:left="2868" w:hanging="360"/>
      </w:pPr>
      <w:rPr>
        <w:rFonts w:ascii="Wingdings" w:hAnsi="Wingdings" w:hint="default"/>
      </w:rPr>
    </w:lvl>
    <w:lvl w:ilvl="3" w:tplc="3D7E6D78">
      <w:start w:val="1"/>
      <w:numFmt w:val="bullet"/>
      <w:lvlText w:val=""/>
      <w:lvlJc w:val="left"/>
      <w:pPr>
        <w:ind w:left="3588" w:hanging="360"/>
      </w:pPr>
      <w:rPr>
        <w:rFonts w:ascii="Symbol" w:hAnsi="Symbol" w:hint="default"/>
      </w:rPr>
    </w:lvl>
    <w:lvl w:ilvl="4" w:tplc="2B0CF500">
      <w:start w:val="1"/>
      <w:numFmt w:val="bullet"/>
      <w:lvlText w:val="o"/>
      <w:lvlJc w:val="left"/>
      <w:pPr>
        <w:ind w:left="4308" w:hanging="360"/>
      </w:pPr>
      <w:rPr>
        <w:rFonts w:ascii="Courier New" w:hAnsi="Courier New" w:cs="Courier New" w:hint="default"/>
      </w:rPr>
    </w:lvl>
    <w:lvl w:ilvl="5" w:tplc="BFE89E02">
      <w:start w:val="1"/>
      <w:numFmt w:val="bullet"/>
      <w:lvlText w:val=""/>
      <w:lvlJc w:val="left"/>
      <w:pPr>
        <w:ind w:left="5028" w:hanging="360"/>
      </w:pPr>
      <w:rPr>
        <w:rFonts w:ascii="Wingdings" w:hAnsi="Wingdings" w:hint="default"/>
      </w:rPr>
    </w:lvl>
    <w:lvl w:ilvl="6" w:tplc="22C67F3C">
      <w:start w:val="1"/>
      <w:numFmt w:val="bullet"/>
      <w:lvlText w:val=""/>
      <w:lvlJc w:val="left"/>
      <w:pPr>
        <w:ind w:left="5748" w:hanging="360"/>
      </w:pPr>
      <w:rPr>
        <w:rFonts w:ascii="Symbol" w:hAnsi="Symbol" w:hint="default"/>
      </w:rPr>
    </w:lvl>
    <w:lvl w:ilvl="7" w:tplc="A50C6DAC">
      <w:start w:val="1"/>
      <w:numFmt w:val="bullet"/>
      <w:lvlText w:val="o"/>
      <w:lvlJc w:val="left"/>
      <w:pPr>
        <w:ind w:left="6468" w:hanging="360"/>
      </w:pPr>
      <w:rPr>
        <w:rFonts w:ascii="Courier New" w:hAnsi="Courier New" w:cs="Courier New" w:hint="default"/>
      </w:rPr>
    </w:lvl>
    <w:lvl w:ilvl="8" w:tplc="EA8A5602">
      <w:start w:val="1"/>
      <w:numFmt w:val="bullet"/>
      <w:lvlText w:val=""/>
      <w:lvlJc w:val="left"/>
      <w:pPr>
        <w:ind w:left="7188" w:hanging="360"/>
      </w:pPr>
      <w:rPr>
        <w:rFonts w:ascii="Wingdings" w:hAnsi="Wingdings" w:hint="default"/>
      </w:rPr>
    </w:lvl>
  </w:abstractNum>
  <w:abstractNum w:abstractNumId="132" w15:restartNumberingAfterBreak="0">
    <w:nsid w:val="57E122A0"/>
    <w:multiLevelType w:val="multilevel"/>
    <w:tmpl w:val="097AC9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3" w15:restartNumberingAfterBreak="0">
    <w:nsid w:val="58812785"/>
    <w:multiLevelType w:val="multilevel"/>
    <w:tmpl w:val="BC906A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15:restartNumberingAfterBreak="0">
    <w:nsid w:val="5882324B"/>
    <w:multiLevelType w:val="multilevel"/>
    <w:tmpl w:val="31B2C6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5" w15:restartNumberingAfterBreak="0">
    <w:nsid w:val="595E2DC5"/>
    <w:multiLevelType w:val="hybridMultilevel"/>
    <w:tmpl w:val="211CB1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6" w15:restartNumberingAfterBreak="0">
    <w:nsid w:val="597C25D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599A2B5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8" w15:restartNumberingAfterBreak="0">
    <w:nsid w:val="5A677352"/>
    <w:multiLevelType w:val="multilevel"/>
    <w:tmpl w:val="A99C612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9" w15:restartNumberingAfterBreak="0">
    <w:nsid w:val="5B7A29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0" w15:restartNumberingAfterBreak="0">
    <w:nsid w:val="5BEA6069"/>
    <w:multiLevelType w:val="hybridMultilevel"/>
    <w:tmpl w:val="EC5E6CE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1" w15:restartNumberingAfterBreak="0">
    <w:nsid w:val="5DD02FA3"/>
    <w:multiLevelType w:val="hybridMultilevel"/>
    <w:tmpl w:val="5852CF94"/>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42" w15:restartNumberingAfterBreak="0">
    <w:nsid w:val="5DF37D9F"/>
    <w:multiLevelType w:val="multilevel"/>
    <w:tmpl w:val="115C55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3" w15:restartNumberingAfterBreak="0">
    <w:nsid w:val="5E0234C5"/>
    <w:multiLevelType w:val="multilevel"/>
    <w:tmpl w:val="3FEE23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4" w15:restartNumberingAfterBreak="0">
    <w:nsid w:val="5F1F70BD"/>
    <w:multiLevelType w:val="multilevel"/>
    <w:tmpl w:val="BE2AD0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5" w15:restartNumberingAfterBreak="0">
    <w:nsid w:val="5F3659CB"/>
    <w:multiLevelType w:val="multilevel"/>
    <w:tmpl w:val="1410EBA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15:restartNumberingAfterBreak="0">
    <w:nsid w:val="638703DF"/>
    <w:multiLevelType w:val="hybridMultilevel"/>
    <w:tmpl w:val="718A5D3C"/>
    <w:lvl w:ilvl="0" w:tplc="FFFFFFFF">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7" w15:restartNumberingAfterBreak="0">
    <w:nsid w:val="64682CE7"/>
    <w:multiLevelType w:val="hybridMultilevel"/>
    <w:tmpl w:val="9146C38A"/>
    <w:lvl w:ilvl="0" w:tplc="04050001">
      <w:start w:val="1"/>
      <w:numFmt w:val="bullet"/>
      <w:lvlText w:val=""/>
      <w:lvlJc w:val="left"/>
      <w:pPr>
        <w:ind w:left="720" w:hanging="360"/>
      </w:pPr>
      <w:rPr>
        <w:rFonts w:ascii="Symbol" w:hAnsi="Symbol" w:hint="default"/>
      </w:rPr>
    </w:lvl>
    <w:lvl w:ilvl="1" w:tplc="FFFFFFFF">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8" w15:restartNumberingAfterBreak="0">
    <w:nsid w:val="65A23EAA"/>
    <w:multiLevelType w:val="hybridMultilevel"/>
    <w:tmpl w:val="31C60672"/>
    <w:lvl w:ilvl="0" w:tplc="04050003">
      <w:start w:val="1"/>
      <w:numFmt w:val="bullet"/>
      <w:lvlText w:val="o"/>
      <w:lvlJc w:val="left"/>
      <w:pPr>
        <w:ind w:left="1068" w:hanging="360"/>
      </w:pPr>
      <w:rPr>
        <w:rFonts w:ascii="Courier New" w:hAnsi="Courier New" w:cs="Courier New"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49" w15:restartNumberingAfterBreak="0">
    <w:nsid w:val="66CE3427"/>
    <w:multiLevelType w:val="hybridMultilevel"/>
    <w:tmpl w:val="E3C0EA7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0" w15:restartNumberingAfterBreak="0">
    <w:nsid w:val="687171F5"/>
    <w:multiLevelType w:val="hybridMultilevel"/>
    <w:tmpl w:val="3D34813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1" w15:restartNumberingAfterBreak="0">
    <w:nsid w:val="69B51099"/>
    <w:multiLevelType w:val="hybridMultilevel"/>
    <w:tmpl w:val="D5E678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2" w15:restartNumberingAfterBreak="0">
    <w:nsid w:val="6AF62CFE"/>
    <w:multiLevelType w:val="hybridMultilevel"/>
    <w:tmpl w:val="5A689D88"/>
    <w:lvl w:ilvl="0" w:tplc="0405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53" w15:restartNumberingAfterBreak="0">
    <w:nsid w:val="6B09019A"/>
    <w:multiLevelType w:val="hybridMultilevel"/>
    <w:tmpl w:val="2F1CC8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4" w15:restartNumberingAfterBreak="0">
    <w:nsid w:val="6B474752"/>
    <w:multiLevelType w:val="hybridMultilevel"/>
    <w:tmpl w:val="9D3A62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5" w15:restartNumberingAfterBreak="0">
    <w:nsid w:val="6BFC65CE"/>
    <w:multiLevelType w:val="multilevel"/>
    <w:tmpl w:val="AF7012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6" w15:restartNumberingAfterBreak="0">
    <w:nsid w:val="6C5F429A"/>
    <w:multiLevelType w:val="multilevel"/>
    <w:tmpl w:val="8B48B0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7" w15:restartNumberingAfterBreak="0">
    <w:nsid w:val="6E9F0DB2"/>
    <w:multiLevelType w:val="hybridMultilevel"/>
    <w:tmpl w:val="207EE9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8" w15:restartNumberingAfterBreak="0">
    <w:nsid w:val="6F0A1D36"/>
    <w:multiLevelType w:val="hybridMultilevel"/>
    <w:tmpl w:val="99FCDD2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9" w15:restartNumberingAfterBreak="0">
    <w:nsid w:val="6FBA7522"/>
    <w:multiLevelType w:val="multilevel"/>
    <w:tmpl w:val="BCF8FA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0" w15:restartNumberingAfterBreak="0">
    <w:nsid w:val="701D5308"/>
    <w:multiLevelType w:val="hybridMultilevel"/>
    <w:tmpl w:val="B7F023CE"/>
    <w:lvl w:ilvl="0" w:tplc="04050003">
      <w:start w:val="1"/>
      <w:numFmt w:val="bullet"/>
      <w:lvlText w:val="o"/>
      <w:lvlJc w:val="left"/>
      <w:pPr>
        <w:ind w:left="720" w:hanging="360"/>
      </w:pPr>
      <w:rPr>
        <w:rFonts w:ascii="Courier New" w:hAnsi="Courier New" w:cs="Courier New" w:hint="default"/>
      </w:rPr>
    </w:lvl>
    <w:lvl w:ilvl="1" w:tplc="04050001">
      <w:start w:val="1"/>
      <w:numFmt w:val="bullet"/>
      <w:lvlText w:val=""/>
      <w:lvlJc w:val="left"/>
      <w:pPr>
        <w:ind w:left="72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1" w15:restartNumberingAfterBreak="0">
    <w:nsid w:val="70443B31"/>
    <w:multiLevelType w:val="hybridMultilevel"/>
    <w:tmpl w:val="0AB62F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2" w15:restartNumberingAfterBreak="0">
    <w:nsid w:val="708272CE"/>
    <w:multiLevelType w:val="multilevel"/>
    <w:tmpl w:val="54EA1D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3" w15:restartNumberingAfterBreak="0">
    <w:nsid w:val="70F234F3"/>
    <w:multiLevelType w:val="hybridMultilevel"/>
    <w:tmpl w:val="F7AC3A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4" w15:restartNumberingAfterBreak="0">
    <w:nsid w:val="7247709B"/>
    <w:multiLevelType w:val="hybridMultilevel"/>
    <w:tmpl w:val="04545E4E"/>
    <w:lvl w:ilvl="0" w:tplc="9ABC9B22">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5" w15:restartNumberingAfterBreak="0">
    <w:nsid w:val="74454681"/>
    <w:multiLevelType w:val="hybridMultilevel"/>
    <w:tmpl w:val="C5CEF250"/>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6" w15:restartNumberingAfterBreak="0">
    <w:nsid w:val="74A8309C"/>
    <w:multiLevelType w:val="hybridMultilevel"/>
    <w:tmpl w:val="4A24C4B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7" w15:restartNumberingAfterBreak="0">
    <w:nsid w:val="74B349DD"/>
    <w:multiLevelType w:val="multilevel"/>
    <w:tmpl w:val="A5AC3BEA"/>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8" w15:restartNumberingAfterBreak="0">
    <w:nsid w:val="754E7657"/>
    <w:multiLevelType w:val="multilevel"/>
    <w:tmpl w:val="702239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9" w15:restartNumberingAfterBreak="0">
    <w:nsid w:val="760C70CE"/>
    <w:multiLevelType w:val="hybridMultilevel"/>
    <w:tmpl w:val="AF3E5E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0" w15:restartNumberingAfterBreak="0">
    <w:nsid w:val="771711F4"/>
    <w:multiLevelType w:val="hybridMultilevel"/>
    <w:tmpl w:val="C302C7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1" w15:restartNumberingAfterBreak="0">
    <w:nsid w:val="77B40B5F"/>
    <w:multiLevelType w:val="multilevel"/>
    <w:tmpl w:val="EE4440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2" w15:restartNumberingAfterBreak="0">
    <w:nsid w:val="77B701C0"/>
    <w:multiLevelType w:val="multilevel"/>
    <w:tmpl w:val="7EB66B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3" w15:restartNumberingAfterBreak="0">
    <w:nsid w:val="78484386"/>
    <w:multiLevelType w:val="hybridMultilevel"/>
    <w:tmpl w:val="73E0DE6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4" w15:restartNumberingAfterBreak="0">
    <w:nsid w:val="79A1790E"/>
    <w:multiLevelType w:val="hybridMultilevel"/>
    <w:tmpl w:val="AEE61F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5" w15:restartNumberingAfterBreak="0">
    <w:nsid w:val="7A056EEC"/>
    <w:multiLevelType w:val="multilevel"/>
    <w:tmpl w:val="6BF042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6" w15:restartNumberingAfterBreak="0">
    <w:nsid w:val="7A710BE0"/>
    <w:multiLevelType w:val="multilevel"/>
    <w:tmpl w:val="A60E12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7A7A5BE9"/>
    <w:multiLevelType w:val="hybridMultilevel"/>
    <w:tmpl w:val="95F43E28"/>
    <w:lvl w:ilvl="0" w:tplc="830AAA4E">
      <w:start w:val="1"/>
      <w:numFmt w:val="bullet"/>
      <w:lvlText w:val="­"/>
      <w:lvlJc w:val="left"/>
      <w:pPr>
        <w:ind w:left="720" w:hanging="360"/>
      </w:pPr>
      <w:rPr>
        <w:rFonts w:ascii="Courier New" w:hAnsi="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8" w15:restartNumberingAfterBreak="0">
    <w:nsid w:val="7B553CCE"/>
    <w:multiLevelType w:val="hybridMultilevel"/>
    <w:tmpl w:val="5418B5F0"/>
    <w:lvl w:ilvl="0" w:tplc="04050001">
      <w:start w:val="1"/>
      <w:numFmt w:val="bullet"/>
      <w:lvlText w:val=""/>
      <w:lvlJc w:val="left"/>
      <w:pPr>
        <w:ind w:left="720" w:hanging="360"/>
      </w:pPr>
      <w:rPr>
        <w:rFonts w:ascii="Symbol" w:hAnsi="Symbol" w:hint="default"/>
      </w:rPr>
    </w:lvl>
    <w:lvl w:ilvl="1" w:tplc="437691D4">
      <w:start w:val="1"/>
      <w:numFmt w:val="bullet"/>
      <w:lvlText w:val="o"/>
      <w:lvlJc w:val="left"/>
      <w:pPr>
        <w:ind w:left="1440" w:hanging="360"/>
      </w:pPr>
      <w:rPr>
        <w:rFonts w:ascii="Courier New" w:hAnsi="Courier New" w:cs="Courier New" w:hint="default"/>
        <w:color w:val="auto"/>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9" w15:restartNumberingAfterBreak="0">
    <w:nsid w:val="7BE66A8B"/>
    <w:multiLevelType w:val="hybridMultilevel"/>
    <w:tmpl w:val="465E163A"/>
    <w:lvl w:ilvl="0" w:tplc="FFFFFFFF">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80" w15:restartNumberingAfterBreak="0">
    <w:nsid w:val="7DF56C8F"/>
    <w:multiLevelType w:val="hybridMultilevel"/>
    <w:tmpl w:val="F5A20664"/>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1" w15:restartNumberingAfterBreak="0">
    <w:nsid w:val="7E293B18"/>
    <w:multiLevelType w:val="multilevel"/>
    <w:tmpl w:val="9754EB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2" w15:restartNumberingAfterBreak="0">
    <w:nsid w:val="7EB36CA1"/>
    <w:multiLevelType w:val="hybridMultilevel"/>
    <w:tmpl w:val="67406C2E"/>
    <w:lvl w:ilvl="0" w:tplc="FFFFFFFF">
      <w:start w:val="1"/>
      <w:numFmt w:val="lowerLetter"/>
      <w:lvlText w:val="%1."/>
      <w:lvlJc w:val="left"/>
      <w:pPr>
        <w:ind w:left="1068" w:hanging="360"/>
      </w:pPr>
    </w:lvl>
    <w:lvl w:ilvl="1" w:tplc="04050019" w:tentative="1">
      <w:start w:val="1"/>
      <w:numFmt w:val="lowerLetter"/>
      <w:lvlText w:val="%2."/>
      <w:lvlJc w:val="left"/>
      <w:pPr>
        <w:ind w:left="1068" w:hanging="360"/>
      </w:pPr>
    </w:lvl>
    <w:lvl w:ilvl="2" w:tplc="0405001B" w:tentative="1">
      <w:start w:val="1"/>
      <w:numFmt w:val="lowerRoman"/>
      <w:lvlText w:val="%3."/>
      <w:lvlJc w:val="right"/>
      <w:pPr>
        <w:ind w:left="1788"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num w:numId="1" w16cid:durableId="1321890876">
    <w:abstractNumId w:val="44"/>
  </w:num>
  <w:num w:numId="2" w16cid:durableId="2101215620">
    <w:abstractNumId w:val="168"/>
  </w:num>
  <w:num w:numId="3" w16cid:durableId="1430076923">
    <w:abstractNumId w:val="73"/>
  </w:num>
  <w:num w:numId="4" w16cid:durableId="1573811546">
    <w:abstractNumId w:val="18"/>
  </w:num>
  <w:num w:numId="5" w16cid:durableId="2016347922">
    <w:abstractNumId w:val="46"/>
  </w:num>
  <w:num w:numId="6" w16cid:durableId="1002707281">
    <w:abstractNumId w:val="143"/>
  </w:num>
  <w:num w:numId="7" w16cid:durableId="811171217">
    <w:abstractNumId w:val="127"/>
  </w:num>
  <w:num w:numId="8" w16cid:durableId="82187505">
    <w:abstractNumId w:val="172"/>
  </w:num>
  <w:num w:numId="9" w16cid:durableId="248317839">
    <w:abstractNumId w:val="26"/>
  </w:num>
  <w:num w:numId="10" w16cid:durableId="1525946870">
    <w:abstractNumId w:val="8"/>
  </w:num>
  <w:num w:numId="11" w16cid:durableId="836574552">
    <w:abstractNumId w:val="142"/>
  </w:num>
  <w:num w:numId="12" w16cid:durableId="1169829678">
    <w:abstractNumId w:val="156"/>
  </w:num>
  <w:num w:numId="13" w16cid:durableId="2145386622">
    <w:abstractNumId w:val="20"/>
  </w:num>
  <w:num w:numId="14" w16cid:durableId="395399377">
    <w:abstractNumId w:val="133"/>
  </w:num>
  <w:num w:numId="15" w16cid:durableId="139463569">
    <w:abstractNumId w:val="111"/>
  </w:num>
  <w:num w:numId="16" w16cid:durableId="1757171150">
    <w:abstractNumId w:val="100"/>
  </w:num>
  <w:num w:numId="17" w16cid:durableId="186719620">
    <w:abstractNumId w:val="162"/>
  </w:num>
  <w:num w:numId="18" w16cid:durableId="1893735212">
    <w:abstractNumId w:val="115"/>
  </w:num>
  <w:num w:numId="19" w16cid:durableId="1436095205">
    <w:abstractNumId w:val="134"/>
  </w:num>
  <w:num w:numId="20" w16cid:durableId="2119985148">
    <w:abstractNumId w:val="103"/>
  </w:num>
  <w:num w:numId="21" w16cid:durableId="1672179425">
    <w:abstractNumId w:val="128"/>
  </w:num>
  <w:num w:numId="22" w16cid:durableId="987124736">
    <w:abstractNumId w:val="181"/>
  </w:num>
  <w:num w:numId="23" w16cid:durableId="1909683191">
    <w:abstractNumId w:val="124"/>
  </w:num>
  <w:num w:numId="24" w16cid:durableId="1219053192">
    <w:abstractNumId w:val="36"/>
  </w:num>
  <w:num w:numId="25" w16cid:durableId="294407624">
    <w:abstractNumId w:val="167"/>
  </w:num>
  <w:num w:numId="26" w16cid:durableId="230194279">
    <w:abstractNumId w:val="121"/>
  </w:num>
  <w:num w:numId="27" w16cid:durableId="813983279">
    <w:abstractNumId w:val="123"/>
  </w:num>
  <w:num w:numId="28" w16cid:durableId="1938323727">
    <w:abstractNumId w:val="119"/>
  </w:num>
  <w:num w:numId="29" w16cid:durableId="468130132">
    <w:abstractNumId w:val="145"/>
  </w:num>
  <w:num w:numId="30" w16cid:durableId="1799569180">
    <w:abstractNumId w:val="94"/>
  </w:num>
  <w:num w:numId="31" w16cid:durableId="235171780">
    <w:abstractNumId w:val="47"/>
  </w:num>
  <w:num w:numId="32" w16cid:durableId="1504197014">
    <w:abstractNumId w:val="110"/>
  </w:num>
  <w:num w:numId="33" w16cid:durableId="269288419">
    <w:abstractNumId w:val="7"/>
  </w:num>
  <w:num w:numId="34" w16cid:durableId="499004145">
    <w:abstractNumId w:val="144"/>
  </w:num>
  <w:num w:numId="35" w16cid:durableId="553471294">
    <w:abstractNumId w:val="83"/>
  </w:num>
  <w:num w:numId="36" w16cid:durableId="1759787348">
    <w:abstractNumId w:val="51"/>
  </w:num>
  <w:num w:numId="37" w16cid:durableId="211306539">
    <w:abstractNumId w:val="132"/>
  </w:num>
  <w:num w:numId="38" w16cid:durableId="860436375">
    <w:abstractNumId w:val="155"/>
  </w:num>
  <w:num w:numId="39" w16cid:durableId="6712937">
    <w:abstractNumId w:val="53"/>
  </w:num>
  <w:num w:numId="40" w16cid:durableId="139814323">
    <w:abstractNumId w:val="39"/>
  </w:num>
  <w:num w:numId="41" w16cid:durableId="619579721">
    <w:abstractNumId w:val="68"/>
  </w:num>
  <w:num w:numId="42" w16cid:durableId="712734636">
    <w:abstractNumId w:val="11"/>
  </w:num>
  <w:num w:numId="43" w16cid:durableId="1274290057">
    <w:abstractNumId w:val="4"/>
  </w:num>
  <w:num w:numId="44" w16cid:durableId="1078869370">
    <w:abstractNumId w:val="159"/>
  </w:num>
  <w:num w:numId="45" w16cid:durableId="1418215064">
    <w:abstractNumId w:val="41"/>
  </w:num>
  <w:num w:numId="46" w16cid:durableId="654073411">
    <w:abstractNumId w:val="62"/>
  </w:num>
  <w:num w:numId="47" w16cid:durableId="1581480196">
    <w:abstractNumId w:val="171"/>
  </w:num>
  <w:num w:numId="48" w16cid:durableId="1107431262">
    <w:abstractNumId w:val="64"/>
  </w:num>
  <w:num w:numId="49" w16cid:durableId="1366953146">
    <w:abstractNumId w:val="122"/>
  </w:num>
  <w:num w:numId="50" w16cid:durableId="1560677333">
    <w:abstractNumId w:val="175"/>
  </w:num>
  <w:num w:numId="51" w16cid:durableId="1766149198">
    <w:abstractNumId w:val="10"/>
  </w:num>
  <w:num w:numId="52" w16cid:durableId="1434088204">
    <w:abstractNumId w:val="34"/>
  </w:num>
  <w:num w:numId="53" w16cid:durableId="453597250">
    <w:abstractNumId w:val="98"/>
  </w:num>
  <w:num w:numId="54" w16cid:durableId="340201507">
    <w:abstractNumId w:val="24"/>
  </w:num>
  <w:num w:numId="55" w16cid:durableId="1658917600">
    <w:abstractNumId w:val="106"/>
  </w:num>
  <w:num w:numId="56" w16cid:durableId="765921667">
    <w:abstractNumId w:val="23"/>
  </w:num>
  <w:num w:numId="57" w16cid:durableId="969867877">
    <w:abstractNumId w:val="38"/>
  </w:num>
  <w:num w:numId="58" w16cid:durableId="714961767">
    <w:abstractNumId w:val="15"/>
  </w:num>
  <w:num w:numId="59" w16cid:durableId="929122907">
    <w:abstractNumId w:val="113"/>
  </w:num>
  <w:num w:numId="60" w16cid:durableId="708190830">
    <w:abstractNumId w:val="17"/>
  </w:num>
  <w:num w:numId="61" w16cid:durableId="1109931078">
    <w:abstractNumId w:val="107"/>
  </w:num>
  <w:num w:numId="62" w16cid:durableId="788662640">
    <w:abstractNumId w:val="67"/>
  </w:num>
  <w:num w:numId="63" w16cid:durableId="525290258">
    <w:abstractNumId w:val="76"/>
  </w:num>
  <w:num w:numId="64" w16cid:durableId="421218529">
    <w:abstractNumId w:val="33"/>
  </w:num>
  <w:num w:numId="65" w16cid:durableId="1220701336">
    <w:abstractNumId w:val="130"/>
  </w:num>
  <w:num w:numId="66" w16cid:durableId="242228714">
    <w:abstractNumId w:val="137"/>
  </w:num>
  <w:num w:numId="67" w16cid:durableId="1705060095">
    <w:abstractNumId w:val="114"/>
  </w:num>
  <w:num w:numId="68" w16cid:durableId="1346244061">
    <w:abstractNumId w:val="148"/>
  </w:num>
  <w:num w:numId="69" w16cid:durableId="686635727">
    <w:abstractNumId w:val="139"/>
  </w:num>
  <w:num w:numId="70" w16cid:durableId="785848415">
    <w:abstractNumId w:val="50"/>
  </w:num>
  <w:num w:numId="71" w16cid:durableId="1223174127">
    <w:abstractNumId w:val="97"/>
  </w:num>
  <w:num w:numId="72" w16cid:durableId="1527795593">
    <w:abstractNumId w:val="19"/>
  </w:num>
  <w:num w:numId="73" w16cid:durableId="1023170546">
    <w:abstractNumId w:val="79"/>
  </w:num>
  <w:num w:numId="74" w16cid:durableId="330177708">
    <w:abstractNumId w:val="35"/>
  </w:num>
  <w:num w:numId="75" w16cid:durableId="1851751778">
    <w:abstractNumId w:val="135"/>
  </w:num>
  <w:num w:numId="76" w16cid:durableId="2057926763">
    <w:abstractNumId w:val="153"/>
  </w:num>
  <w:num w:numId="77" w16cid:durableId="904071542">
    <w:abstractNumId w:val="31"/>
  </w:num>
  <w:num w:numId="78" w16cid:durableId="100494806">
    <w:abstractNumId w:val="9"/>
  </w:num>
  <w:num w:numId="79" w16cid:durableId="1571844494">
    <w:abstractNumId w:val="84"/>
  </w:num>
  <w:num w:numId="80" w16cid:durableId="1979383937">
    <w:abstractNumId w:val="5"/>
  </w:num>
  <w:num w:numId="81" w16cid:durableId="1726948615">
    <w:abstractNumId w:val="93"/>
  </w:num>
  <w:num w:numId="82" w16cid:durableId="559249584">
    <w:abstractNumId w:val="72"/>
  </w:num>
  <w:num w:numId="83" w16cid:durableId="1388065462">
    <w:abstractNumId w:val="63"/>
  </w:num>
  <w:num w:numId="84" w16cid:durableId="1994288311">
    <w:abstractNumId w:val="163"/>
  </w:num>
  <w:num w:numId="85" w16cid:durableId="127748953">
    <w:abstractNumId w:val="136"/>
  </w:num>
  <w:num w:numId="86" w16cid:durableId="497382739">
    <w:abstractNumId w:val="108"/>
  </w:num>
  <w:num w:numId="87" w16cid:durableId="1391808992">
    <w:abstractNumId w:val="105"/>
  </w:num>
  <w:num w:numId="88" w16cid:durableId="1531264172">
    <w:abstractNumId w:val="138"/>
  </w:num>
  <w:num w:numId="89" w16cid:durableId="1725178005">
    <w:abstractNumId w:val="78"/>
  </w:num>
  <w:num w:numId="90" w16cid:durableId="887061357">
    <w:abstractNumId w:val="102"/>
  </w:num>
  <w:num w:numId="91" w16cid:durableId="563613177">
    <w:abstractNumId w:val="90"/>
  </w:num>
  <w:num w:numId="92" w16cid:durableId="1887569846">
    <w:abstractNumId w:val="40"/>
  </w:num>
  <w:num w:numId="93" w16cid:durableId="221528714">
    <w:abstractNumId w:val="177"/>
  </w:num>
  <w:num w:numId="94" w16cid:durableId="1912959644">
    <w:abstractNumId w:val="58"/>
  </w:num>
  <w:num w:numId="95" w16cid:durableId="1763531856">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823935926">
    <w:abstractNumId w:val="160"/>
  </w:num>
  <w:num w:numId="97" w16cid:durableId="1417281960">
    <w:abstractNumId w:val="147"/>
  </w:num>
  <w:num w:numId="98" w16cid:durableId="1873415866">
    <w:abstractNumId w:val="77"/>
  </w:num>
  <w:num w:numId="99" w16cid:durableId="759791534">
    <w:abstractNumId w:val="13"/>
  </w:num>
  <w:num w:numId="100" w16cid:durableId="1931624368">
    <w:abstractNumId w:val="174"/>
  </w:num>
  <w:num w:numId="101" w16cid:durableId="738602025">
    <w:abstractNumId w:val="130"/>
  </w:num>
  <w:num w:numId="102" w16cid:durableId="2146921844">
    <w:abstractNumId w:val="140"/>
  </w:num>
  <w:num w:numId="103" w16cid:durableId="1451440712">
    <w:abstractNumId w:val="66"/>
  </w:num>
  <w:num w:numId="104" w16cid:durableId="1954677477">
    <w:abstractNumId w:val="70"/>
  </w:num>
  <w:num w:numId="105" w16cid:durableId="1930236610">
    <w:abstractNumId w:val="125"/>
  </w:num>
  <w:num w:numId="106" w16cid:durableId="1033723580">
    <w:abstractNumId w:val="130"/>
  </w:num>
  <w:num w:numId="107" w16cid:durableId="1455976581">
    <w:abstractNumId w:val="157"/>
  </w:num>
  <w:num w:numId="108" w16cid:durableId="1536582838">
    <w:abstractNumId w:val="161"/>
  </w:num>
  <w:num w:numId="109" w16cid:durableId="1532645365">
    <w:abstractNumId w:val="56"/>
  </w:num>
  <w:num w:numId="110" w16cid:durableId="1864780810">
    <w:abstractNumId w:val="14"/>
  </w:num>
  <w:num w:numId="111" w16cid:durableId="1693871218">
    <w:abstractNumId w:val="22"/>
  </w:num>
  <w:num w:numId="112" w16cid:durableId="935593719">
    <w:abstractNumId w:val="150"/>
  </w:num>
  <w:num w:numId="113" w16cid:durableId="392194192">
    <w:abstractNumId w:val="82"/>
  </w:num>
  <w:num w:numId="114" w16cid:durableId="2089376407">
    <w:abstractNumId w:val="59"/>
  </w:num>
  <w:num w:numId="115" w16cid:durableId="149758884">
    <w:abstractNumId w:val="170"/>
  </w:num>
  <w:num w:numId="116" w16cid:durableId="995496422">
    <w:abstractNumId w:val="1"/>
  </w:num>
  <w:num w:numId="117" w16cid:durableId="417213448">
    <w:abstractNumId w:val="27"/>
  </w:num>
  <w:num w:numId="118" w16cid:durableId="1822653514">
    <w:abstractNumId w:val="182"/>
  </w:num>
  <w:num w:numId="119" w16cid:durableId="1542397482">
    <w:abstractNumId w:val="149"/>
  </w:num>
  <w:num w:numId="120" w16cid:durableId="90324753">
    <w:abstractNumId w:val="71"/>
  </w:num>
  <w:num w:numId="121" w16cid:durableId="2026905384">
    <w:abstractNumId w:val="154"/>
  </w:num>
  <w:num w:numId="122" w16cid:durableId="1035303371">
    <w:abstractNumId w:val="49"/>
  </w:num>
  <w:num w:numId="123" w16cid:durableId="1517427283">
    <w:abstractNumId w:val="43"/>
  </w:num>
  <w:num w:numId="124" w16cid:durableId="1561476981">
    <w:abstractNumId w:val="92"/>
  </w:num>
  <w:num w:numId="125" w16cid:durableId="2108115600">
    <w:abstractNumId w:val="65"/>
  </w:num>
  <w:num w:numId="126" w16cid:durableId="1150092922">
    <w:abstractNumId w:val="146"/>
  </w:num>
  <w:num w:numId="127" w16cid:durableId="905334592">
    <w:abstractNumId w:val="180"/>
  </w:num>
  <w:num w:numId="128" w16cid:durableId="948010389">
    <w:abstractNumId w:val="42"/>
  </w:num>
  <w:num w:numId="129" w16cid:durableId="43602378">
    <w:abstractNumId w:val="158"/>
  </w:num>
  <w:num w:numId="130" w16cid:durableId="404304991">
    <w:abstractNumId w:val="112"/>
  </w:num>
  <w:num w:numId="131" w16cid:durableId="363213095">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436490344">
    <w:abstractNumId w:val="151"/>
  </w:num>
  <w:num w:numId="133" w16cid:durableId="1884904835">
    <w:abstractNumId w:val="37"/>
  </w:num>
  <w:num w:numId="134" w16cid:durableId="919371093">
    <w:abstractNumId w:val="99"/>
  </w:num>
  <w:num w:numId="135" w16cid:durableId="946888145">
    <w:abstractNumId w:val="89"/>
  </w:num>
  <w:num w:numId="136" w16cid:durableId="1060592919">
    <w:abstractNumId w:val="165"/>
  </w:num>
  <w:num w:numId="137" w16cid:durableId="1468087691">
    <w:abstractNumId w:val="80"/>
  </w:num>
  <w:num w:numId="138" w16cid:durableId="402337622">
    <w:abstractNumId w:val="57"/>
  </w:num>
  <w:num w:numId="139" w16cid:durableId="461654691">
    <w:abstractNumId w:val="32"/>
  </w:num>
  <w:num w:numId="140" w16cid:durableId="811680388">
    <w:abstractNumId w:val="141"/>
  </w:num>
  <w:num w:numId="141" w16cid:durableId="346298093">
    <w:abstractNumId w:val="48"/>
  </w:num>
  <w:num w:numId="142" w16cid:durableId="1255867824">
    <w:abstractNumId w:val="12"/>
  </w:num>
  <w:num w:numId="143" w16cid:durableId="126628585">
    <w:abstractNumId w:val="69"/>
  </w:num>
  <w:num w:numId="144" w16cid:durableId="621304395">
    <w:abstractNumId w:val="44"/>
  </w:num>
  <w:num w:numId="145" w16cid:durableId="2090927632">
    <w:abstractNumId w:val="117"/>
  </w:num>
  <w:num w:numId="146" w16cid:durableId="2064985907">
    <w:abstractNumId w:val="2"/>
  </w:num>
  <w:num w:numId="147" w16cid:durableId="1963000659">
    <w:abstractNumId w:val="126"/>
  </w:num>
  <w:num w:numId="148" w16cid:durableId="513350376">
    <w:abstractNumId w:val="21"/>
  </w:num>
  <w:num w:numId="149" w16cid:durableId="1196432461">
    <w:abstractNumId w:val="176"/>
  </w:num>
  <w:num w:numId="150" w16cid:durableId="1762527466">
    <w:abstractNumId w:val="61"/>
  </w:num>
  <w:num w:numId="151" w16cid:durableId="564336978">
    <w:abstractNumId w:val="129"/>
  </w:num>
  <w:num w:numId="152" w16cid:durableId="1716541600">
    <w:abstractNumId w:val="60"/>
  </w:num>
  <w:num w:numId="153" w16cid:durableId="139540323">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1189757910">
    <w:abstractNumId w:val="88"/>
  </w:num>
  <w:num w:numId="155" w16cid:durableId="1620063175">
    <w:abstractNumId w:val="0"/>
  </w:num>
  <w:num w:numId="156" w16cid:durableId="1637028534">
    <w:abstractNumId w:val="75"/>
  </w:num>
  <w:num w:numId="157" w16cid:durableId="1155610296">
    <w:abstractNumId w:val="29"/>
  </w:num>
  <w:num w:numId="158" w16cid:durableId="1222906250">
    <w:abstractNumId w:val="25"/>
  </w:num>
  <w:num w:numId="159" w16cid:durableId="1666856064">
    <w:abstractNumId w:val="130"/>
  </w:num>
  <w:num w:numId="160" w16cid:durableId="893195617">
    <w:abstractNumId w:val="130"/>
  </w:num>
  <w:num w:numId="161" w16cid:durableId="172574159">
    <w:abstractNumId w:val="130"/>
  </w:num>
  <w:num w:numId="162" w16cid:durableId="1452091381">
    <w:abstractNumId w:val="28"/>
  </w:num>
  <w:num w:numId="163" w16cid:durableId="1042483010">
    <w:abstractNumId w:val="131"/>
  </w:num>
  <w:num w:numId="164" w16cid:durableId="531726002">
    <w:abstractNumId w:val="101"/>
  </w:num>
  <w:num w:numId="165" w16cid:durableId="362706780">
    <w:abstractNumId w:val="130"/>
  </w:num>
  <w:num w:numId="166" w16cid:durableId="480080795">
    <w:abstractNumId w:val="130"/>
  </w:num>
  <w:num w:numId="167" w16cid:durableId="2009165822">
    <w:abstractNumId w:val="85"/>
  </w:num>
  <w:num w:numId="168" w16cid:durableId="1258443235">
    <w:abstractNumId w:val="130"/>
  </w:num>
  <w:num w:numId="169" w16cid:durableId="925260253">
    <w:abstractNumId w:val="130"/>
  </w:num>
  <w:num w:numId="170" w16cid:durableId="1509521714">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1716079971">
    <w:abstractNumId w:val="130"/>
  </w:num>
  <w:num w:numId="172" w16cid:durableId="986474788">
    <w:abstractNumId w:val="120"/>
  </w:num>
  <w:num w:numId="173" w16cid:durableId="1598980018">
    <w:abstractNumId w:val="52"/>
  </w:num>
  <w:num w:numId="174" w16cid:durableId="2012681224">
    <w:abstractNumId w:val="130"/>
  </w:num>
  <w:num w:numId="175" w16cid:durableId="361587953">
    <w:abstractNumId w:val="130"/>
  </w:num>
  <w:num w:numId="176" w16cid:durableId="1755709521">
    <w:abstractNumId w:val="130"/>
  </w:num>
  <w:num w:numId="177" w16cid:durableId="1919249857">
    <w:abstractNumId w:val="130"/>
  </w:num>
  <w:num w:numId="178" w16cid:durableId="47534294">
    <w:abstractNumId w:val="130"/>
  </w:num>
  <w:num w:numId="179" w16cid:durableId="1246190718">
    <w:abstractNumId w:val="130"/>
  </w:num>
  <w:num w:numId="180" w16cid:durableId="398481532">
    <w:abstractNumId w:val="130"/>
  </w:num>
  <w:num w:numId="181" w16cid:durableId="1928876837">
    <w:abstractNumId w:val="6"/>
  </w:num>
  <w:num w:numId="182" w16cid:durableId="1796218299">
    <w:abstractNumId w:val="74"/>
  </w:num>
  <w:num w:numId="183" w16cid:durableId="1036466493">
    <w:abstractNumId w:val="91"/>
  </w:num>
  <w:num w:numId="184" w16cid:durableId="2003656382">
    <w:abstractNumId w:val="130"/>
  </w:num>
  <w:num w:numId="185" w16cid:durableId="1744643538">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16cid:durableId="19400949">
    <w:abstractNumId w:val="130"/>
  </w:num>
  <w:num w:numId="187" w16cid:durableId="2115784083">
    <w:abstractNumId w:val="130"/>
  </w:num>
  <w:num w:numId="188" w16cid:durableId="122387071">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16cid:durableId="1151478571">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257446595">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16cid:durableId="991446224">
    <w:abstractNumId w:val="152"/>
  </w:num>
  <w:num w:numId="192" w16cid:durableId="1118379279">
    <w:abstractNumId w:val="3"/>
  </w:num>
  <w:num w:numId="193" w16cid:durableId="1336345596">
    <w:abstractNumId w:val="30"/>
  </w:num>
  <w:num w:numId="194" w16cid:durableId="1716468325">
    <w:abstractNumId w:val="86"/>
  </w:num>
  <w:num w:numId="195" w16cid:durableId="2080707016">
    <w:abstractNumId w:val="166"/>
  </w:num>
  <w:num w:numId="196" w16cid:durableId="407774967">
    <w:abstractNumId w:val="179"/>
  </w:num>
  <w:num w:numId="197" w16cid:durableId="124082698">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16cid:durableId="901871477">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663512452">
    <w:abstractNumId w:val="116"/>
  </w:num>
  <w:num w:numId="200" w16cid:durableId="1203397845">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1370182481">
    <w:abstractNumId w:val="130"/>
  </w:num>
  <w:num w:numId="202" w16cid:durableId="1256748696">
    <w:abstractNumId w:val="130"/>
  </w:num>
  <w:num w:numId="203" w16cid:durableId="1932544841">
    <w:abstractNumId w:val="130"/>
  </w:num>
  <w:num w:numId="204" w16cid:durableId="1491555493">
    <w:abstractNumId w:val="16"/>
  </w:num>
  <w:num w:numId="205" w16cid:durableId="902328610">
    <w:abstractNumId w:val="169"/>
  </w:num>
  <w:num w:numId="206" w16cid:durableId="1017346384">
    <w:abstractNumId w:val="81"/>
  </w:num>
  <w:num w:numId="207" w16cid:durableId="92825537">
    <w:abstractNumId w:val="55"/>
  </w:num>
  <w:num w:numId="208" w16cid:durableId="1901400478">
    <w:abstractNumId w:val="96"/>
  </w:num>
  <w:num w:numId="209" w16cid:durableId="488406119">
    <w:abstractNumId w:val="104"/>
  </w:num>
  <w:num w:numId="210" w16cid:durableId="144787204">
    <w:abstractNumId w:val="87"/>
  </w:num>
  <w:num w:numId="211" w16cid:durableId="158347877">
    <w:abstractNumId w:val="173"/>
  </w:num>
  <w:num w:numId="212" w16cid:durableId="754396865">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1094127403">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16cid:durableId="1905213307">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16cid:durableId="1966964504">
    <w:abstractNumId w:val="45"/>
  </w:num>
  <w:num w:numId="216" w16cid:durableId="1130785583">
    <w:abstractNumId w:val="130"/>
  </w:num>
  <w:num w:numId="217" w16cid:durableId="61366324">
    <w:abstractNumId w:val="130"/>
  </w:num>
  <w:num w:numId="218" w16cid:durableId="1983656663">
    <w:abstractNumId w:val="130"/>
  </w:num>
  <w:num w:numId="219" w16cid:durableId="1243492030">
    <w:abstractNumId w:val="178"/>
  </w:num>
  <w:num w:numId="220" w16cid:durableId="1300844006">
    <w:abstractNumId w:val="118"/>
  </w:num>
  <w:num w:numId="221" w16cid:durableId="2069069452">
    <w:abstractNumId w:val="54"/>
  </w:num>
  <w:num w:numId="222" w16cid:durableId="2143692012">
    <w:abstractNumId w:val="109"/>
  </w:num>
  <w:num w:numId="223" w16cid:durableId="1487547456">
    <w:abstractNumId w:val="95"/>
  </w:num>
  <w:num w:numId="224" w16cid:durableId="1243225288">
    <w:abstractNumId w:val="164"/>
  </w:num>
  <w:numIdMacAtCleanup w:val="2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DCA"/>
    <w:rsid w:val="000002B5"/>
    <w:rsid w:val="00000ABB"/>
    <w:rsid w:val="00004275"/>
    <w:rsid w:val="00006990"/>
    <w:rsid w:val="00006A61"/>
    <w:rsid w:val="000079B9"/>
    <w:rsid w:val="0001414A"/>
    <w:rsid w:val="00017B1A"/>
    <w:rsid w:val="000202EA"/>
    <w:rsid w:val="00023E18"/>
    <w:rsid w:val="00027E6D"/>
    <w:rsid w:val="00034354"/>
    <w:rsid w:val="000355E5"/>
    <w:rsid w:val="0003597D"/>
    <w:rsid w:val="00036550"/>
    <w:rsid w:val="00044781"/>
    <w:rsid w:val="00046112"/>
    <w:rsid w:val="00047CC5"/>
    <w:rsid w:val="000510DB"/>
    <w:rsid w:val="000542E1"/>
    <w:rsid w:val="00054338"/>
    <w:rsid w:val="000557A3"/>
    <w:rsid w:val="00057B1F"/>
    <w:rsid w:val="00061EFE"/>
    <w:rsid w:val="00062B11"/>
    <w:rsid w:val="00062F50"/>
    <w:rsid w:val="0006397B"/>
    <w:rsid w:val="00063A8A"/>
    <w:rsid w:val="000643AE"/>
    <w:rsid w:val="00066606"/>
    <w:rsid w:val="000667C7"/>
    <w:rsid w:val="000708A5"/>
    <w:rsid w:val="00070B2C"/>
    <w:rsid w:val="0007348B"/>
    <w:rsid w:val="00074443"/>
    <w:rsid w:val="000758F3"/>
    <w:rsid w:val="000767E9"/>
    <w:rsid w:val="000769F7"/>
    <w:rsid w:val="00076FF2"/>
    <w:rsid w:val="00077143"/>
    <w:rsid w:val="00077CB7"/>
    <w:rsid w:val="00077CF5"/>
    <w:rsid w:val="00082006"/>
    <w:rsid w:val="00082C49"/>
    <w:rsid w:val="000859DC"/>
    <w:rsid w:val="00085F10"/>
    <w:rsid w:val="00087350"/>
    <w:rsid w:val="000916D5"/>
    <w:rsid w:val="0009170F"/>
    <w:rsid w:val="00092C95"/>
    <w:rsid w:val="000937D0"/>
    <w:rsid w:val="0009723F"/>
    <w:rsid w:val="000A10F1"/>
    <w:rsid w:val="000A1B1C"/>
    <w:rsid w:val="000A526E"/>
    <w:rsid w:val="000A73C2"/>
    <w:rsid w:val="000B1A7D"/>
    <w:rsid w:val="000B1D81"/>
    <w:rsid w:val="000B2425"/>
    <w:rsid w:val="000B370B"/>
    <w:rsid w:val="000B59DD"/>
    <w:rsid w:val="000B79A6"/>
    <w:rsid w:val="000C0B1C"/>
    <w:rsid w:val="000C1E50"/>
    <w:rsid w:val="000C6976"/>
    <w:rsid w:val="000D011E"/>
    <w:rsid w:val="000D4014"/>
    <w:rsid w:val="000D463D"/>
    <w:rsid w:val="000D5202"/>
    <w:rsid w:val="000D5891"/>
    <w:rsid w:val="000E288C"/>
    <w:rsid w:val="000E2A3C"/>
    <w:rsid w:val="000E3D47"/>
    <w:rsid w:val="000E595B"/>
    <w:rsid w:val="000F0F5A"/>
    <w:rsid w:val="000F21EE"/>
    <w:rsid w:val="000F5C0D"/>
    <w:rsid w:val="000F6623"/>
    <w:rsid w:val="000F788B"/>
    <w:rsid w:val="00100682"/>
    <w:rsid w:val="00100AF4"/>
    <w:rsid w:val="0010200A"/>
    <w:rsid w:val="00102FE1"/>
    <w:rsid w:val="001037B5"/>
    <w:rsid w:val="00104606"/>
    <w:rsid w:val="001049B9"/>
    <w:rsid w:val="001050DC"/>
    <w:rsid w:val="00114042"/>
    <w:rsid w:val="0011652D"/>
    <w:rsid w:val="00120971"/>
    <w:rsid w:val="00120EB2"/>
    <w:rsid w:val="00123E55"/>
    <w:rsid w:val="00124164"/>
    <w:rsid w:val="00124E6E"/>
    <w:rsid w:val="00125135"/>
    <w:rsid w:val="00127B96"/>
    <w:rsid w:val="0013010E"/>
    <w:rsid w:val="0013044E"/>
    <w:rsid w:val="00133BA2"/>
    <w:rsid w:val="0013658D"/>
    <w:rsid w:val="0013740E"/>
    <w:rsid w:val="00141780"/>
    <w:rsid w:val="001435CA"/>
    <w:rsid w:val="001439D4"/>
    <w:rsid w:val="00144638"/>
    <w:rsid w:val="00144DA8"/>
    <w:rsid w:val="00144FC9"/>
    <w:rsid w:val="00153C42"/>
    <w:rsid w:val="00155AFA"/>
    <w:rsid w:val="00156C62"/>
    <w:rsid w:val="00160B09"/>
    <w:rsid w:val="00163157"/>
    <w:rsid w:val="001635B7"/>
    <w:rsid w:val="00163AA1"/>
    <w:rsid w:val="00164746"/>
    <w:rsid w:val="00167C0E"/>
    <w:rsid w:val="001715DA"/>
    <w:rsid w:val="00174491"/>
    <w:rsid w:val="00174945"/>
    <w:rsid w:val="001753D7"/>
    <w:rsid w:val="00177173"/>
    <w:rsid w:val="00177AC2"/>
    <w:rsid w:val="00177B0A"/>
    <w:rsid w:val="00177E43"/>
    <w:rsid w:val="00181E78"/>
    <w:rsid w:val="00184F1B"/>
    <w:rsid w:val="00187404"/>
    <w:rsid w:val="00187F61"/>
    <w:rsid w:val="001901C3"/>
    <w:rsid w:val="00190EB6"/>
    <w:rsid w:val="00190FED"/>
    <w:rsid w:val="00191C7F"/>
    <w:rsid w:val="0019244D"/>
    <w:rsid w:val="00192A05"/>
    <w:rsid w:val="00193309"/>
    <w:rsid w:val="00195398"/>
    <w:rsid w:val="00196248"/>
    <w:rsid w:val="001A07B8"/>
    <w:rsid w:val="001A199F"/>
    <w:rsid w:val="001A1CDB"/>
    <w:rsid w:val="001A5AC7"/>
    <w:rsid w:val="001A60BF"/>
    <w:rsid w:val="001A629E"/>
    <w:rsid w:val="001B1101"/>
    <w:rsid w:val="001B15BC"/>
    <w:rsid w:val="001B4CB6"/>
    <w:rsid w:val="001B5FB1"/>
    <w:rsid w:val="001B74F0"/>
    <w:rsid w:val="001C1C1A"/>
    <w:rsid w:val="001C2225"/>
    <w:rsid w:val="001C2498"/>
    <w:rsid w:val="001C2C89"/>
    <w:rsid w:val="001C2FDB"/>
    <w:rsid w:val="001C4760"/>
    <w:rsid w:val="001C478D"/>
    <w:rsid w:val="001C6779"/>
    <w:rsid w:val="001C7538"/>
    <w:rsid w:val="001D130B"/>
    <w:rsid w:val="001D1FC9"/>
    <w:rsid w:val="001D39D9"/>
    <w:rsid w:val="001D6A24"/>
    <w:rsid w:val="001D75BF"/>
    <w:rsid w:val="001D7C90"/>
    <w:rsid w:val="001E0BDF"/>
    <w:rsid w:val="001E5491"/>
    <w:rsid w:val="001E6204"/>
    <w:rsid w:val="001E71D3"/>
    <w:rsid w:val="001F2A00"/>
    <w:rsid w:val="001F3292"/>
    <w:rsid w:val="001F5849"/>
    <w:rsid w:val="002002BE"/>
    <w:rsid w:val="0020102A"/>
    <w:rsid w:val="002023AB"/>
    <w:rsid w:val="00204DAC"/>
    <w:rsid w:val="002069EB"/>
    <w:rsid w:val="00206B39"/>
    <w:rsid w:val="002075C6"/>
    <w:rsid w:val="002129CB"/>
    <w:rsid w:val="00214558"/>
    <w:rsid w:val="00215086"/>
    <w:rsid w:val="00221276"/>
    <w:rsid w:val="002215E4"/>
    <w:rsid w:val="002238DD"/>
    <w:rsid w:val="00223935"/>
    <w:rsid w:val="00226FBA"/>
    <w:rsid w:val="002316CE"/>
    <w:rsid w:val="00233650"/>
    <w:rsid w:val="00234A46"/>
    <w:rsid w:val="00235798"/>
    <w:rsid w:val="00235C03"/>
    <w:rsid w:val="00240205"/>
    <w:rsid w:val="002415D1"/>
    <w:rsid w:val="00241CEA"/>
    <w:rsid w:val="00241D59"/>
    <w:rsid w:val="002515CA"/>
    <w:rsid w:val="00251CEB"/>
    <w:rsid w:val="00252C8B"/>
    <w:rsid w:val="00253280"/>
    <w:rsid w:val="002566AC"/>
    <w:rsid w:val="00260902"/>
    <w:rsid w:val="00260CFF"/>
    <w:rsid w:val="00263794"/>
    <w:rsid w:val="00265374"/>
    <w:rsid w:val="00265E49"/>
    <w:rsid w:val="00267EA7"/>
    <w:rsid w:val="00267EF2"/>
    <w:rsid w:val="00270E61"/>
    <w:rsid w:val="002712AA"/>
    <w:rsid w:val="00271B32"/>
    <w:rsid w:val="00272189"/>
    <w:rsid w:val="0027587E"/>
    <w:rsid w:val="00275D08"/>
    <w:rsid w:val="00276297"/>
    <w:rsid w:val="00282756"/>
    <w:rsid w:val="00282FD7"/>
    <w:rsid w:val="00286D1F"/>
    <w:rsid w:val="00287115"/>
    <w:rsid w:val="00291519"/>
    <w:rsid w:val="002941CE"/>
    <w:rsid w:val="00294D20"/>
    <w:rsid w:val="00295BC9"/>
    <w:rsid w:val="002968EC"/>
    <w:rsid w:val="00297BE9"/>
    <w:rsid w:val="002A0D1E"/>
    <w:rsid w:val="002A1C37"/>
    <w:rsid w:val="002A2019"/>
    <w:rsid w:val="002A2376"/>
    <w:rsid w:val="002A3457"/>
    <w:rsid w:val="002A551A"/>
    <w:rsid w:val="002A6300"/>
    <w:rsid w:val="002A6EAB"/>
    <w:rsid w:val="002B0C91"/>
    <w:rsid w:val="002B1C05"/>
    <w:rsid w:val="002B2C75"/>
    <w:rsid w:val="002B3B40"/>
    <w:rsid w:val="002B43FD"/>
    <w:rsid w:val="002B66B4"/>
    <w:rsid w:val="002B6C8D"/>
    <w:rsid w:val="002C0148"/>
    <w:rsid w:val="002C0BD5"/>
    <w:rsid w:val="002C0C15"/>
    <w:rsid w:val="002C28E3"/>
    <w:rsid w:val="002C63E1"/>
    <w:rsid w:val="002C6D27"/>
    <w:rsid w:val="002C6ECF"/>
    <w:rsid w:val="002C6F3D"/>
    <w:rsid w:val="002D0BE8"/>
    <w:rsid w:val="002D2430"/>
    <w:rsid w:val="002D471E"/>
    <w:rsid w:val="002D7393"/>
    <w:rsid w:val="002E06BD"/>
    <w:rsid w:val="002E1AE9"/>
    <w:rsid w:val="002E3101"/>
    <w:rsid w:val="002F04E2"/>
    <w:rsid w:val="002F2468"/>
    <w:rsid w:val="002F297F"/>
    <w:rsid w:val="002F4C62"/>
    <w:rsid w:val="002F5A52"/>
    <w:rsid w:val="003013C0"/>
    <w:rsid w:val="00301B96"/>
    <w:rsid w:val="00302129"/>
    <w:rsid w:val="003021A5"/>
    <w:rsid w:val="00304801"/>
    <w:rsid w:val="00307025"/>
    <w:rsid w:val="00312007"/>
    <w:rsid w:val="00312925"/>
    <w:rsid w:val="00312D86"/>
    <w:rsid w:val="003169B0"/>
    <w:rsid w:val="003218A0"/>
    <w:rsid w:val="00322C14"/>
    <w:rsid w:val="0032550C"/>
    <w:rsid w:val="00326946"/>
    <w:rsid w:val="0033189D"/>
    <w:rsid w:val="00331AA8"/>
    <w:rsid w:val="003324BE"/>
    <w:rsid w:val="00332DC7"/>
    <w:rsid w:val="00332E69"/>
    <w:rsid w:val="003338E2"/>
    <w:rsid w:val="00333F6C"/>
    <w:rsid w:val="00334C70"/>
    <w:rsid w:val="00335424"/>
    <w:rsid w:val="003374FB"/>
    <w:rsid w:val="0033787E"/>
    <w:rsid w:val="00337F25"/>
    <w:rsid w:val="003423EA"/>
    <w:rsid w:val="00342DDB"/>
    <w:rsid w:val="00344C4F"/>
    <w:rsid w:val="00345C87"/>
    <w:rsid w:val="003471EC"/>
    <w:rsid w:val="00347640"/>
    <w:rsid w:val="0035055A"/>
    <w:rsid w:val="00351228"/>
    <w:rsid w:val="003528CB"/>
    <w:rsid w:val="00353ADF"/>
    <w:rsid w:val="00356447"/>
    <w:rsid w:val="00357BCE"/>
    <w:rsid w:val="0036032B"/>
    <w:rsid w:val="00362191"/>
    <w:rsid w:val="0036312F"/>
    <w:rsid w:val="00367944"/>
    <w:rsid w:val="00370997"/>
    <w:rsid w:val="003732CC"/>
    <w:rsid w:val="003742B0"/>
    <w:rsid w:val="00377649"/>
    <w:rsid w:val="00377F82"/>
    <w:rsid w:val="0038094B"/>
    <w:rsid w:val="00381813"/>
    <w:rsid w:val="003822C4"/>
    <w:rsid w:val="00384D5C"/>
    <w:rsid w:val="003857EA"/>
    <w:rsid w:val="00390530"/>
    <w:rsid w:val="00392182"/>
    <w:rsid w:val="003928E4"/>
    <w:rsid w:val="00393BA0"/>
    <w:rsid w:val="00393C79"/>
    <w:rsid w:val="003A0A15"/>
    <w:rsid w:val="003A1E1E"/>
    <w:rsid w:val="003A2074"/>
    <w:rsid w:val="003A23A5"/>
    <w:rsid w:val="003A3B70"/>
    <w:rsid w:val="003A4B0B"/>
    <w:rsid w:val="003B08AE"/>
    <w:rsid w:val="003B0CAB"/>
    <w:rsid w:val="003B16E7"/>
    <w:rsid w:val="003B1ACE"/>
    <w:rsid w:val="003B795A"/>
    <w:rsid w:val="003C04D6"/>
    <w:rsid w:val="003C04D8"/>
    <w:rsid w:val="003C34E3"/>
    <w:rsid w:val="003C3577"/>
    <w:rsid w:val="003C453C"/>
    <w:rsid w:val="003C4A19"/>
    <w:rsid w:val="003C4A5C"/>
    <w:rsid w:val="003C7D63"/>
    <w:rsid w:val="003C7E55"/>
    <w:rsid w:val="003D29F1"/>
    <w:rsid w:val="003D37C3"/>
    <w:rsid w:val="003D64FC"/>
    <w:rsid w:val="003D7C06"/>
    <w:rsid w:val="003E0EA3"/>
    <w:rsid w:val="003E3301"/>
    <w:rsid w:val="003E55C2"/>
    <w:rsid w:val="003F1448"/>
    <w:rsid w:val="003F30B1"/>
    <w:rsid w:val="003F3D07"/>
    <w:rsid w:val="003F3EAA"/>
    <w:rsid w:val="003F789C"/>
    <w:rsid w:val="003F7B2D"/>
    <w:rsid w:val="00400566"/>
    <w:rsid w:val="00400CC3"/>
    <w:rsid w:val="0040161C"/>
    <w:rsid w:val="00402939"/>
    <w:rsid w:val="00405900"/>
    <w:rsid w:val="0040694E"/>
    <w:rsid w:val="0041030E"/>
    <w:rsid w:val="004105A7"/>
    <w:rsid w:val="0041191D"/>
    <w:rsid w:val="004147E3"/>
    <w:rsid w:val="00414BA1"/>
    <w:rsid w:val="004175D6"/>
    <w:rsid w:val="00420BAD"/>
    <w:rsid w:val="0042242E"/>
    <w:rsid w:val="00423295"/>
    <w:rsid w:val="0042372D"/>
    <w:rsid w:val="00423F6F"/>
    <w:rsid w:val="0042406E"/>
    <w:rsid w:val="004247CA"/>
    <w:rsid w:val="00424C83"/>
    <w:rsid w:val="00425434"/>
    <w:rsid w:val="0042547C"/>
    <w:rsid w:val="00425D03"/>
    <w:rsid w:val="00426BF2"/>
    <w:rsid w:val="004274E1"/>
    <w:rsid w:val="00434820"/>
    <w:rsid w:val="00434B82"/>
    <w:rsid w:val="00436794"/>
    <w:rsid w:val="00440745"/>
    <w:rsid w:val="00443663"/>
    <w:rsid w:val="0044503E"/>
    <w:rsid w:val="00447000"/>
    <w:rsid w:val="00450231"/>
    <w:rsid w:val="004504A6"/>
    <w:rsid w:val="00451410"/>
    <w:rsid w:val="004529CE"/>
    <w:rsid w:val="00454F5F"/>
    <w:rsid w:val="004561C7"/>
    <w:rsid w:val="00456972"/>
    <w:rsid w:val="00456BCF"/>
    <w:rsid w:val="00457729"/>
    <w:rsid w:val="004616D3"/>
    <w:rsid w:val="00461749"/>
    <w:rsid w:val="00462C08"/>
    <w:rsid w:val="00462F05"/>
    <w:rsid w:val="00463BE2"/>
    <w:rsid w:val="00465AA1"/>
    <w:rsid w:val="00466B32"/>
    <w:rsid w:val="00472ECF"/>
    <w:rsid w:val="00477B85"/>
    <w:rsid w:val="004818B6"/>
    <w:rsid w:val="0048221D"/>
    <w:rsid w:val="00483137"/>
    <w:rsid w:val="00485DCF"/>
    <w:rsid w:val="00492368"/>
    <w:rsid w:val="00493F8D"/>
    <w:rsid w:val="00495801"/>
    <w:rsid w:val="00497D0F"/>
    <w:rsid w:val="004A0EAE"/>
    <w:rsid w:val="004A22BD"/>
    <w:rsid w:val="004A23E6"/>
    <w:rsid w:val="004A6FDC"/>
    <w:rsid w:val="004A76DE"/>
    <w:rsid w:val="004B08DF"/>
    <w:rsid w:val="004B46B7"/>
    <w:rsid w:val="004B4A6B"/>
    <w:rsid w:val="004B4E0E"/>
    <w:rsid w:val="004C1DBC"/>
    <w:rsid w:val="004C24A5"/>
    <w:rsid w:val="004C4233"/>
    <w:rsid w:val="004C5CDF"/>
    <w:rsid w:val="004D0CBF"/>
    <w:rsid w:val="004D14DD"/>
    <w:rsid w:val="004D3CF0"/>
    <w:rsid w:val="004D4044"/>
    <w:rsid w:val="004D526C"/>
    <w:rsid w:val="004D5958"/>
    <w:rsid w:val="004D5BFB"/>
    <w:rsid w:val="004D722A"/>
    <w:rsid w:val="004E258C"/>
    <w:rsid w:val="004E25D2"/>
    <w:rsid w:val="004E2A9A"/>
    <w:rsid w:val="004E2EB7"/>
    <w:rsid w:val="004E6E68"/>
    <w:rsid w:val="004E6F1D"/>
    <w:rsid w:val="004E7E4E"/>
    <w:rsid w:val="004F2153"/>
    <w:rsid w:val="004F3D22"/>
    <w:rsid w:val="004F6530"/>
    <w:rsid w:val="004F6585"/>
    <w:rsid w:val="00500312"/>
    <w:rsid w:val="005006A0"/>
    <w:rsid w:val="0050080C"/>
    <w:rsid w:val="00500C7D"/>
    <w:rsid w:val="00503F9B"/>
    <w:rsid w:val="00504D35"/>
    <w:rsid w:val="00505591"/>
    <w:rsid w:val="00505AAE"/>
    <w:rsid w:val="00506518"/>
    <w:rsid w:val="00506C11"/>
    <w:rsid w:val="00510797"/>
    <w:rsid w:val="00510991"/>
    <w:rsid w:val="005113A6"/>
    <w:rsid w:val="00512D6D"/>
    <w:rsid w:val="0051322C"/>
    <w:rsid w:val="00513535"/>
    <w:rsid w:val="005137F4"/>
    <w:rsid w:val="005150DD"/>
    <w:rsid w:val="00515C83"/>
    <w:rsid w:val="005166DA"/>
    <w:rsid w:val="00517E1F"/>
    <w:rsid w:val="00517F48"/>
    <w:rsid w:val="00521006"/>
    <w:rsid w:val="00521AF1"/>
    <w:rsid w:val="00522759"/>
    <w:rsid w:val="00522D50"/>
    <w:rsid w:val="0052338D"/>
    <w:rsid w:val="0052507B"/>
    <w:rsid w:val="00526678"/>
    <w:rsid w:val="0052699C"/>
    <w:rsid w:val="00526ED4"/>
    <w:rsid w:val="00527543"/>
    <w:rsid w:val="00530BE6"/>
    <w:rsid w:val="0053137D"/>
    <w:rsid w:val="00532056"/>
    <w:rsid w:val="005366F1"/>
    <w:rsid w:val="00536F30"/>
    <w:rsid w:val="005372D5"/>
    <w:rsid w:val="005404C7"/>
    <w:rsid w:val="00541D95"/>
    <w:rsid w:val="00542325"/>
    <w:rsid w:val="00542C09"/>
    <w:rsid w:val="005467E7"/>
    <w:rsid w:val="0055059A"/>
    <w:rsid w:val="005505C2"/>
    <w:rsid w:val="00550635"/>
    <w:rsid w:val="00550D4C"/>
    <w:rsid w:val="00552A18"/>
    <w:rsid w:val="00553321"/>
    <w:rsid w:val="00556372"/>
    <w:rsid w:val="005567E0"/>
    <w:rsid w:val="005570A4"/>
    <w:rsid w:val="00560694"/>
    <w:rsid w:val="00561C98"/>
    <w:rsid w:val="00561CBE"/>
    <w:rsid w:val="0056372D"/>
    <w:rsid w:val="0056543A"/>
    <w:rsid w:val="00573063"/>
    <w:rsid w:val="005742AF"/>
    <w:rsid w:val="005745C9"/>
    <w:rsid w:val="00574904"/>
    <w:rsid w:val="005754B1"/>
    <w:rsid w:val="005771DC"/>
    <w:rsid w:val="005773CB"/>
    <w:rsid w:val="00580DA7"/>
    <w:rsid w:val="00580F12"/>
    <w:rsid w:val="0058114B"/>
    <w:rsid w:val="0058132A"/>
    <w:rsid w:val="00581E79"/>
    <w:rsid w:val="00583AD6"/>
    <w:rsid w:val="0058597C"/>
    <w:rsid w:val="00585E34"/>
    <w:rsid w:val="0058633B"/>
    <w:rsid w:val="005937DC"/>
    <w:rsid w:val="00594B4B"/>
    <w:rsid w:val="00595B3B"/>
    <w:rsid w:val="005960E6"/>
    <w:rsid w:val="005A0643"/>
    <w:rsid w:val="005A1323"/>
    <w:rsid w:val="005A17DF"/>
    <w:rsid w:val="005A392D"/>
    <w:rsid w:val="005A3A07"/>
    <w:rsid w:val="005A3C5D"/>
    <w:rsid w:val="005A64C8"/>
    <w:rsid w:val="005A6BE3"/>
    <w:rsid w:val="005B0B07"/>
    <w:rsid w:val="005B1609"/>
    <w:rsid w:val="005B18F0"/>
    <w:rsid w:val="005B1A11"/>
    <w:rsid w:val="005B1F7F"/>
    <w:rsid w:val="005B2BA8"/>
    <w:rsid w:val="005B4563"/>
    <w:rsid w:val="005B6043"/>
    <w:rsid w:val="005B7F9B"/>
    <w:rsid w:val="005C041C"/>
    <w:rsid w:val="005C0EC8"/>
    <w:rsid w:val="005C25D7"/>
    <w:rsid w:val="005C438D"/>
    <w:rsid w:val="005C68F7"/>
    <w:rsid w:val="005C6BA5"/>
    <w:rsid w:val="005C73CC"/>
    <w:rsid w:val="005C74A1"/>
    <w:rsid w:val="005C7929"/>
    <w:rsid w:val="005C7CBF"/>
    <w:rsid w:val="005D2678"/>
    <w:rsid w:val="005D3C46"/>
    <w:rsid w:val="005D3E2A"/>
    <w:rsid w:val="005D41D5"/>
    <w:rsid w:val="005D63CB"/>
    <w:rsid w:val="005D7C46"/>
    <w:rsid w:val="005D7C5E"/>
    <w:rsid w:val="005E028F"/>
    <w:rsid w:val="005E1E2B"/>
    <w:rsid w:val="005E4C15"/>
    <w:rsid w:val="005E539C"/>
    <w:rsid w:val="005E7C90"/>
    <w:rsid w:val="005F2280"/>
    <w:rsid w:val="005F2CF8"/>
    <w:rsid w:val="005F4B9A"/>
    <w:rsid w:val="005F64B2"/>
    <w:rsid w:val="00600523"/>
    <w:rsid w:val="00602DCA"/>
    <w:rsid w:val="00603400"/>
    <w:rsid w:val="00606E85"/>
    <w:rsid w:val="00606E9D"/>
    <w:rsid w:val="00607656"/>
    <w:rsid w:val="00607C7D"/>
    <w:rsid w:val="00614A61"/>
    <w:rsid w:val="00614CA6"/>
    <w:rsid w:val="00615118"/>
    <w:rsid w:val="00617CE2"/>
    <w:rsid w:val="006258CF"/>
    <w:rsid w:val="00626DA0"/>
    <w:rsid w:val="006319C3"/>
    <w:rsid w:val="00632CFB"/>
    <w:rsid w:val="0063371C"/>
    <w:rsid w:val="00633E0F"/>
    <w:rsid w:val="006350A3"/>
    <w:rsid w:val="00636A24"/>
    <w:rsid w:val="00636CDF"/>
    <w:rsid w:val="00640F46"/>
    <w:rsid w:val="00641F53"/>
    <w:rsid w:val="00642543"/>
    <w:rsid w:val="006446F5"/>
    <w:rsid w:val="00653AAA"/>
    <w:rsid w:val="00654158"/>
    <w:rsid w:val="00655D68"/>
    <w:rsid w:val="006601FA"/>
    <w:rsid w:val="0066129A"/>
    <w:rsid w:val="00662060"/>
    <w:rsid w:val="00662B8C"/>
    <w:rsid w:val="00671F7F"/>
    <w:rsid w:val="00672DAF"/>
    <w:rsid w:val="00676780"/>
    <w:rsid w:val="00680C41"/>
    <w:rsid w:val="006819FD"/>
    <w:rsid w:val="00681AFC"/>
    <w:rsid w:val="00681D7F"/>
    <w:rsid w:val="00683728"/>
    <w:rsid w:val="00684EF2"/>
    <w:rsid w:val="00685201"/>
    <w:rsid w:val="00686490"/>
    <w:rsid w:val="00690D22"/>
    <w:rsid w:val="0069353F"/>
    <w:rsid w:val="00695C12"/>
    <w:rsid w:val="00695D38"/>
    <w:rsid w:val="00695EB7"/>
    <w:rsid w:val="006A02C3"/>
    <w:rsid w:val="006A0EF9"/>
    <w:rsid w:val="006A30D5"/>
    <w:rsid w:val="006A4206"/>
    <w:rsid w:val="006A45B6"/>
    <w:rsid w:val="006A6182"/>
    <w:rsid w:val="006A6CBD"/>
    <w:rsid w:val="006A7481"/>
    <w:rsid w:val="006A7F44"/>
    <w:rsid w:val="006B1652"/>
    <w:rsid w:val="006B260D"/>
    <w:rsid w:val="006B2AE5"/>
    <w:rsid w:val="006B3C94"/>
    <w:rsid w:val="006B41EE"/>
    <w:rsid w:val="006B54CD"/>
    <w:rsid w:val="006C08B9"/>
    <w:rsid w:val="006C0C7C"/>
    <w:rsid w:val="006C1B48"/>
    <w:rsid w:val="006C24D7"/>
    <w:rsid w:val="006C2DCA"/>
    <w:rsid w:val="006C5532"/>
    <w:rsid w:val="006C6775"/>
    <w:rsid w:val="006C6AC9"/>
    <w:rsid w:val="006C717A"/>
    <w:rsid w:val="006C71F9"/>
    <w:rsid w:val="006D32D2"/>
    <w:rsid w:val="006D3B4B"/>
    <w:rsid w:val="006D7F89"/>
    <w:rsid w:val="006E12A0"/>
    <w:rsid w:val="006E2AD0"/>
    <w:rsid w:val="006E35B3"/>
    <w:rsid w:val="006E4FDA"/>
    <w:rsid w:val="006E5162"/>
    <w:rsid w:val="006F000C"/>
    <w:rsid w:val="006F671D"/>
    <w:rsid w:val="00700ABE"/>
    <w:rsid w:val="00704FB2"/>
    <w:rsid w:val="0070617A"/>
    <w:rsid w:val="00706C47"/>
    <w:rsid w:val="00706F36"/>
    <w:rsid w:val="00707E38"/>
    <w:rsid w:val="0071090F"/>
    <w:rsid w:val="0071351C"/>
    <w:rsid w:val="00713F02"/>
    <w:rsid w:val="00714BCA"/>
    <w:rsid w:val="00716803"/>
    <w:rsid w:val="00717857"/>
    <w:rsid w:val="00721753"/>
    <w:rsid w:val="007221A4"/>
    <w:rsid w:val="00722A8F"/>
    <w:rsid w:val="0072514C"/>
    <w:rsid w:val="007256BB"/>
    <w:rsid w:val="007261A1"/>
    <w:rsid w:val="007271C6"/>
    <w:rsid w:val="00727E3F"/>
    <w:rsid w:val="00732A57"/>
    <w:rsid w:val="0073765F"/>
    <w:rsid w:val="00740819"/>
    <w:rsid w:val="00742BE5"/>
    <w:rsid w:val="00743481"/>
    <w:rsid w:val="00743E4F"/>
    <w:rsid w:val="00744D79"/>
    <w:rsid w:val="00746DB1"/>
    <w:rsid w:val="0075023D"/>
    <w:rsid w:val="00752D5E"/>
    <w:rsid w:val="007557A5"/>
    <w:rsid w:val="00757F21"/>
    <w:rsid w:val="00761A6D"/>
    <w:rsid w:val="00761C5B"/>
    <w:rsid w:val="00762847"/>
    <w:rsid w:val="0076583E"/>
    <w:rsid w:val="0076646F"/>
    <w:rsid w:val="00771FD6"/>
    <w:rsid w:val="0077274C"/>
    <w:rsid w:val="0077290F"/>
    <w:rsid w:val="007734EC"/>
    <w:rsid w:val="00773EAE"/>
    <w:rsid w:val="007757D3"/>
    <w:rsid w:val="007775B0"/>
    <w:rsid w:val="0078070D"/>
    <w:rsid w:val="00784B48"/>
    <w:rsid w:val="00791F6A"/>
    <w:rsid w:val="00795D41"/>
    <w:rsid w:val="00796B77"/>
    <w:rsid w:val="00796FFE"/>
    <w:rsid w:val="007A1289"/>
    <w:rsid w:val="007A1601"/>
    <w:rsid w:val="007A1D21"/>
    <w:rsid w:val="007A2439"/>
    <w:rsid w:val="007A36F3"/>
    <w:rsid w:val="007A4EB4"/>
    <w:rsid w:val="007A5293"/>
    <w:rsid w:val="007A665C"/>
    <w:rsid w:val="007A73F1"/>
    <w:rsid w:val="007B07F5"/>
    <w:rsid w:val="007B1D9E"/>
    <w:rsid w:val="007B461B"/>
    <w:rsid w:val="007B70AC"/>
    <w:rsid w:val="007C07F4"/>
    <w:rsid w:val="007C13CF"/>
    <w:rsid w:val="007C2421"/>
    <w:rsid w:val="007C42EB"/>
    <w:rsid w:val="007C4D22"/>
    <w:rsid w:val="007C4D6F"/>
    <w:rsid w:val="007C5647"/>
    <w:rsid w:val="007C5891"/>
    <w:rsid w:val="007D1B7C"/>
    <w:rsid w:val="007D39A6"/>
    <w:rsid w:val="007D443E"/>
    <w:rsid w:val="007E1D25"/>
    <w:rsid w:val="007E1F86"/>
    <w:rsid w:val="007E237E"/>
    <w:rsid w:val="007E35B8"/>
    <w:rsid w:val="007E5752"/>
    <w:rsid w:val="007E5AB1"/>
    <w:rsid w:val="007E7632"/>
    <w:rsid w:val="007E7D55"/>
    <w:rsid w:val="007E7F38"/>
    <w:rsid w:val="007F5BC0"/>
    <w:rsid w:val="007F68AD"/>
    <w:rsid w:val="007F7A75"/>
    <w:rsid w:val="007F7A8D"/>
    <w:rsid w:val="00803E86"/>
    <w:rsid w:val="00805AE2"/>
    <w:rsid w:val="00807E57"/>
    <w:rsid w:val="0081250B"/>
    <w:rsid w:val="00813335"/>
    <w:rsid w:val="00813945"/>
    <w:rsid w:val="00815B18"/>
    <w:rsid w:val="008167AD"/>
    <w:rsid w:val="00822232"/>
    <w:rsid w:val="00830E47"/>
    <w:rsid w:val="00831CBB"/>
    <w:rsid w:val="00831DB7"/>
    <w:rsid w:val="00833609"/>
    <w:rsid w:val="00835F80"/>
    <w:rsid w:val="00836C5A"/>
    <w:rsid w:val="008404B5"/>
    <w:rsid w:val="00842CF4"/>
    <w:rsid w:val="008433C5"/>
    <w:rsid w:val="00843754"/>
    <w:rsid w:val="00844278"/>
    <w:rsid w:val="00845DD5"/>
    <w:rsid w:val="00846015"/>
    <w:rsid w:val="008462D4"/>
    <w:rsid w:val="00850A1B"/>
    <w:rsid w:val="00852D9A"/>
    <w:rsid w:val="008530D0"/>
    <w:rsid w:val="00853DF6"/>
    <w:rsid w:val="008545CF"/>
    <w:rsid w:val="008546E3"/>
    <w:rsid w:val="00854AA1"/>
    <w:rsid w:val="00857DA4"/>
    <w:rsid w:val="00863342"/>
    <w:rsid w:val="00865F14"/>
    <w:rsid w:val="008710F1"/>
    <w:rsid w:val="00871181"/>
    <w:rsid w:val="0087343E"/>
    <w:rsid w:val="008750C4"/>
    <w:rsid w:val="008752E0"/>
    <w:rsid w:val="00876512"/>
    <w:rsid w:val="00876FBB"/>
    <w:rsid w:val="0088037E"/>
    <w:rsid w:val="00880A9D"/>
    <w:rsid w:val="0088197F"/>
    <w:rsid w:val="008872D7"/>
    <w:rsid w:val="00893A60"/>
    <w:rsid w:val="008953D1"/>
    <w:rsid w:val="00895E66"/>
    <w:rsid w:val="0089676B"/>
    <w:rsid w:val="008A1DF3"/>
    <w:rsid w:val="008A28FA"/>
    <w:rsid w:val="008B412B"/>
    <w:rsid w:val="008B503C"/>
    <w:rsid w:val="008B52EB"/>
    <w:rsid w:val="008B685C"/>
    <w:rsid w:val="008B7085"/>
    <w:rsid w:val="008B7F79"/>
    <w:rsid w:val="008C2530"/>
    <w:rsid w:val="008C3936"/>
    <w:rsid w:val="008C3CBF"/>
    <w:rsid w:val="008C4504"/>
    <w:rsid w:val="008C6257"/>
    <w:rsid w:val="008D116B"/>
    <w:rsid w:val="008D1810"/>
    <w:rsid w:val="008D1A49"/>
    <w:rsid w:val="008D7C55"/>
    <w:rsid w:val="008D7CA3"/>
    <w:rsid w:val="008E3CB5"/>
    <w:rsid w:val="008E429E"/>
    <w:rsid w:val="008E455A"/>
    <w:rsid w:val="008E46B9"/>
    <w:rsid w:val="008E4753"/>
    <w:rsid w:val="008E59D0"/>
    <w:rsid w:val="008E769A"/>
    <w:rsid w:val="008F4B4B"/>
    <w:rsid w:val="008F65DA"/>
    <w:rsid w:val="008F6CAD"/>
    <w:rsid w:val="0090493B"/>
    <w:rsid w:val="009050F6"/>
    <w:rsid w:val="009123DE"/>
    <w:rsid w:val="009126CE"/>
    <w:rsid w:val="009162F0"/>
    <w:rsid w:val="00920404"/>
    <w:rsid w:val="00921979"/>
    <w:rsid w:val="00921AEE"/>
    <w:rsid w:val="009247DE"/>
    <w:rsid w:val="00924947"/>
    <w:rsid w:val="00926A9B"/>
    <w:rsid w:val="00927F0E"/>
    <w:rsid w:val="00930624"/>
    <w:rsid w:val="00930C22"/>
    <w:rsid w:val="009318C5"/>
    <w:rsid w:val="00932052"/>
    <w:rsid w:val="009335A8"/>
    <w:rsid w:val="009413CA"/>
    <w:rsid w:val="009420A5"/>
    <w:rsid w:val="00942859"/>
    <w:rsid w:val="00943DBD"/>
    <w:rsid w:val="009444C5"/>
    <w:rsid w:val="00944A99"/>
    <w:rsid w:val="00945C98"/>
    <w:rsid w:val="00946529"/>
    <w:rsid w:val="009503F8"/>
    <w:rsid w:val="0095132B"/>
    <w:rsid w:val="009534D7"/>
    <w:rsid w:val="009549F9"/>
    <w:rsid w:val="00955729"/>
    <w:rsid w:val="009570BB"/>
    <w:rsid w:val="00957267"/>
    <w:rsid w:val="00957FC2"/>
    <w:rsid w:val="0096013D"/>
    <w:rsid w:val="00960D98"/>
    <w:rsid w:val="009678CC"/>
    <w:rsid w:val="00970926"/>
    <w:rsid w:val="00973822"/>
    <w:rsid w:val="009775B8"/>
    <w:rsid w:val="009811C3"/>
    <w:rsid w:val="009830DC"/>
    <w:rsid w:val="00983EE0"/>
    <w:rsid w:val="00986431"/>
    <w:rsid w:val="00986999"/>
    <w:rsid w:val="00991674"/>
    <w:rsid w:val="009922D4"/>
    <w:rsid w:val="00992BDB"/>
    <w:rsid w:val="0099345C"/>
    <w:rsid w:val="009954DF"/>
    <w:rsid w:val="00996272"/>
    <w:rsid w:val="00997561"/>
    <w:rsid w:val="00997845"/>
    <w:rsid w:val="009A1D02"/>
    <w:rsid w:val="009A1FE1"/>
    <w:rsid w:val="009A28BE"/>
    <w:rsid w:val="009A3A9F"/>
    <w:rsid w:val="009A4FC8"/>
    <w:rsid w:val="009A694C"/>
    <w:rsid w:val="009A70AB"/>
    <w:rsid w:val="009B08AA"/>
    <w:rsid w:val="009B0EED"/>
    <w:rsid w:val="009B1634"/>
    <w:rsid w:val="009B1BC4"/>
    <w:rsid w:val="009B1D8C"/>
    <w:rsid w:val="009B23C0"/>
    <w:rsid w:val="009B2545"/>
    <w:rsid w:val="009B265F"/>
    <w:rsid w:val="009B2CCD"/>
    <w:rsid w:val="009B2F93"/>
    <w:rsid w:val="009B4150"/>
    <w:rsid w:val="009B42E4"/>
    <w:rsid w:val="009B5EAD"/>
    <w:rsid w:val="009B5F17"/>
    <w:rsid w:val="009B6EBB"/>
    <w:rsid w:val="009C0DAC"/>
    <w:rsid w:val="009C1C3A"/>
    <w:rsid w:val="009C676E"/>
    <w:rsid w:val="009C67B7"/>
    <w:rsid w:val="009D0435"/>
    <w:rsid w:val="009D0778"/>
    <w:rsid w:val="009D0F4C"/>
    <w:rsid w:val="009D1580"/>
    <w:rsid w:val="009D281E"/>
    <w:rsid w:val="009D350D"/>
    <w:rsid w:val="009D6C34"/>
    <w:rsid w:val="009E22EA"/>
    <w:rsid w:val="009E2F1F"/>
    <w:rsid w:val="009E4106"/>
    <w:rsid w:val="009F131A"/>
    <w:rsid w:val="009F1BD4"/>
    <w:rsid w:val="009F3184"/>
    <w:rsid w:val="009F32BE"/>
    <w:rsid w:val="009F4461"/>
    <w:rsid w:val="009F575A"/>
    <w:rsid w:val="009F6E82"/>
    <w:rsid w:val="009F6FB2"/>
    <w:rsid w:val="00A007A0"/>
    <w:rsid w:val="00A00A44"/>
    <w:rsid w:val="00A01009"/>
    <w:rsid w:val="00A019F6"/>
    <w:rsid w:val="00A02600"/>
    <w:rsid w:val="00A075C6"/>
    <w:rsid w:val="00A07CD3"/>
    <w:rsid w:val="00A1050E"/>
    <w:rsid w:val="00A1146D"/>
    <w:rsid w:val="00A127AF"/>
    <w:rsid w:val="00A12FEB"/>
    <w:rsid w:val="00A13810"/>
    <w:rsid w:val="00A13C06"/>
    <w:rsid w:val="00A14856"/>
    <w:rsid w:val="00A15CB7"/>
    <w:rsid w:val="00A162F8"/>
    <w:rsid w:val="00A16ED4"/>
    <w:rsid w:val="00A17123"/>
    <w:rsid w:val="00A17B7B"/>
    <w:rsid w:val="00A20B43"/>
    <w:rsid w:val="00A21E7D"/>
    <w:rsid w:val="00A22BC7"/>
    <w:rsid w:val="00A23F3B"/>
    <w:rsid w:val="00A25A52"/>
    <w:rsid w:val="00A2618E"/>
    <w:rsid w:val="00A27363"/>
    <w:rsid w:val="00A30B04"/>
    <w:rsid w:val="00A32A7E"/>
    <w:rsid w:val="00A335C3"/>
    <w:rsid w:val="00A338D9"/>
    <w:rsid w:val="00A34042"/>
    <w:rsid w:val="00A378BE"/>
    <w:rsid w:val="00A37B2E"/>
    <w:rsid w:val="00A41051"/>
    <w:rsid w:val="00A43BAE"/>
    <w:rsid w:val="00A45D22"/>
    <w:rsid w:val="00A50A8E"/>
    <w:rsid w:val="00A557AA"/>
    <w:rsid w:val="00A56526"/>
    <w:rsid w:val="00A568A1"/>
    <w:rsid w:val="00A6047B"/>
    <w:rsid w:val="00A60949"/>
    <w:rsid w:val="00A60DA8"/>
    <w:rsid w:val="00A6100C"/>
    <w:rsid w:val="00A6479F"/>
    <w:rsid w:val="00A64A04"/>
    <w:rsid w:val="00A652DC"/>
    <w:rsid w:val="00A655E4"/>
    <w:rsid w:val="00A67BB3"/>
    <w:rsid w:val="00A70759"/>
    <w:rsid w:val="00A7250D"/>
    <w:rsid w:val="00A758AE"/>
    <w:rsid w:val="00A75EF4"/>
    <w:rsid w:val="00A76BA2"/>
    <w:rsid w:val="00A83087"/>
    <w:rsid w:val="00A8308D"/>
    <w:rsid w:val="00A84314"/>
    <w:rsid w:val="00A877A0"/>
    <w:rsid w:val="00A87F0A"/>
    <w:rsid w:val="00A919CC"/>
    <w:rsid w:val="00A91F00"/>
    <w:rsid w:val="00A94886"/>
    <w:rsid w:val="00A95C15"/>
    <w:rsid w:val="00AA1649"/>
    <w:rsid w:val="00AA45C5"/>
    <w:rsid w:val="00AA52A8"/>
    <w:rsid w:val="00AA790D"/>
    <w:rsid w:val="00AB254F"/>
    <w:rsid w:val="00AB2624"/>
    <w:rsid w:val="00AB2D04"/>
    <w:rsid w:val="00AB5444"/>
    <w:rsid w:val="00AC0B7D"/>
    <w:rsid w:val="00AC0BB2"/>
    <w:rsid w:val="00AC199C"/>
    <w:rsid w:val="00AC1D12"/>
    <w:rsid w:val="00AC3BF7"/>
    <w:rsid w:val="00AC475B"/>
    <w:rsid w:val="00AC5357"/>
    <w:rsid w:val="00AC5BCF"/>
    <w:rsid w:val="00AC7958"/>
    <w:rsid w:val="00AD236D"/>
    <w:rsid w:val="00AD43DE"/>
    <w:rsid w:val="00AD4ABE"/>
    <w:rsid w:val="00AD5F7E"/>
    <w:rsid w:val="00AD6B15"/>
    <w:rsid w:val="00AE163F"/>
    <w:rsid w:val="00AE1CE9"/>
    <w:rsid w:val="00AE3359"/>
    <w:rsid w:val="00AE715A"/>
    <w:rsid w:val="00AE7714"/>
    <w:rsid w:val="00AE7CA0"/>
    <w:rsid w:val="00AF05A3"/>
    <w:rsid w:val="00AF460E"/>
    <w:rsid w:val="00AF6D3C"/>
    <w:rsid w:val="00B03551"/>
    <w:rsid w:val="00B053D3"/>
    <w:rsid w:val="00B054FD"/>
    <w:rsid w:val="00B0588A"/>
    <w:rsid w:val="00B11275"/>
    <w:rsid w:val="00B117D6"/>
    <w:rsid w:val="00B11B49"/>
    <w:rsid w:val="00B13D95"/>
    <w:rsid w:val="00B17A07"/>
    <w:rsid w:val="00B22E63"/>
    <w:rsid w:val="00B2385B"/>
    <w:rsid w:val="00B2479D"/>
    <w:rsid w:val="00B24DFF"/>
    <w:rsid w:val="00B25537"/>
    <w:rsid w:val="00B25660"/>
    <w:rsid w:val="00B27DBA"/>
    <w:rsid w:val="00B30537"/>
    <w:rsid w:val="00B309F6"/>
    <w:rsid w:val="00B30B6E"/>
    <w:rsid w:val="00B3361B"/>
    <w:rsid w:val="00B34536"/>
    <w:rsid w:val="00B34FCB"/>
    <w:rsid w:val="00B351EF"/>
    <w:rsid w:val="00B41B8B"/>
    <w:rsid w:val="00B436B6"/>
    <w:rsid w:val="00B43EEF"/>
    <w:rsid w:val="00B46739"/>
    <w:rsid w:val="00B46F7E"/>
    <w:rsid w:val="00B471EB"/>
    <w:rsid w:val="00B50B9B"/>
    <w:rsid w:val="00B511C4"/>
    <w:rsid w:val="00B56D97"/>
    <w:rsid w:val="00B57231"/>
    <w:rsid w:val="00B6060A"/>
    <w:rsid w:val="00B641CD"/>
    <w:rsid w:val="00B66B5B"/>
    <w:rsid w:val="00B66CED"/>
    <w:rsid w:val="00B70543"/>
    <w:rsid w:val="00B73575"/>
    <w:rsid w:val="00B75A6B"/>
    <w:rsid w:val="00B81728"/>
    <w:rsid w:val="00B82F45"/>
    <w:rsid w:val="00B83E4A"/>
    <w:rsid w:val="00B8406B"/>
    <w:rsid w:val="00B90ADC"/>
    <w:rsid w:val="00B91F20"/>
    <w:rsid w:val="00B92345"/>
    <w:rsid w:val="00B92C47"/>
    <w:rsid w:val="00B92C6C"/>
    <w:rsid w:val="00B92C9E"/>
    <w:rsid w:val="00B93346"/>
    <w:rsid w:val="00B945A1"/>
    <w:rsid w:val="00B94908"/>
    <w:rsid w:val="00B9521C"/>
    <w:rsid w:val="00B97C65"/>
    <w:rsid w:val="00BA02A5"/>
    <w:rsid w:val="00BA0DBE"/>
    <w:rsid w:val="00BA2095"/>
    <w:rsid w:val="00BA3433"/>
    <w:rsid w:val="00BA465D"/>
    <w:rsid w:val="00BA4D71"/>
    <w:rsid w:val="00BA5A3F"/>
    <w:rsid w:val="00BA6579"/>
    <w:rsid w:val="00BA6A96"/>
    <w:rsid w:val="00BA7AEB"/>
    <w:rsid w:val="00BB071A"/>
    <w:rsid w:val="00BB108D"/>
    <w:rsid w:val="00BB6697"/>
    <w:rsid w:val="00BC1D3E"/>
    <w:rsid w:val="00BC3E7E"/>
    <w:rsid w:val="00BC495B"/>
    <w:rsid w:val="00BC6D0E"/>
    <w:rsid w:val="00BC73B8"/>
    <w:rsid w:val="00BD0898"/>
    <w:rsid w:val="00BD0EF4"/>
    <w:rsid w:val="00BD1163"/>
    <w:rsid w:val="00BD1D84"/>
    <w:rsid w:val="00BD23A4"/>
    <w:rsid w:val="00BD53BA"/>
    <w:rsid w:val="00BD56AD"/>
    <w:rsid w:val="00BE0305"/>
    <w:rsid w:val="00BE0B60"/>
    <w:rsid w:val="00BE2483"/>
    <w:rsid w:val="00BE2684"/>
    <w:rsid w:val="00BE6998"/>
    <w:rsid w:val="00BE7DE9"/>
    <w:rsid w:val="00BF0890"/>
    <w:rsid w:val="00BF16A0"/>
    <w:rsid w:val="00BF1EC6"/>
    <w:rsid w:val="00BF3921"/>
    <w:rsid w:val="00BF64BA"/>
    <w:rsid w:val="00C01D66"/>
    <w:rsid w:val="00C03EEF"/>
    <w:rsid w:val="00C05870"/>
    <w:rsid w:val="00C05A2B"/>
    <w:rsid w:val="00C06A97"/>
    <w:rsid w:val="00C0744B"/>
    <w:rsid w:val="00C07B08"/>
    <w:rsid w:val="00C1082F"/>
    <w:rsid w:val="00C1144E"/>
    <w:rsid w:val="00C128D1"/>
    <w:rsid w:val="00C1321A"/>
    <w:rsid w:val="00C15715"/>
    <w:rsid w:val="00C1646D"/>
    <w:rsid w:val="00C17F87"/>
    <w:rsid w:val="00C20162"/>
    <w:rsid w:val="00C20CC5"/>
    <w:rsid w:val="00C21F8F"/>
    <w:rsid w:val="00C222E0"/>
    <w:rsid w:val="00C23F08"/>
    <w:rsid w:val="00C24AB9"/>
    <w:rsid w:val="00C25169"/>
    <w:rsid w:val="00C2593E"/>
    <w:rsid w:val="00C35425"/>
    <w:rsid w:val="00C365E3"/>
    <w:rsid w:val="00C37F91"/>
    <w:rsid w:val="00C37F9F"/>
    <w:rsid w:val="00C40390"/>
    <w:rsid w:val="00C40D33"/>
    <w:rsid w:val="00C41CA9"/>
    <w:rsid w:val="00C424B5"/>
    <w:rsid w:val="00C42538"/>
    <w:rsid w:val="00C42AA4"/>
    <w:rsid w:val="00C42F23"/>
    <w:rsid w:val="00C43AE7"/>
    <w:rsid w:val="00C45899"/>
    <w:rsid w:val="00C468C5"/>
    <w:rsid w:val="00C47580"/>
    <w:rsid w:val="00C50057"/>
    <w:rsid w:val="00C5160B"/>
    <w:rsid w:val="00C518EB"/>
    <w:rsid w:val="00C5530C"/>
    <w:rsid w:val="00C56D51"/>
    <w:rsid w:val="00C57F43"/>
    <w:rsid w:val="00C6126F"/>
    <w:rsid w:val="00C61B55"/>
    <w:rsid w:val="00C63C1A"/>
    <w:rsid w:val="00C64ACE"/>
    <w:rsid w:val="00C67E0B"/>
    <w:rsid w:val="00C7028F"/>
    <w:rsid w:val="00C710EC"/>
    <w:rsid w:val="00C722B3"/>
    <w:rsid w:val="00C723B1"/>
    <w:rsid w:val="00C7343C"/>
    <w:rsid w:val="00C745AF"/>
    <w:rsid w:val="00C7575A"/>
    <w:rsid w:val="00C8080B"/>
    <w:rsid w:val="00C814AF"/>
    <w:rsid w:val="00C81CB9"/>
    <w:rsid w:val="00C8262A"/>
    <w:rsid w:val="00C85D77"/>
    <w:rsid w:val="00C8645E"/>
    <w:rsid w:val="00C86517"/>
    <w:rsid w:val="00C8769C"/>
    <w:rsid w:val="00C8790E"/>
    <w:rsid w:val="00C87E79"/>
    <w:rsid w:val="00C91516"/>
    <w:rsid w:val="00C9217B"/>
    <w:rsid w:val="00C9521A"/>
    <w:rsid w:val="00C96855"/>
    <w:rsid w:val="00C975AD"/>
    <w:rsid w:val="00C97F74"/>
    <w:rsid w:val="00CA2A8A"/>
    <w:rsid w:val="00CA3E56"/>
    <w:rsid w:val="00CA4300"/>
    <w:rsid w:val="00CA7A08"/>
    <w:rsid w:val="00CB0A79"/>
    <w:rsid w:val="00CB2967"/>
    <w:rsid w:val="00CB2D51"/>
    <w:rsid w:val="00CB2FE6"/>
    <w:rsid w:val="00CB3D8E"/>
    <w:rsid w:val="00CB415C"/>
    <w:rsid w:val="00CB5FF1"/>
    <w:rsid w:val="00CB6582"/>
    <w:rsid w:val="00CB7DBD"/>
    <w:rsid w:val="00CC1DDB"/>
    <w:rsid w:val="00CC3C9E"/>
    <w:rsid w:val="00CC7B06"/>
    <w:rsid w:val="00CD118D"/>
    <w:rsid w:val="00CD1B2C"/>
    <w:rsid w:val="00CD1D3F"/>
    <w:rsid w:val="00CD276A"/>
    <w:rsid w:val="00CD3E9C"/>
    <w:rsid w:val="00CD3FB5"/>
    <w:rsid w:val="00CD48B7"/>
    <w:rsid w:val="00CD4DF7"/>
    <w:rsid w:val="00CD638B"/>
    <w:rsid w:val="00CD6A79"/>
    <w:rsid w:val="00CE0C84"/>
    <w:rsid w:val="00CE132A"/>
    <w:rsid w:val="00CE1E44"/>
    <w:rsid w:val="00CE1EF5"/>
    <w:rsid w:val="00CE2B37"/>
    <w:rsid w:val="00CE32CB"/>
    <w:rsid w:val="00CE43F7"/>
    <w:rsid w:val="00CE452B"/>
    <w:rsid w:val="00CE58E6"/>
    <w:rsid w:val="00CE6243"/>
    <w:rsid w:val="00CF7AE4"/>
    <w:rsid w:val="00D00162"/>
    <w:rsid w:val="00D00807"/>
    <w:rsid w:val="00D00814"/>
    <w:rsid w:val="00D026DC"/>
    <w:rsid w:val="00D035E7"/>
    <w:rsid w:val="00D04A4D"/>
    <w:rsid w:val="00D063E1"/>
    <w:rsid w:val="00D06EF8"/>
    <w:rsid w:val="00D10685"/>
    <w:rsid w:val="00D109A2"/>
    <w:rsid w:val="00D11ED2"/>
    <w:rsid w:val="00D124E1"/>
    <w:rsid w:val="00D12529"/>
    <w:rsid w:val="00D1309F"/>
    <w:rsid w:val="00D13F8E"/>
    <w:rsid w:val="00D1646E"/>
    <w:rsid w:val="00D16D42"/>
    <w:rsid w:val="00D1738C"/>
    <w:rsid w:val="00D20BF0"/>
    <w:rsid w:val="00D21E8D"/>
    <w:rsid w:val="00D22367"/>
    <w:rsid w:val="00D23289"/>
    <w:rsid w:val="00D2347B"/>
    <w:rsid w:val="00D24F6F"/>
    <w:rsid w:val="00D27E31"/>
    <w:rsid w:val="00D3052F"/>
    <w:rsid w:val="00D31303"/>
    <w:rsid w:val="00D3130B"/>
    <w:rsid w:val="00D33B4A"/>
    <w:rsid w:val="00D35674"/>
    <w:rsid w:val="00D37D1F"/>
    <w:rsid w:val="00D437E7"/>
    <w:rsid w:val="00D44AAB"/>
    <w:rsid w:val="00D44E23"/>
    <w:rsid w:val="00D460D5"/>
    <w:rsid w:val="00D46AB6"/>
    <w:rsid w:val="00D47421"/>
    <w:rsid w:val="00D554ED"/>
    <w:rsid w:val="00D61F19"/>
    <w:rsid w:val="00D63C6D"/>
    <w:rsid w:val="00D662E6"/>
    <w:rsid w:val="00D67306"/>
    <w:rsid w:val="00D67C7E"/>
    <w:rsid w:val="00D71C7C"/>
    <w:rsid w:val="00D72584"/>
    <w:rsid w:val="00D746B5"/>
    <w:rsid w:val="00D76263"/>
    <w:rsid w:val="00D76D90"/>
    <w:rsid w:val="00D77C59"/>
    <w:rsid w:val="00D8038C"/>
    <w:rsid w:val="00D81128"/>
    <w:rsid w:val="00D814D4"/>
    <w:rsid w:val="00D81776"/>
    <w:rsid w:val="00D82E82"/>
    <w:rsid w:val="00D83230"/>
    <w:rsid w:val="00D871C0"/>
    <w:rsid w:val="00D878A3"/>
    <w:rsid w:val="00D87BD1"/>
    <w:rsid w:val="00D914E5"/>
    <w:rsid w:val="00D943D7"/>
    <w:rsid w:val="00D94B0F"/>
    <w:rsid w:val="00D9594E"/>
    <w:rsid w:val="00DA16B9"/>
    <w:rsid w:val="00DA251B"/>
    <w:rsid w:val="00DA26DF"/>
    <w:rsid w:val="00DA40B5"/>
    <w:rsid w:val="00DA7B16"/>
    <w:rsid w:val="00DB1A0B"/>
    <w:rsid w:val="00DB21CD"/>
    <w:rsid w:val="00DB3A22"/>
    <w:rsid w:val="00DB43C6"/>
    <w:rsid w:val="00DB7119"/>
    <w:rsid w:val="00DB771C"/>
    <w:rsid w:val="00DC3D3A"/>
    <w:rsid w:val="00DC7EDC"/>
    <w:rsid w:val="00DD058C"/>
    <w:rsid w:val="00DD5211"/>
    <w:rsid w:val="00DD64E9"/>
    <w:rsid w:val="00DD792D"/>
    <w:rsid w:val="00DD7CA8"/>
    <w:rsid w:val="00DE254C"/>
    <w:rsid w:val="00DE5824"/>
    <w:rsid w:val="00DE78B8"/>
    <w:rsid w:val="00DF33AB"/>
    <w:rsid w:val="00DF40C0"/>
    <w:rsid w:val="00DF7F10"/>
    <w:rsid w:val="00E01C7C"/>
    <w:rsid w:val="00E022A5"/>
    <w:rsid w:val="00E02686"/>
    <w:rsid w:val="00E03F68"/>
    <w:rsid w:val="00E04450"/>
    <w:rsid w:val="00E066A8"/>
    <w:rsid w:val="00E0776E"/>
    <w:rsid w:val="00E0792C"/>
    <w:rsid w:val="00E07D9E"/>
    <w:rsid w:val="00E10182"/>
    <w:rsid w:val="00E126FF"/>
    <w:rsid w:val="00E15007"/>
    <w:rsid w:val="00E15FF5"/>
    <w:rsid w:val="00E1776B"/>
    <w:rsid w:val="00E200FF"/>
    <w:rsid w:val="00E20722"/>
    <w:rsid w:val="00E20DC0"/>
    <w:rsid w:val="00E27E95"/>
    <w:rsid w:val="00E310E9"/>
    <w:rsid w:val="00E3297D"/>
    <w:rsid w:val="00E33295"/>
    <w:rsid w:val="00E36C86"/>
    <w:rsid w:val="00E41A3B"/>
    <w:rsid w:val="00E434A2"/>
    <w:rsid w:val="00E437E8"/>
    <w:rsid w:val="00E441DD"/>
    <w:rsid w:val="00E4616E"/>
    <w:rsid w:val="00E47ED0"/>
    <w:rsid w:val="00E50452"/>
    <w:rsid w:val="00E5093F"/>
    <w:rsid w:val="00E519C8"/>
    <w:rsid w:val="00E555BA"/>
    <w:rsid w:val="00E5568A"/>
    <w:rsid w:val="00E571D7"/>
    <w:rsid w:val="00E62ED5"/>
    <w:rsid w:val="00E64F89"/>
    <w:rsid w:val="00E702A1"/>
    <w:rsid w:val="00E70DFD"/>
    <w:rsid w:val="00E718A8"/>
    <w:rsid w:val="00E73232"/>
    <w:rsid w:val="00E739EA"/>
    <w:rsid w:val="00E773E7"/>
    <w:rsid w:val="00E810C5"/>
    <w:rsid w:val="00E81C1D"/>
    <w:rsid w:val="00E85196"/>
    <w:rsid w:val="00E858D1"/>
    <w:rsid w:val="00E87070"/>
    <w:rsid w:val="00E87B80"/>
    <w:rsid w:val="00E900AD"/>
    <w:rsid w:val="00E90683"/>
    <w:rsid w:val="00E9075D"/>
    <w:rsid w:val="00E909F0"/>
    <w:rsid w:val="00E90D76"/>
    <w:rsid w:val="00E91C09"/>
    <w:rsid w:val="00E93518"/>
    <w:rsid w:val="00E93BE4"/>
    <w:rsid w:val="00E94391"/>
    <w:rsid w:val="00E96901"/>
    <w:rsid w:val="00EA03DB"/>
    <w:rsid w:val="00EA2D80"/>
    <w:rsid w:val="00EA4A29"/>
    <w:rsid w:val="00EA4CB0"/>
    <w:rsid w:val="00EA4DE6"/>
    <w:rsid w:val="00EA5050"/>
    <w:rsid w:val="00EB0DCB"/>
    <w:rsid w:val="00EB4B01"/>
    <w:rsid w:val="00EB5E38"/>
    <w:rsid w:val="00EB5FE1"/>
    <w:rsid w:val="00EB6D74"/>
    <w:rsid w:val="00EC0FD6"/>
    <w:rsid w:val="00EC3CF4"/>
    <w:rsid w:val="00EC4678"/>
    <w:rsid w:val="00EC4FA2"/>
    <w:rsid w:val="00EC568B"/>
    <w:rsid w:val="00EC59E3"/>
    <w:rsid w:val="00ED07F2"/>
    <w:rsid w:val="00ED0B7B"/>
    <w:rsid w:val="00ED2FEB"/>
    <w:rsid w:val="00ED3625"/>
    <w:rsid w:val="00ED45AD"/>
    <w:rsid w:val="00ED58E9"/>
    <w:rsid w:val="00ED5B33"/>
    <w:rsid w:val="00ED624F"/>
    <w:rsid w:val="00ED70E1"/>
    <w:rsid w:val="00ED7EBF"/>
    <w:rsid w:val="00EE033C"/>
    <w:rsid w:val="00EE2166"/>
    <w:rsid w:val="00EE237B"/>
    <w:rsid w:val="00EE5915"/>
    <w:rsid w:val="00EE6C7B"/>
    <w:rsid w:val="00EE795D"/>
    <w:rsid w:val="00EE7A65"/>
    <w:rsid w:val="00EE7B50"/>
    <w:rsid w:val="00EF0537"/>
    <w:rsid w:val="00EF17E0"/>
    <w:rsid w:val="00EF3F06"/>
    <w:rsid w:val="00F010A1"/>
    <w:rsid w:val="00F0116B"/>
    <w:rsid w:val="00F0232E"/>
    <w:rsid w:val="00F028F6"/>
    <w:rsid w:val="00F04B91"/>
    <w:rsid w:val="00F0559F"/>
    <w:rsid w:val="00F05FBF"/>
    <w:rsid w:val="00F10568"/>
    <w:rsid w:val="00F1086E"/>
    <w:rsid w:val="00F14162"/>
    <w:rsid w:val="00F14CD5"/>
    <w:rsid w:val="00F16BFD"/>
    <w:rsid w:val="00F17465"/>
    <w:rsid w:val="00F17A65"/>
    <w:rsid w:val="00F214C7"/>
    <w:rsid w:val="00F22E66"/>
    <w:rsid w:val="00F23935"/>
    <w:rsid w:val="00F24FCC"/>
    <w:rsid w:val="00F26B84"/>
    <w:rsid w:val="00F300E1"/>
    <w:rsid w:val="00F30879"/>
    <w:rsid w:val="00F30D55"/>
    <w:rsid w:val="00F37115"/>
    <w:rsid w:val="00F37B1E"/>
    <w:rsid w:val="00F4290B"/>
    <w:rsid w:val="00F460E1"/>
    <w:rsid w:val="00F50231"/>
    <w:rsid w:val="00F50DBD"/>
    <w:rsid w:val="00F538AE"/>
    <w:rsid w:val="00F5426B"/>
    <w:rsid w:val="00F56BF0"/>
    <w:rsid w:val="00F570C4"/>
    <w:rsid w:val="00F57CF9"/>
    <w:rsid w:val="00F60026"/>
    <w:rsid w:val="00F6011E"/>
    <w:rsid w:val="00F6200E"/>
    <w:rsid w:val="00F628DC"/>
    <w:rsid w:val="00F62BE6"/>
    <w:rsid w:val="00F64C5E"/>
    <w:rsid w:val="00F65061"/>
    <w:rsid w:val="00F671E9"/>
    <w:rsid w:val="00F70E81"/>
    <w:rsid w:val="00F71A14"/>
    <w:rsid w:val="00F72658"/>
    <w:rsid w:val="00F72866"/>
    <w:rsid w:val="00F72BA4"/>
    <w:rsid w:val="00F74962"/>
    <w:rsid w:val="00F74E66"/>
    <w:rsid w:val="00F75CB7"/>
    <w:rsid w:val="00F75F2F"/>
    <w:rsid w:val="00F801CA"/>
    <w:rsid w:val="00F81E9D"/>
    <w:rsid w:val="00F83B88"/>
    <w:rsid w:val="00F8518C"/>
    <w:rsid w:val="00F86C69"/>
    <w:rsid w:val="00F927AA"/>
    <w:rsid w:val="00F9336D"/>
    <w:rsid w:val="00F936E9"/>
    <w:rsid w:val="00F93C95"/>
    <w:rsid w:val="00FA148D"/>
    <w:rsid w:val="00FA44FD"/>
    <w:rsid w:val="00FA5204"/>
    <w:rsid w:val="00FA6073"/>
    <w:rsid w:val="00FA6EF7"/>
    <w:rsid w:val="00FA7527"/>
    <w:rsid w:val="00FB1D17"/>
    <w:rsid w:val="00FB2A0F"/>
    <w:rsid w:val="00FB323F"/>
    <w:rsid w:val="00FB390E"/>
    <w:rsid w:val="00FB4F39"/>
    <w:rsid w:val="00FB5C99"/>
    <w:rsid w:val="00FB77FB"/>
    <w:rsid w:val="00FB7999"/>
    <w:rsid w:val="00FC159C"/>
    <w:rsid w:val="00FC16A3"/>
    <w:rsid w:val="00FC2100"/>
    <w:rsid w:val="00FC35D2"/>
    <w:rsid w:val="00FC7D7E"/>
    <w:rsid w:val="00FD1932"/>
    <w:rsid w:val="00FD27A0"/>
    <w:rsid w:val="00FD2C82"/>
    <w:rsid w:val="00FD44D8"/>
    <w:rsid w:val="00FD55D8"/>
    <w:rsid w:val="00FE1CDB"/>
    <w:rsid w:val="00FE2756"/>
    <w:rsid w:val="00FE3391"/>
    <w:rsid w:val="00FE4949"/>
    <w:rsid w:val="00FE49C8"/>
    <w:rsid w:val="00FE7E4F"/>
    <w:rsid w:val="00FF49EC"/>
    <w:rsid w:val="00FF567C"/>
    <w:rsid w:val="00FF64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2828F6B"/>
  <w15:docId w15:val="{FF292018-DD94-412A-BBC0-CB8CD0123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D5958"/>
    <w:pPr>
      <w:spacing w:after="120" w:line="276" w:lineRule="auto"/>
      <w:jc w:val="both"/>
    </w:pPr>
    <w:rPr>
      <w:rFonts w:ascii="Segoe UI" w:hAnsi="Segoe UI"/>
    </w:rPr>
  </w:style>
  <w:style w:type="paragraph" w:styleId="Nadpis1">
    <w:name w:val="heading 1"/>
    <w:basedOn w:val="Nadpis3"/>
    <w:next w:val="Normln"/>
    <w:link w:val="Nadpis1Char"/>
    <w:uiPriority w:val="9"/>
    <w:qFormat/>
    <w:pPr>
      <w:numPr>
        <w:ilvl w:val="0"/>
      </w:numPr>
      <w:outlineLvl w:val="0"/>
    </w:pPr>
    <w:rPr>
      <w:sz w:val="28"/>
    </w:rPr>
  </w:style>
  <w:style w:type="paragraph" w:styleId="Nadpis2">
    <w:name w:val="heading 2"/>
    <w:basedOn w:val="Nadpis3"/>
    <w:next w:val="Normln"/>
    <w:link w:val="Nadpis2Char"/>
    <w:uiPriority w:val="9"/>
    <w:unhideWhenUsed/>
    <w:qFormat/>
    <w:rsid w:val="004E6E68"/>
    <w:pPr>
      <w:numPr>
        <w:ilvl w:val="1"/>
      </w:numPr>
      <w:ind w:left="1276"/>
      <w:outlineLvl w:val="1"/>
    </w:pPr>
  </w:style>
  <w:style w:type="paragraph" w:styleId="Nadpis3">
    <w:name w:val="heading 3"/>
    <w:basedOn w:val="Normln"/>
    <w:next w:val="Normln"/>
    <w:link w:val="Nadpis3Char"/>
    <w:uiPriority w:val="9"/>
    <w:unhideWhenUsed/>
    <w:qFormat/>
    <w:pPr>
      <w:keepNext/>
      <w:keepLines/>
      <w:numPr>
        <w:ilvl w:val="2"/>
        <w:numId w:val="65"/>
      </w:numPr>
      <w:spacing w:line="240" w:lineRule="auto"/>
      <w:outlineLvl w:val="2"/>
    </w:pPr>
    <w:rPr>
      <w:rFonts w:eastAsiaTheme="majorEastAsia" w:cstheme="majorBidi"/>
      <w:b/>
      <w:color w:val="1F3763" w:themeColor="accent1" w:themeShade="7F"/>
      <w:sz w:val="24"/>
      <w:szCs w:val="24"/>
    </w:rPr>
  </w:style>
  <w:style w:type="paragraph" w:styleId="Nadpis4">
    <w:name w:val="heading 4"/>
    <w:basedOn w:val="Nadpis3"/>
    <w:next w:val="Normln"/>
    <w:link w:val="Nadpis4Char"/>
    <w:uiPriority w:val="9"/>
    <w:unhideWhenUsed/>
    <w:qFormat/>
    <w:rsid w:val="006C71F9"/>
    <w:pPr>
      <w:numPr>
        <w:ilvl w:val="3"/>
      </w:numPr>
      <w:outlineLvl w:val="3"/>
    </w:pPr>
    <w:rPr>
      <w:i/>
      <w:iCs/>
    </w:rPr>
  </w:style>
  <w:style w:type="paragraph" w:styleId="Nadpis5">
    <w:name w:val="heading 5"/>
    <w:basedOn w:val="Nadpis4"/>
    <w:next w:val="Normln"/>
    <w:link w:val="Nadpis5Char"/>
    <w:uiPriority w:val="9"/>
    <w:unhideWhenUsed/>
    <w:qFormat/>
    <w:rsid w:val="00141780"/>
    <w:pPr>
      <w:numPr>
        <w:ilvl w:val="4"/>
      </w:numPr>
      <w:outlineLvl w:val="4"/>
    </w:pPr>
  </w:style>
  <w:style w:type="paragraph" w:styleId="Nadpis6">
    <w:name w:val="heading 6"/>
    <w:basedOn w:val="Normln"/>
    <w:next w:val="Normln"/>
    <w:link w:val="Nadpis6Char"/>
    <w:uiPriority w:val="9"/>
    <w:unhideWhenUsed/>
    <w:qFormat/>
    <w:pPr>
      <w:keepNext/>
      <w:keepLines/>
      <w:spacing w:before="320" w:after="200"/>
      <w:outlineLvl w:val="5"/>
    </w:pPr>
    <w:rPr>
      <w:rFonts w:ascii="Arial" w:eastAsia="Arial" w:hAnsi="Arial" w:cs="Arial"/>
      <w:b/>
      <w:bCs/>
    </w:rPr>
  </w:style>
  <w:style w:type="paragraph" w:styleId="Nadpis7">
    <w:name w:val="heading 7"/>
    <w:basedOn w:val="Normln"/>
    <w:next w:val="Normln"/>
    <w:link w:val="Nadpis7Char"/>
    <w:uiPriority w:val="9"/>
    <w:unhideWhenUsed/>
    <w:qFormat/>
    <w:pPr>
      <w:keepNext/>
      <w:keepLines/>
      <w:spacing w:before="320" w:after="200"/>
      <w:outlineLvl w:val="6"/>
    </w:pPr>
    <w:rPr>
      <w:rFonts w:ascii="Arial" w:eastAsia="Arial" w:hAnsi="Arial" w:cs="Arial"/>
      <w:b/>
      <w:bCs/>
      <w:i/>
      <w:iCs/>
    </w:rPr>
  </w:style>
  <w:style w:type="paragraph" w:styleId="Nadpis8">
    <w:name w:val="heading 8"/>
    <w:basedOn w:val="Normln"/>
    <w:next w:val="Normln"/>
    <w:link w:val="Nadpis8Char"/>
    <w:uiPriority w:val="9"/>
    <w:unhideWhenUsed/>
    <w:qFormat/>
    <w:pPr>
      <w:keepNext/>
      <w:keepLines/>
      <w:spacing w:before="320" w:after="200"/>
      <w:outlineLvl w:val="7"/>
    </w:pPr>
    <w:rPr>
      <w:rFonts w:ascii="Arial" w:eastAsia="Arial" w:hAnsi="Arial" w:cs="Arial"/>
      <w:i/>
      <w:iCs/>
    </w:rPr>
  </w:style>
  <w:style w:type="paragraph" w:styleId="Nadpis9">
    <w:name w:val="heading 9"/>
    <w:basedOn w:val="Normln"/>
    <w:next w:val="Normln"/>
    <w:link w:val="Nadpis9Char"/>
    <w:uiPriority w:val="9"/>
    <w:unhideWhenUsed/>
    <w:qFormat/>
    <w:pPr>
      <w:keepNext/>
      <w:keepLines/>
      <w:spacing w:before="320" w:after="200"/>
      <w:outlineLvl w:val="8"/>
    </w:pPr>
    <w:rPr>
      <w:rFonts w:ascii="Arial" w:eastAsia="Arial" w:hAnsi="Arial" w:cs="Arial"/>
      <w:i/>
      <w:iCs/>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2Char">
    <w:name w:val="Heading 2 Char"/>
    <w:basedOn w:val="Standardnpsmoodstavce"/>
    <w:uiPriority w:val="9"/>
    <w:rPr>
      <w:rFonts w:ascii="Arial" w:eastAsia="Arial" w:hAnsi="Arial" w:cs="Arial"/>
      <w:sz w:val="34"/>
    </w:rPr>
  </w:style>
  <w:style w:type="character" w:customStyle="1" w:styleId="Heading3Char">
    <w:name w:val="Heading 3 Char"/>
    <w:basedOn w:val="Standardnpsmoodstavce"/>
    <w:uiPriority w:val="9"/>
    <w:rPr>
      <w:rFonts w:ascii="Arial" w:eastAsia="Arial" w:hAnsi="Arial" w:cs="Arial"/>
      <w:sz w:val="30"/>
      <w:szCs w:val="30"/>
    </w:rPr>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Nadpis5Char">
    <w:name w:val="Nadpis 5 Char"/>
    <w:basedOn w:val="Standardnpsmoodstavce"/>
    <w:link w:val="Nadpis5"/>
    <w:uiPriority w:val="9"/>
    <w:rsid w:val="00141780"/>
    <w:rPr>
      <w:rFonts w:ascii="Segoe UI" w:eastAsiaTheme="majorEastAsia" w:hAnsi="Segoe UI" w:cstheme="majorBidi"/>
      <w:b/>
      <w:i/>
      <w:iCs/>
      <w:color w:val="1F3763" w:themeColor="accent1" w:themeShade="7F"/>
      <w:sz w:val="24"/>
      <w:szCs w:val="24"/>
    </w:rPr>
  </w:style>
  <w:style w:type="character" w:customStyle="1" w:styleId="Nadpis6Char">
    <w:name w:val="Nadpis 6 Char"/>
    <w:basedOn w:val="Standardnpsmoodstavce"/>
    <w:link w:val="Nadpis6"/>
    <w:uiPriority w:val="9"/>
    <w:rPr>
      <w:rFonts w:ascii="Arial" w:eastAsia="Arial" w:hAnsi="Arial" w:cs="Arial"/>
      <w:b/>
      <w:bCs/>
      <w:sz w:val="22"/>
      <w:szCs w:val="22"/>
    </w:rPr>
  </w:style>
  <w:style w:type="character" w:customStyle="1" w:styleId="Nadpis7Char">
    <w:name w:val="Nadpis 7 Char"/>
    <w:basedOn w:val="Standardnpsmoodstavce"/>
    <w:link w:val="Nadpis7"/>
    <w:uiPriority w:val="9"/>
    <w:rPr>
      <w:rFonts w:ascii="Arial" w:eastAsia="Arial" w:hAnsi="Arial" w:cs="Arial"/>
      <w:b/>
      <w:bCs/>
      <w:i/>
      <w:iCs/>
      <w:sz w:val="22"/>
      <w:szCs w:val="22"/>
    </w:rPr>
  </w:style>
  <w:style w:type="character" w:customStyle="1" w:styleId="Nadpis8Char">
    <w:name w:val="Nadpis 8 Char"/>
    <w:basedOn w:val="Standardnpsmoodstavce"/>
    <w:link w:val="Nadpis8"/>
    <w:uiPriority w:val="9"/>
    <w:rPr>
      <w:rFonts w:ascii="Arial" w:eastAsia="Arial" w:hAnsi="Arial" w:cs="Arial"/>
      <w:i/>
      <w:iCs/>
      <w:sz w:val="22"/>
      <w:szCs w:val="22"/>
    </w:rPr>
  </w:style>
  <w:style w:type="character" w:customStyle="1" w:styleId="Nadpis9Char">
    <w:name w:val="Nadpis 9 Char"/>
    <w:basedOn w:val="Standardnpsmoodstavce"/>
    <w:link w:val="Nadpis9"/>
    <w:uiPriority w:val="9"/>
    <w:rPr>
      <w:rFonts w:ascii="Arial" w:eastAsia="Arial" w:hAnsi="Arial" w:cs="Arial"/>
      <w:i/>
      <w:iCs/>
      <w:sz w:val="21"/>
      <w:szCs w:val="21"/>
    </w:rPr>
  </w:style>
  <w:style w:type="paragraph" w:styleId="Nzev">
    <w:name w:val="Title"/>
    <w:basedOn w:val="Normln"/>
    <w:next w:val="Normln"/>
    <w:link w:val="NzevChar"/>
    <w:uiPriority w:val="10"/>
    <w:qFormat/>
    <w:pPr>
      <w:spacing w:before="300" w:after="200"/>
      <w:contextualSpacing/>
    </w:pPr>
    <w:rPr>
      <w:sz w:val="48"/>
      <w:szCs w:val="48"/>
    </w:rPr>
  </w:style>
  <w:style w:type="character" w:customStyle="1" w:styleId="NzevChar">
    <w:name w:val="Název Char"/>
    <w:basedOn w:val="Standardnpsmoodstavce"/>
    <w:link w:val="Nzev"/>
    <w:uiPriority w:val="10"/>
    <w:rPr>
      <w:sz w:val="48"/>
      <w:szCs w:val="48"/>
    </w:rPr>
  </w:style>
  <w:style w:type="paragraph" w:styleId="Podnadpis">
    <w:name w:val="Subtitle"/>
    <w:basedOn w:val="Normln"/>
    <w:next w:val="Normln"/>
    <w:link w:val="PodnadpisChar"/>
    <w:uiPriority w:val="11"/>
    <w:qFormat/>
    <w:pPr>
      <w:spacing w:before="200" w:after="200"/>
    </w:pPr>
    <w:rPr>
      <w:sz w:val="24"/>
      <w:szCs w:val="24"/>
    </w:rPr>
  </w:style>
  <w:style w:type="character" w:customStyle="1" w:styleId="PodnadpisChar">
    <w:name w:val="Podnadpis Char"/>
    <w:basedOn w:val="Standardnpsmoodstavce"/>
    <w:link w:val="Podnadpis"/>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character" w:customStyle="1" w:styleId="HeaderChar">
    <w:name w:val="Header Char"/>
    <w:basedOn w:val="Standardnpsmoodstavce"/>
    <w:uiPriority w:val="99"/>
  </w:style>
  <w:style w:type="character" w:customStyle="1" w:styleId="FooterChar">
    <w:name w:val="Footer Char"/>
    <w:basedOn w:val="Standardnpsmoodstavce"/>
    <w:uiPriority w:val="99"/>
  </w:style>
  <w:style w:type="character" w:customStyle="1" w:styleId="CaptionChar">
    <w:name w:val="Caption Char"/>
    <w:uiPriority w:val="99"/>
  </w:style>
  <w:style w:type="table" w:customStyle="1" w:styleId="TableGridLight">
    <w:name w:val="Table Grid Light"/>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rosttabulka1">
    <w:name w:val="Plain Table 1"/>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rosttabulka2">
    <w:name w:val="Plain Table 2"/>
    <w:basedOn w:val="Normlntabulka"/>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basedOn w:val="Normlntabulka"/>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4">
    <w:name w:val="Plain Table 4"/>
    <w:basedOn w:val="Normlntabulka"/>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5">
    <w:name w:val="Plain Table 5"/>
    <w:basedOn w:val="Normlntabulka"/>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tltabulkasmkou1">
    <w:name w:val="Grid Table 1 Light"/>
    <w:basedOn w:val="Normlntabulka"/>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lntabulka"/>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lntabulka"/>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lntabulka"/>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lntabulka"/>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lntabulka"/>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ulkasmkou2">
    <w:name w:val="Grid Table 2"/>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lntabulka"/>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lntabulka"/>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lntabulka"/>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lntabulka"/>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lntabulka"/>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lntabulka"/>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ulkasmkou3">
    <w:name w:val="Grid Table 3"/>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lntabulka"/>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lntabulka"/>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lntabulka"/>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lntabulka"/>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lntabulka"/>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lntabulka"/>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ulkasmkou4">
    <w:name w:val="Grid Table 4"/>
    <w:basedOn w:val="Normlntabulka"/>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lntabulka"/>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lntabulka"/>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lntabulka"/>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lntabulka"/>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lntabulka"/>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lntabulka"/>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mavtabulkasmkou5">
    <w:name w:val="Grid Table 5 Dark"/>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Barevntabulkasmkou6">
    <w:name w:val="Grid Table 6 Colorful"/>
    <w:basedOn w:val="Normlntabulka"/>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lntabulka"/>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lntabulka"/>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lntabulka"/>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lntabulka"/>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lntabulka"/>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Barevntabulkasmkou7">
    <w:name w:val="Grid Table 7 Colorful"/>
    <w:basedOn w:val="Normlntabulka"/>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lntabulka"/>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lntabulka"/>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lntabulka"/>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lntabulka"/>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lntabulka"/>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Svtltabulkaseznamu1">
    <w:name w:val="List Table 1 Light"/>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ulkaseznamu2">
    <w:name w:val="List Table 2"/>
    <w:basedOn w:val="Normlntabulka"/>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lntabulka"/>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lntabulka"/>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lntabulka"/>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lntabulka"/>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lntabulka"/>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lntabulka"/>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ulkaseznamu3">
    <w:name w:val="List Table 3"/>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lntabulka"/>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lntabulka"/>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lntabulka"/>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lntabulka"/>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lntabulka"/>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ulkaseznamu4">
    <w:name w:val="List Table 4"/>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lntabulka"/>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lntabulka"/>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lntabulka"/>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lntabulka"/>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lntabulka"/>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lntabulka"/>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mavtabulkaseznamu5">
    <w:name w:val="List Table 5 Dark"/>
    <w:basedOn w:val="Normlntabulka"/>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lntabulka"/>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lntabulka"/>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lntabulka"/>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lntabulka"/>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lntabulka"/>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lntabulka"/>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Barevntabulkaseznamu6">
    <w:name w:val="List Table 6 Colorful"/>
    <w:basedOn w:val="Normlntabulka"/>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lntabulka"/>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lntabulka"/>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lntabulka"/>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lntabulka"/>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lntabulka"/>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Barevntabulkaseznamu7">
    <w:name w:val="List Table 7 Colorful"/>
    <w:basedOn w:val="Normlntabulka"/>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lntabulka"/>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lntabulka"/>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lntabulka"/>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lntabulka"/>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lntabulka"/>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lntabulka"/>
    <w:uiPriority w:val="99"/>
    <w:pPr>
      <w:spacing w:after="0" w:line="240" w:lineRule="auto"/>
    </w:pPr>
    <w:rPr>
      <w:color w:val="404040"/>
      <w:sz w:val="20"/>
      <w:szCs w:val="20"/>
      <w:lang w:eastAsia="cs-CZ"/>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lntabulka"/>
    <w:uiPriority w:val="99"/>
    <w:pPr>
      <w:spacing w:after="0" w:line="240" w:lineRule="auto"/>
    </w:pPr>
    <w:rPr>
      <w:color w:val="404040"/>
      <w:sz w:val="20"/>
      <w:szCs w:val="20"/>
      <w:lang w:eastAsia="cs-CZ"/>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lntabulka"/>
    <w:uiPriority w:val="99"/>
    <w:pPr>
      <w:spacing w:after="0" w:line="240" w:lineRule="auto"/>
    </w:pPr>
    <w:rPr>
      <w:color w:val="404040"/>
      <w:sz w:val="20"/>
      <w:szCs w:val="20"/>
      <w:lang w:eastAsia="cs-CZ"/>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lntabulka"/>
    <w:uiPriority w:val="99"/>
    <w:pPr>
      <w:spacing w:after="0" w:line="240" w:lineRule="auto"/>
    </w:pPr>
    <w:rPr>
      <w:color w:val="404040"/>
      <w:sz w:val="20"/>
      <w:szCs w:val="20"/>
      <w:lang w:eastAsia="cs-CZ"/>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lntabulka"/>
    <w:uiPriority w:val="99"/>
    <w:pPr>
      <w:spacing w:after="0" w:line="240" w:lineRule="auto"/>
    </w:pPr>
    <w:rPr>
      <w:color w:val="404040"/>
      <w:sz w:val="20"/>
      <w:szCs w:val="20"/>
      <w:lang w:eastAsia="cs-CZ"/>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lntabulka"/>
    <w:uiPriority w:val="99"/>
    <w:pPr>
      <w:spacing w:after="0" w:line="240" w:lineRule="auto"/>
    </w:pPr>
    <w:rPr>
      <w:color w:val="404040"/>
      <w:sz w:val="20"/>
      <w:szCs w:val="20"/>
      <w:lang w:eastAsia="cs-CZ"/>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lntabulka"/>
    <w:uiPriority w:val="99"/>
    <w:pPr>
      <w:spacing w:after="0" w:line="240" w:lineRule="auto"/>
    </w:pPr>
    <w:rPr>
      <w:color w:val="404040"/>
      <w:sz w:val="20"/>
      <w:szCs w:val="20"/>
      <w:lang w:eastAsia="cs-CZ"/>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lntabulka"/>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lntabulka"/>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lntabulka"/>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lntabulka"/>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lntabulka"/>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lntabulka"/>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Textvysvtlivek">
    <w:name w:val="endnote text"/>
    <w:basedOn w:val="Normln"/>
    <w:link w:val="TextvysvtlivekChar"/>
    <w:uiPriority w:val="99"/>
    <w:semiHidden/>
    <w:unhideWhenUsed/>
    <w:pPr>
      <w:spacing w:after="0" w:line="240" w:lineRule="auto"/>
    </w:pPr>
    <w:rPr>
      <w:sz w:val="20"/>
    </w:rPr>
  </w:style>
  <w:style w:type="character" w:customStyle="1" w:styleId="TextvysvtlivekChar">
    <w:name w:val="Text vysvětlivek Char"/>
    <w:link w:val="Textvysvtlivek"/>
    <w:uiPriority w:val="99"/>
    <w:rPr>
      <w:sz w:val="20"/>
    </w:rPr>
  </w:style>
  <w:style w:type="character" w:styleId="Odkaznavysvtlivky">
    <w:name w:val="endnote reference"/>
    <w:basedOn w:val="Standardnpsmoodstavce"/>
    <w:uiPriority w:val="99"/>
    <w:semiHidden/>
    <w:unhideWhenUsed/>
    <w:rPr>
      <w:vertAlign w:val="superscript"/>
    </w:rPr>
  </w:style>
  <w:style w:type="paragraph" w:styleId="Obsah4">
    <w:name w:val="toc 4"/>
    <w:basedOn w:val="Normln"/>
    <w:next w:val="Normln"/>
    <w:uiPriority w:val="39"/>
    <w:unhideWhenUsed/>
    <w:pPr>
      <w:spacing w:after="57"/>
      <w:ind w:left="850"/>
    </w:pPr>
  </w:style>
  <w:style w:type="paragraph" w:styleId="Obsah5">
    <w:name w:val="toc 5"/>
    <w:basedOn w:val="Normln"/>
    <w:next w:val="Normln"/>
    <w:uiPriority w:val="39"/>
    <w:unhideWhenUsed/>
    <w:pPr>
      <w:spacing w:after="57"/>
      <w:ind w:left="1134"/>
    </w:pPr>
  </w:style>
  <w:style w:type="paragraph" w:styleId="Obsah6">
    <w:name w:val="toc 6"/>
    <w:basedOn w:val="Normln"/>
    <w:next w:val="Normln"/>
    <w:uiPriority w:val="39"/>
    <w:unhideWhenUsed/>
    <w:pPr>
      <w:spacing w:after="57"/>
      <w:ind w:left="1417"/>
    </w:pPr>
  </w:style>
  <w:style w:type="paragraph" w:styleId="Obsah7">
    <w:name w:val="toc 7"/>
    <w:basedOn w:val="Normln"/>
    <w:next w:val="Normln"/>
    <w:uiPriority w:val="39"/>
    <w:unhideWhenUsed/>
    <w:pPr>
      <w:spacing w:after="57"/>
      <w:ind w:left="1701"/>
    </w:pPr>
  </w:style>
  <w:style w:type="paragraph" w:styleId="Obsah8">
    <w:name w:val="toc 8"/>
    <w:basedOn w:val="Normln"/>
    <w:next w:val="Normln"/>
    <w:uiPriority w:val="39"/>
    <w:unhideWhenUsed/>
    <w:pPr>
      <w:spacing w:after="57"/>
      <w:ind w:left="1984"/>
    </w:pPr>
  </w:style>
  <w:style w:type="paragraph" w:styleId="Obsah9">
    <w:name w:val="toc 9"/>
    <w:basedOn w:val="Normln"/>
    <w:next w:val="Normln"/>
    <w:uiPriority w:val="39"/>
    <w:unhideWhenUsed/>
    <w:pPr>
      <w:spacing w:after="57"/>
      <w:ind w:left="2268"/>
    </w:pPr>
  </w:style>
  <w:style w:type="paragraph" w:styleId="Seznamobrzk">
    <w:name w:val="table of figures"/>
    <w:basedOn w:val="Normln"/>
    <w:next w:val="Normln"/>
    <w:uiPriority w:val="99"/>
    <w:unhideWhenUsed/>
    <w:pPr>
      <w:spacing w:after="0"/>
    </w:pPr>
  </w:style>
  <w:style w:type="character" w:styleId="Hypertextovodkaz">
    <w:name w:val="Hyperlink"/>
    <w:basedOn w:val="Standardnpsmoodstavce"/>
    <w:uiPriority w:val="99"/>
    <w:unhideWhenUsed/>
    <w:qFormat/>
    <w:rPr>
      <w:color w:val="0000FF"/>
      <w:u w:val="single"/>
    </w:rPr>
  </w:style>
  <w:style w:type="paragraph" w:styleId="Textpoznpodarou">
    <w:name w:val="footnote text"/>
    <w:aliases w:val=" Char Char, Char13,Char13,Schriftart: 10 pt,Schriftart: 8 pt,Schriftart: 9 pt,Boston 10,Char,Char Char Char1,Char1,Font: Geneva 9,Footnote,Fußnotentextf,Geneva 9,Podrozdzia3,Podrozdział,Text pozn. pod čarou1,f,o,pozn. pod čarou"/>
    <w:basedOn w:val="Normln"/>
    <w:link w:val="TextpoznpodarouChar"/>
    <w:uiPriority w:val="99"/>
    <w:unhideWhenUsed/>
    <w:qFormat/>
    <w:pPr>
      <w:spacing w:after="0" w:line="240" w:lineRule="auto"/>
    </w:pPr>
    <w:rPr>
      <w:sz w:val="20"/>
      <w:szCs w:val="20"/>
    </w:rPr>
  </w:style>
  <w:style w:type="character" w:customStyle="1" w:styleId="TextpoznpodarouChar">
    <w:name w:val="Text pozn. pod čarou Char"/>
    <w:aliases w:val=" Char Char Char, Char13 Char,Char13 Char,Schriftart: 10 pt Char,Schriftart: 8 pt Char,Schriftart: 9 pt Char,Boston 10 Char,Char Char,Char Char Char1 Char,Char1 Char,Font: Geneva 9 Char,Footnote Char,Fußnotentextf Char,f Char"/>
    <w:basedOn w:val="Standardnpsmoodstavce"/>
    <w:link w:val="Textpoznpodarou"/>
    <w:uiPriority w:val="99"/>
    <w:qFormat/>
    <w:rPr>
      <w:rFonts w:ascii="Segoe UI" w:hAnsi="Segoe UI"/>
      <w:sz w:val="20"/>
      <w:szCs w:val="20"/>
    </w:rPr>
  </w:style>
  <w:style w:type="character" w:styleId="Znakapoznpodarou">
    <w:name w:val="footnote reference"/>
    <w:aliases w:val="12 b.,Appel note de bas de p,Appel note de bas de page,BVI fnr,Char Car Car Car Car,Footnote Reference Superscript,Footnote symbol,Légende,Légende.Char Car Car Car Car,PGI Fußnote Ziffer,Voetnootverwijzing,Zúžené o ..."/>
    <w:basedOn w:val="Standardnpsmoodstavce"/>
    <w:uiPriority w:val="99"/>
    <w:unhideWhenUsed/>
    <w:rPr>
      <w:vertAlign w:val="superscript"/>
    </w:rPr>
  </w:style>
  <w:style w:type="character" w:customStyle="1" w:styleId="Nadpis1Char">
    <w:name w:val="Nadpis 1 Char"/>
    <w:basedOn w:val="Standardnpsmoodstavce"/>
    <w:link w:val="Nadpis1"/>
    <w:uiPriority w:val="9"/>
    <w:rPr>
      <w:rFonts w:ascii="Segoe UI" w:eastAsiaTheme="majorEastAsia" w:hAnsi="Segoe UI" w:cstheme="majorBidi"/>
      <w:b/>
      <w:color w:val="1F3763" w:themeColor="accent1" w:themeShade="7F"/>
      <w:sz w:val="28"/>
      <w:szCs w:val="24"/>
    </w:rPr>
  </w:style>
  <w:style w:type="table" w:styleId="Mkatabulky">
    <w:name w:val="Table Grid"/>
    <w:basedOn w:val="Normlntabulka"/>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Odstavecseseznamem">
    <w:name w:val="List Paragraph"/>
    <w:aliases w:val="2,Conclusion de partie,Fiche List Paragraph,List Paragraph (Czech Tourism),List Paragraph_0,Nad,Název grafu,Odstavec cíl se seznamem,Odstavec se seznamem2,Odstavec se seznamem5,Odstavec_muj,Seznam - odrážky,_Odstavec se seznamem"/>
    <w:basedOn w:val="Normln"/>
    <w:link w:val="OdstavecseseznamemChar"/>
    <w:uiPriority w:val="34"/>
    <w:qFormat/>
    <w:pPr>
      <w:spacing w:line="360" w:lineRule="auto"/>
    </w:pPr>
  </w:style>
  <w:style w:type="character" w:customStyle="1" w:styleId="OdstavecseseznamemChar">
    <w:name w:val="Odstavec se seznamem Char"/>
    <w:aliases w:val="2 Char,Conclusion de partie Char,Fiche List Paragraph Char,List Paragraph (Czech Tourism) Char,List Paragraph_0 Char,Nad Char,Název grafu Char,Odstavec cíl se seznamem Char,Odstavec se seznamem2 Char,Odstavec se seznamem5 Char"/>
    <w:link w:val="Odstavecseseznamem"/>
    <w:uiPriority w:val="34"/>
    <w:qFormat/>
    <w:rPr>
      <w:rFonts w:ascii="Segoe UI" w:hAnsi="Segoe UI"/>
    </w:rPr>
  </w:style>
  <w:style w:type="paragraph" w:styleId="Zhlav">
    <w:name w:val="header"/>
    <w:basedOn w:val="Normln"/>
    <w:link w:val="ZhlavChar"/>
    <w:uiPriority w:val="99"/>
    <w:unhideWhenUsed/>
    <w:pPr>
      <w:tabs>
        <w:tab w:val="center" w:pos="4536"/>
        <w:tab w:val="right" w:pos="9072"/>
      </w:tabs>
      <w:spacing w:after="0" w:line="240" w:lineRule="auto"/>
    </w:pPr>
  </w:style>
  <w:style w:type="character" w:customStyle="1" w:styleId="ZhlavChar">
    <w:name w:val="Záhlaví Char"/>
    <w:basedOn w:val="Standardnpsmoodstavce"/>
    <w:link w:val="Zhlav"/>
    <w:uiPriority w:val="99"/>
    <w:rPr>
      <w:rFonts w:ascii="Segoe UI" w:hAnsi="Segoe UI"/>
    </w:rPr>
  </w:style>
  <w:style w:type="paragraph" w:styleId="Zpat">
    <w:name w:val="footer"/>
    <w:basedOn w:val="Normln"/>
    <w:link w:val="ZpatChar"/>
    <w:uiPriority w:val="99"/>
    <w:unhideWhenUsed/>
    <w:pPr>
      <w:tabs>
        <w:tab w:val="center" w:pos="4536"/>
        <w:tab w:val="right" w:pos="9072"/>
      </w:tabs>
      <w:spacing w:after="0" w:line="240" w:lineRule="auto"/>
    </w:pPr>
  </w:style>
  <w:style w:type="character" w:customStyle="1" w:styleId="ZpatChar">
    <w:name w:val="Zápatí Char"/>
    <w:basedOn w:val="Standardnpsmoodstavce"/>
    <w:link w:val="Zpat"/>
    <w:uiPriority w:val="99"/>
    <w:rPr>
      <w:rFonts w:ascii="Segoe UI" w:hAnsi="Segoe UI"/>
    </w:rPr>
  </w:style>
  <w:style w:type="character" w:customStyle="1" w:styleId="Nadpis2Char">
    <w:name w:val="Nadpis 2 Char"/>
    <w:basedOn w:val="Standardnpsmoodstavce"/>
    <w:link w:val="Nadpis2"/>
    <w:uiPriority w:val="9"/>
    <w:rPr>
      <w:rFonts w:ascii="Segoe UI" w:eastAsiaTheme="majorEastAsia" w:hAnsi="Segoe UI" w:cstheme="majorBidi"/>
      <w:b/>
      <w:color w:val="1F3763" w:themeColor="accent1" w:themeShade="7F"/>
      <w:sz w:val="24"/>
      <w:szCs w:val="24"/>
    </w:rPr>
  </w:style>
  <w:style w:type="paragraph" w:styleId="Textbubliny">
    <w:name w:val="Balloon Text"/>
    <w:basedOn w:val="Normln"/>
    <w:link w:val="TextbublinyChar"/>
    <w:uiPriority w:val="99"/>
    <w:semiHidden/>
    <w:unhideWhenUsed/>
    <w:pPr>
      <w:spacing w:after="0" w:line="240" w:lineRule="auto"/>
    </w:pPr>
    <w:rPr>
      <w:rFonts w:cs="Segoe UI"/>
      <w:sz w:val="18"/>
      <w:szCs w:val="18"/>
    </w:rPr>
  </w:style>
  <w:style w:type="character" w:customStyle="1" w:styleId="TextbublinyChar">
    <w:name w:val="Text bubliny Char"/>
    <w:basedOn w:val="Standardnpsmoodstavce"/>
    <w:link w:val="Textbubliny"/>
    <w:uiPriority w:val="99"/>
    <w:semiHidden/>
    <w:rPr>
      <w:rFonts w:ascii="Segoe UI" w:hAnsi="Segoe UI" w:cs="Segoe UI"/>
      <w:sz w:val="18"/>
      <w:szCs w:val="18"/>
    </w:rPr>
  </w:style>
  <w:style w:type="character" w:styleId="Odkaznakoment">
    <w:name w:val="annotation reference"/>
    <w:basedOn w:val="Standardnpsmoodstavce"/>
    <w:uiPriority w:val="99"/>
    <w:unhideWhenUsed/>
    <w:rPr>
      <w:sz w:val="16"/>
      <w:szCs w:val="16"/>
    </w:r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rFonts w:ascii="Segoe UI" w:hAnsi="Segoe UI"/>
      <w:sz w:val="20"/>
      <w:szCs w:val="20"/>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rFonts w:ascii="Segoe UI" w:hAnsi="Segoe UI"/>
      <w:b/>
      <w:bCs/>
      <w:sz w:val="20"/>
      <w:szCs w:val="20"/>
    </w:rPr>
  </w:style>
  <w:style w:type="character" w:customStyle="1" w:styleId="Nadpis3Char">
    <w:name w:val="Nadpis 3 Char"/>
    <w:basedOn w:val="Standardnpsmoodstavce"/>
    <w:link w:val="Nadpis3"/>
    <w:uiPriority w:val="9"/>
    <w:rPr>
      <w:rFonts w:ascii="Segoe UI" w:eastAsiaTheme="majorEastAsia" w:hAnsi="Segoe UI" w:cstheme="majorBidi"/>
      <w:b/>
      <w:color w:val="1F3763" w:themeColor="accent1" w:themeShade="7F"/>
      <w:sz w:val="24"/>
      <w:szCs w:val="24"/>
    </w:rPr>
  </w:style>
  <w:style w:type="character" w:styleId="Sledovanodkaz">
    <w:name w:val="FollowedHyperlink"/>
    <w:basedOn w:val="Standardnpsmoodstavce"/>
    <w:uiPriority w:val="99"/>
    <w:semiHidden/>
    <w:unhideWhenUsed/>
    <w:rPr>
      <w:color w:val="954F72" w:themeColor="followedHyperlink"/>
      <w:u w:val="single"/>
    </w:rPr>
  </w:style>
  <w:style w:type="paragraph" w:customStyle="1" w:styleId="Default">
    <w:name w:val="Default"/>
    <w:pPr>
      <w:spacing w:after="0" w:line="240" w:lineRule="auto"/>
    </w:pPr>
    <w:rPr>
      <w:rFonts w:ascii="Times New Roman" w:hAnsi="Times New Roman" w:cs="Times New Roman"/>
      <w:color w:val="000000"/>
      <w:sz w:val="24"/>
      <w:szCs w:val="24"/>
    </w:rPr>
  </w:style>
  <w:style w:type="character" w:customStyle="1" w:styleId="normaltextrun">
    <w:name w:val="normaltextrun"/>
    <w:basedOn w:val="Standardnpsmoodstavce"/>
  </w:style>
  <w:style w:type="character" w:customStyle="1" w:styleId="eop">
    <w:name w:val="eop"/>
    <w:basedOn w:val="Standardnpsmoodstavce"/>
  </w:style>
  <w:style w:type="paragraph" w:customStyle="1" w:styleId="paragraph">
    <w:name w:val="paragraph"/>
    <w:basedOn w:val="Normln"/>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adpis4Char">
    <w:name w:val="Nadpis 4 Char"/>
    <w:basedOn w:val="Standardnpsmoodstavce"/>
    <w:link w:val="Nadpis4"/>
    <w:uiPriority w:val="9"/>
    <w:rsid w:val="006C71F9"/>
    <w:rPr>
      <w:rFonts w:ascii="Segoe UI" w:eastAsiaTheme="majorEastAsia" w:hAnsi="Segoe UI" w:cstheme="majorBidi"/>
      <w:b/>
      <w:i/>
      <w:iCs/>
      <w:color w:val="1F3763" w:themeColor="accent1" w:themeShade="7F"/>
      <w:sz w:val="24"/>
      <w:szCs w:val="24"/>
    </w:rPr>
  </w:style>
  <w:style w:type="paragraph" w:styleId="Nadpisobsahu">
    <w:name w:val="TOC Heading"/>
    <w:basedOn w:val="Nadpis1"/>
    <w:next w:val="Normln"/>
    <w:uiPriority w:val="39"/>
    <w:unhideWhenUsed/>
    <w:qFormat/>
    <w:pPr>
      <w:spacing w:before="240" w:after="0" w:line="259" w:lineRule="auto"/>
      <w:jc w:val="left"/>
      <w:outlineLvl w:val="9"/>
    </w:pPr>
    <w:rPr>
      <w:rFonts w:asciiTheme="majorHAnsi" w:hAnsiTheme="majorHAnsi"/>
      <w:b w:val="0"/>
      <w:bCs/>
      <w:color w:val="2F5496" w:themeColor="accent1" w:themeShade="BF"/>
      <w:sz w:val="32"/>
      <w:szCs w:val="32"/>
      <w:lang w:eastAsia="cs-CZ"/>
    </w:rPr>
  </w:style>
  <w:style w:type="paragraph" w:styleId="Obsah1">
    <w:name w:val="toc 1"/>
    <w:basedOn w:val="Normln"/>
    <w:next w:val="Normln"/>
    <w:uiPriority w:val="39"/>
    <w:unhideWhenUsed/>
    <w:pPr>
      <w:tabs>
        <w:tab w:val="right" w:leader="dot" w:pos="9062"/>
      </w:tabs>
      <w:spacing w:after="100"/>
    </w:pPr>
  </w:style>
  <w:style w:type="paragraph" w:styleId="Obsah2">
    <w:name w:val="toc 2"/>
    <w:basedOn w:val="Normln"/>
    <w:next w:val="Normln"/>
    <w:uiPriority w:val="39"/>
    <w:unhideWhenUsed/>
    <w:pPr>
      <w:spacing w:after="100"/>
      <w:ind w:left="220"/>
    </w:pPr>
  </w:style>
  <w:style w:type="paragraph" w:styleId="Obsah3">
    <w:name w:val="toc 3"/>
    <w:basedOn w:val="Normln"/>
    <w:next w:val="Normln"/>
    <w:uiPriority w:val="39"/>
    <w:unhideWhenUsed/>
    <w:pPr>
      <w:spacing w:after="100"/>
      <w:ind w:left="440"/>
    </w:pPr>
  </w:style>
  <w:style w:type="character" w:customStyle="1" w:styleId="Nevyeenzmnka1">
    <w:name w:val="Nevyřešená zmínka1"/>
    <w:basedOn w:val="Standardnpsmoodstavce"/>
    <w:uiPriority w:val="99"/>
    <w:semiHidden/>
    <w:unhideWhenUsed/>
    <w:rPr>
      <w:color w:val="605E5C"/>
      <w:shd w:val="clear" w:color="auto" w:fill="E1DFDD"/>
    </w:rPr>
  </w:style>
  <w:style w:type="table" w:customStyle="1" w:styleId="TableNormal">
    <w:name w:val="Table Normal"/>
    <w:uiPriority w:val="2"/>
    <w:semiHidden/>
    <w:unhideWhenUsed/>
    <w:qFormat/>
    <w:pPr>
      <w:widowControl w:val="0"/>
      <w:spacing w:after="0" w:line="240" w:lineRule="auto"/>
    </w:pPr>
    <w:rPr>
      <w:sz w:val="20"/>
      <w:szCs w:val="20"/>
      <w:lang w:val="en-US" w:eastAsia="cs-CZ"/>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pPr>
      <w:widowControl w:val="0"/>
      <w:spacing w:after="0" w:line="240" w:lineRule="auto"/>
    </w:pPr>
    <w:rPr>
      <w:rFonts w:ascii="Carlito" w:eastAsia="Carlito" w:hAnsi="Carlito" w:cs="Carlito"/>
      <w:lang w:val="en-US"/>
    </w:rPr>
  </w:style>
  <w:style w:type="table" w:customStyle="1" w:styleId="TableGrid1">
    <w:name w:val="Table Grid1"/>
    <w:basedOn w:val="Normlntabulka"/>
    <w:next w:val="Mkatabulky"/>
    <w:uiPriority w:val="59"/>
    <w:pPr>
      <w:spacing w:before="200"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Zdraznn">
    <w:name w:val="Emphasis"/>
    <w:uiPriority w:val="20"/>
    <w:qFormat/>
    <w:rPr>
      <w:b/>
    </w:rPr>
  </w:style>
  <w:style w:type="paragraph" w:customStyle="1" w:styleId="Point0">
    <w:name w:val="Point 0"/>
    <w:basedOn w:val="Normln"/>
    <w:pPr>
      <w:spacing w:before="120" w:line="240" w:lineRule="auto"/>
      <w:ind w:left="850" w:hanging="850"/>
    </w:pPr>
    <w:rPr>
      <w:rFonts w:ascii="Times New Roman" w:hAnsi="Times New Roman" w:cs="Times New Roman"/>
      <w:sz w:val="24"/>
    </w:rPr>
  </w:style>
  <w:style w:type="paragraph" w:customStyle="1" w:styleId="Point1">
    <w:name w:val="Point 1"/>
    <w:basedOn w:val="Normln"/>
    <w:pPr>
      <w:spacing w:before="120" w:line="240" w:lineRule="auto"/>
      <w:ind w:left="1417" w:hanging="567"/>
    </w:pPr>
    <w:rPr>
      <w:rFonts w:ascii="Times New Roman" w:hAnsi="Times New Roman" w:cs="Times New Roman"/>
      <w:sz w:val="24"/>
    </w:rPr>
  </w:style>
  <w:style w:type="paragraph" w:customStyle="1" w:styleId="ManualHeading1">
    <w:name w:val="Manual Heading 1"/>
    <w:basedOn w:val="Normln"/>
    <w:next w:val="Normln"/>
    <w:pPr>
      <w:keepNext/>
      <w:tabs>
        <w:tab w:val="left" w:pos="850"/>
      </w:tabs>
      <w:spacing w:before="360" w:line="240" w:lineRule="auto"/>
      <w:ind w:left="850" w:hanging="850"/>
      <w:outlineLvl w:val="0"/>
    </w:pPr>
    <w:rPr>
      <w:rFonts w:ascii="Times New Roman" w:hAnsi="Times New Roman" w:cs="Times New Roman"/>
      <w:b/>
      <w:smallCaps/>
      <w:sz w:val="24"/>
    </w:rPr>
  </w:style>
  <w:style w:type="paragraph" w:customStyle="1" w:styleId="Textnadpisvtabulce">
    <w:name w:val="Text nadpis v tabulce"/>
    <w:basedOn w:val="Normln"/>
    <w:link w:val="TextnadpisvtabulceChar"/>
    <w:qFormat/>
    <w:pPr>
      <w:spacing w:before="120"/>
      <w:jc w:val="center"/>
    </w:pPr>
    <w:rPr>
      <w:rFonts w:cs="Segoe UI"/>
      <w:b/>
      <w:bCs/>
      <w:sz w:val="20"/>
    </w:rPr>
  </w:style>
  <w:style w:type="paragraph" w:customStyle="1" w:styleId="Textvtabulce">
    <w:name w:val="Text v tabulce"/>
    <w:basedOn w:val="Normln"/>
    <w:link w:val="TextvtabulceChar"/>
    <w:qFormat/>
    <w:pPr>
      <w:spacing w:before="120"/>
      <w:contextualSpacing/>
    </w:pPr>
    <w:rPr>
      <w:rFonts w:cs="Segoe UI"/>
      <w:sz w:val="20"/>
    </w:rPr>
  </w:style>
  <w:style w:type="character" w:customStyle="1" w:styleId="TextnadpisvtabulceChar">
    <w:name w:val="Text nadpis v tabulce Char"/>
    <w:basedOn w:val="Standardnpsmoodstavce"/>
    <w:link w:val="Textnadpisvtabulce"/>
    <w:rPr>
      <w:rFonts w:ascii="Segoe UI" w:hAnsi="Segoe UI" w:cs="Segoe UI"/>
      <w:b/>
      <w:bCs/>
      <w:sz w:val="20"/>
    </w:rPr>
  </w:style>
  <w:style w:type="character" w:customStyle="1" w:styleId="TextvtabulceChar">
    <w:name w:val="Text v tabulce Char"/>
    <w:basedOn w:val="Standardnpsmoodstavce"/>
    <w:link w:val="Textvtabulce"/>
    <w:rPr>
      <w:rFonts w:ascii="Segoe UI" w:hAnsi="Segoe UI" w:cs="Segoe UI"/>
      <w:sz w:val="20"/>
    </w:rPr>
  </w:style>
  <w:style w:type="paragraph" w:customStyle="1" w:styleId="l2">
    <w:name w:val="l2"/>
    <w:basedOn w:val="Normln"/>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normlntun">
    <w:name w:val="normální tučně"/>
    <w:basedOn w:val="Normln"/>
    <w:next w:val="Normln"/>
    <w:qFormat/>
    <w:pPr>
      <w:spacing w:after="100"/>
    </w:pPr>
    <w:rPr>
      <w:rFonts w:eastAsia="Segoe UI" w:cs="Segoe UI"/>
      <w:sz w:val="20"/>
    </w:rPr>
  </w:style>
  <w:style w:type="character" w:styleId="Nevyeenzmnka">
    <w:name w:val="Unresolved Mention"/>
    <w:basedOn w:val="Standardnpsmoodstavce"/>
    <w:uiPriority w:val="99"/>
    <w:semiHidden/>
    <w:unhideWhenUsed/>
    <w:rPr>
      <w:color w:val="605E5C"/>
      <w:shd w:val="clear" w:color="auto" w:fill="E1DFDD"/>
    </w:rPr>
  </w:style>
  <w:style w:type="paragraph" w:styleId="Normlnweb">
    <w:name w:val="Normal (Web)"/>
    <w:basedOn w:val="Normln"/>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hgkelc">
    <w:name w:val="hgkelc"/>
    <w:basedOn w:val="Standardnpsmoodstavce"/>
  </w:style>
  <w:style w:type="character" w:customStyle="1" w:styleId="q4iawc">
    <w:name w:val="q4iawc"/>
    <w:basedOn w:val="Standardnpsmoodstavce"/>
  </w:style>
  <w:style w:type="paragraph" w:customStyle="1" w:styleId="msonormal0">
    <w:name w:val="msonormal"/>
    <w:basedOn w:val="Normln"/>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65">
    <w:name w:val="xl65"/>
    <w:basedOn w:val="Normln"/>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24"/>
      <w:szCs w:val="24"/>
      <w:lang w:eastAsia="cs-CZ"/>
    </w:rPr>
  </w:style>
  <w:style w:type="paragraph" w:customStyle="1" w:styleId="xl66">
    <w:name w:val="xl66"/>
    <w:basedOn w:val="Normln"/>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67">
    <w:name w:val="xl67"/>
    <w:basedOn w:val="Normln"/>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68">
    <w:name w:val="xl68"/>
    <w:basedOn w:val="Normln"/>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563C1"/>
      <w:sz w:val="24"/>
      <w:szCs w:val="24"/>
      <w:u w:val="single"/>
      <w:lang w:eastAsia="cs-CZ"/>
    </w:rPr>
  </w:style>
  <w:style w:type="paragraph" w:customStyle="1" w:styleId="xl69">
    <w:name w:val="xl69"/>
    <w:basedOn w:val="Normln"/>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70">
    <w:name w:val="xl70"/>
    <w:basedOn w:val="Normln"/>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71">
    <w:name w:val="xl71"/>
    <w:basedOn w:val="Normln"/>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72">
    <w:name w:val="xl72"/>
    <w:basedOn w:val="Normln"/>
    <w:pPr>
      <w:pBdr>
        <w:top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73">
    <w:name w:val="xl73"/>
    <w:basedOn w:val="Normln"/>
    <w:pPr>
      <w:pBdr>
        <w:top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74">
    <w:name w:val="xl74"/>
    <w:basedOn w:val="Normln"/>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75">
    <w:name w:val="xl75"/>
    <w:basedOn w:val="Normln"/>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xl76">
    <w:name w:val="xl76"/>
    <w:basedOn w:val="Normln"/>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CM1">
    <w:name w:val="CM1"/>
    <w:basedOn w:val="Default"/>
    <w:next w:val="Default"/>
    <w:uiPriority w:val="99"/>
    <w:rPr>
      <w:rFonts w:ascii="EU Albertina" w:hAnsi="EU Albertina" w:cstheme="minorBidi"/>
      <w:color w:val="auto"/>
    </w:rPr>
  </w:style>
  <w:style w:type="paragraph" w:customStyle="1" w:styleId="CM3">
    <w:name w:val="CM3"/>
    <w:basedOn w:val="Default"/>
    <w:next w:val="Default"/>
    <w:uiPriority w:val="99"/>
    <w:rPr>
      <w:rFonts w:ascii="EU Albertina" w:hAnsi="EU Albertina" w:cstheme="minorBidi"/>
      <w:color w:val="auto"/>
    </w:rPr>
  </w:style>
  <w:style w:type="paragraph" w:styleId="Titulek">
    <w:name w:val="caption"/>
    <w:aliases w:val="Titulek tabulka"/>
    <w:basedOn w:val="Normln"/>
    <w:next w:val="Normln"/>
    <w:link w:val="TitulekChar"/>
    <w:uiPriority w:val="35"/>
    <w:unhideWhenUsed/>
    <w:qFormat/>
    <w:pPr>
      <w:keepNext/>
      <w:spacing w:after="0" w:line="240" w:lineRule="auto"/>
    </w:pPr>
    <w:rPr>
      <w:b/>
      <w:iCs/>
      <w:sz w:val="20"/>
      <w:szCs w:val="18"/>
    </w:rPr>
  </w:style>
  <w:style w:type="paragraph" w:styleId="Bezmezer">
    <w:name w:val="No Spacing"/>
    <w:uiPriority w:val="1"/>
    <w:qFormat/>
    <w:pPr>
      <w:spacing w:after="0" w:line="240" w:lineRule="auto"/>
    </w:pPr>
    <w:rPr>
      <w:rFonts w:ascii="Segoe UI" w:hAnsi="Segoe UI"/>
    </w:rPr>
  </w:style>
  <w:style w:type="paragraph" w:styleId="Revize">
    <w:name w:val="Revision"/>
    <w:hidden/>
    <w:uiPriority w:val="99"/>
    <w:semiHidden/>
    <w:pPr>
      <w:spacing w:after="0" w:line="240" w:lineRule="auto"/>
    </w:pPr>
    <w:rPr>
      <w:rFonts w:ascii="Segoe UI" w:hAnsi="Segoe UI"/>
    </w:rPr>
  </w:style>
  <w:style w:type="paragraph" w:customStyle="1" w:styleId="CM4">
    <w:name w:val="CM4"/>
    <w:basedOn w:val="Normln"/>
    <w:next w:val="Normln"/>
    <w:uiPriority w:val="99"/>
    <w:pPr>
      <w:spacing w:after="0" w:line="240" w:lineRule="auto"/>
      <w:jc w:val="left"/>
    </w:pPr>
    <w:rPr>
      <w:rFonts w:ascii="EU Albertina" w:hAnsi="EU Albertina"/>
      <w:sz w:val="24"/>
      <w:szCs w:val="24"/>
    </w:rPr>
  </w:style>
  <w:style w:type="table" w:customStyle="1" w:styleId="Mkatabulky1">
    <w:name w:val="Mřížka tabulky1"/>
    <w:basedOn w:val="Normlntabulka"/>
    <w:next w:val="Mkatabulky"/>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katabulky2">
    <w:name w:val="Mřížka tabulky2"/>
    <w:basedOn w:val="Normlntabulka"/>
    <w:next w:val="Mkatabulky"/>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vyeenzmnka2">
    <w:name w:val="Nevyřešená zmínka2"/>
    <w:basedOn w:val="Standardnpsmoodstavce"/>
    <w:uiPriority w:val="99"/>
    <w:semiHidden/>
    <w:unhideWhenUsed/>
    <w:rPr>
      <w:color w:val="605E5C"/>
      <w:shd w:val="clear" w:color="auto" w:fill="E1DFDD"/>
    </w:rPr>
  </w:style>
  <w:style w:type="character" w:customStyle="1" w:styleId="TitulekChar">
    <w:name w:val="Titulek Char"/>
    <w:aliases w:val="Titulek tabulka Char"/>
    <w:link w:val="Titulek"/>
    <w:uiPriority w:val="35"/>
    <w:rsid w:val="006C71F9"/>
    <w:rPr>
      <w:rFonts w:ascii="Segoe UI" w:hAnsi="Segoe UI"/>
      <w:b/>
      <w:iCs/>
      <w:sz w:val="20"/>
      <w:szCs w:val="18"/>
    </w:rPr>
  </w:style>
  <w:style w:type="paragraph" w:customStyle="1" w:styleId="Odrkybod">
    <w:name w:val="Odrážky_bod"/>
    <w:basedOn w:val="Odstavecseseznamem"/>
    <w:link w:val="OdrkybodChar"/>
    <w:uiPriority w:val="99"/>
    <w:qFormat/>
    <w:rsid w:val="00CF7AE4"/>
    <w:pPr>
      <w:spacing w:before="120"/>
    </w:pPr>
    <w:rPr>
      <w:rFonts w:ascii="Arial" w:eastAsia="Times New Roman" w:hAnsi="Arial" w:cs="Arial"/>
      <w:sz w:val="20"/>
      <w:szCs w:val="20"/>
      <w:lang w:eastAsia="cs-CZ"/>
    </w:rPr>
  </w:style>
  <w:style w:type="character" w:customStyle="1" w:styleId="OdrkybodChar">
    <w:name w:val="Odrážky_bod Char"/>
    <w:link w:val="Odrkybod"/>
    <w:uiPriority w:val="99"/>
    <w:qFormat/>
    <w:rsid w:val="00CF7AE4"/>
    <w:rPr>
      <w:rFonts w:ascii="Arial" w:eastAsia="Times New Roman" w:hAnsi="Arial" w:cs="Arial"/>
      <w:sz w:val="20"/>
      <w:szCs w:val="20"/>
      <w:lang w:eastAsia="cs-CZ"/>
    </w:rPr>
  </w:style>
  <w:style w:type="character" w:customStyle="1" w:styleId="a10">
    <w:name w:val="a10"/>
    <w:uiPriority w:val="99"/>
    <w:rsid w:val="00CF7A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3008">
      <w:bodyDiv w:val="1"/>
      <w:marLeft w:val="0"/>
      <w:marRight w:val="0"/>
      <w:marTop w:val="0"/>
      <w:marBottom w:val="0"/>
      <w:divBdr>
        <w:top w:val="none" w:sz="0" w:space="0" w:color="auto"/>
        <w:left w:val="none" w:sz="0" w:space="0" w:color="auto"/>
        <w:bottom w:val="none" w:sz="0" w:space="0" w:color="auto"/>
        <w:right w:val="none" w:sz="0" w:space="0" w:color="auto"/>
      </w:divBdr>
    </w:div>
    <w:div w:id="22290798">
      <w:bodyDiv w:val="1"/>
      <w:marLeft w:val="0"/>
      <w:marRight w:val="0"/>
      <w:marTop w:val="0"/>
      <w:marBottom w:val="0"/>
      <w:divBdr>
        <w:top w:val="none" w:sz="0" w:space="0" w:color="auto"/>
        <w:left w:val="none" w:sz="0" w:space="0" w:color="auto"/>
        <w:bottom w:val="none" w:sz="0" w:space="0" w:color="auto"/>
        <w:right w:val="none" w:sz="0" w:space="0" w:color="auto"/>
      </w:divBdr>
    </w:div>
    <w:div w:id="79374226">
      <w:bodyDiv w:val="1"/>
      <w:marLeft w:val="0"/>
      <w:marRight w:val="0"/>
      <w:marTop w:val="0"/>
      <w:marBottom w:val="0"/>
      <w:divBdr>
        <w:top w:val="none" w:sz="0" w:space="0" w:color="auto"/>
        <w:left w:val="none" w:sz="0" w:space="0" w:color="auto"/>
        <w:bottom w:val="none" w:sz="0" w:space="0" w:color="auto"/>
        <w:right w:val="none" w:sz="0" w:space="0" w:color="auto"/>
      </w:divBdr>
    </w:div>
    <w:div w:id="111096631">
      <w:bodyDiv w:val="1"/>
      <w:marLeft w:val="0"/>
      <w:marRight w:val="0"/>
      <w:marTop w:val="0"/>
      <w:marBottom w:val="0"/>
      <w:divBdr>
        <w:top w:val="none" w:sz="0" w:space="0" w:color="auto"/>
        <w:left w:val="none" w:sz="0" w:space="0" w:color="auto"/>
        <w:bottom w:val="none" w:sz="0" w:space="0" w:color="auto"/>
        <w:right w:val="none" w:sz="0" w:space="0" w:color="auto"/>
      </w:divBdr>
    </w:div>
    <w:div w:id="115367963">
      <w:bodyDiv w:val="1"/>
      <w:marLeft w:val="0"/>
      <w:marRight w:val="0"/>
      <w:marTop w:val="0"/>
      <w:marBottom w:val="0"/>
      <w:divBdr>
        <w:top w:val="none" w:sz="0" w:space="0" w:color="auto"/>
        <w:left w:val="none" w:sz="0" w:space="0" w:color="auto"/>
        <w:bottom w:val="none" w:sz="0" w:space="0" w:color="auto"/>
        <w:right w:val="none" w:sz="0" w:space="0" w:color="auto"/>
      </w:divBdr>
    </w:div>
    <w:div w:id="117113409">
      <w:bodyDiv w:val="1"/>
      <w:marLeft w:val="0"/>
      <w:marRight w:val="0"/>
      <w:marTop w:val="0"/>
      <w:marBottom w:val="0"/>
      <w:divBdr>
        <w:top w:val="none" w:sz="0" w:space="0" w:color="auto"/>
        <w:left w:val="none" w:sz="0" w:space="0" w:color="auto"/>
        <w:bottom w:val="none" w:sz="0" w:space="0" w:color="auto"/>
        <w:right w:val="none" w:sz="0" w:space="0" w:color="auto"/>
      </w:divBdr>
    </w:div>
    <w:div w:id="140468035">
      <w:bodyDiv w:val="1"/>
      <w:marLeft w:val="0"/>
      <w:marRight w:val="0"/>
      <w:marTop w:val="0"/>
      <w:marBottom w:val="0"/>
      <w:divBdr>
        <w:top w:val="none" w:sz="0" w:space="0" w:color="auto"/>
        <w:left w:val="none" w:sz="0" w:space="0" w:color="auto"/>
        <w:bottom w:val="none" w:sz="0" w:space="0" w:color="auto"/>
        <w:right w:val="none" w:sz="0" w:space="0" w:color="auto"/>
      </w:divBdr>
    </w:div>
    <w:div w:id="154540404">
      <w:bodyDiv w:val="1"/>
      <w:marLeft w:val="0"/>
      <w:marRight w:val="0"/>
      <w:marTop w:val="0"/>
      <w:marBottom w:val="0"/>
      <w:divBdr>
        <w:top w:val="none" w:sz="0" w:space="0" w:color="auto"/>
        <w:left w:val="none" w:sz="0" w:space="0" w:color="auto"/>
        <w:bottom w:val="none" w:sz="0" w:space="0" w:color="auto"/>
        <w:right w:val="none" w:sz="0" w:space="0" w:color="auto"/>
      </w:divBdr>
    </w:div>
    <w:div w:id="262764586">
      <w:bodyDiv w:val="1"/>
      <w:marLeft w:val="0"/>
      <w:marRight w:val="0"/>
      <w:marTop w:val="0"/>
      <w:marBottom w:val="0"/>
      <w:divBdr>
        <w:top w:val="none" w:sz="0" w:space="0" w:color="auto"/>
        <w:left w:val="none" w:sz="0" w:space="0" w:color="auto"/>
        <w:bottom w:val="none" w:sz="0" w:space="0" w:color="auto"/>
        <w:right w:val="none" w:sz="0" w:space="0" w:color="auto"/>
      </w:divBdr>
    </w:div>
    <w:div w:id="301693472">
      <w:bodyDiv w:val="1"/>
      <w:marLeft w:val="0"/>
      <w:marRight w:val="0"/>
      <w:marTop w:val="0"/>
      <w:marBottom w:val="0"/>
      <w:divBdr>
        <w:top w:val="none" w:sz="0" w:space="0" w:color="auto"/>
        <w:left w:val="none" w:sz="0" w:space="0" w:color="auto"/>
        <w:bottom w:val="none" w:sz="0" w:space="0" w:color="auto"/>
        <w:right w:val="none" w:sz="0" w:space="0" w:color="auto"/>
      </w:divBdr>
    </w:div>
    <w:div w:id="311100271">
      <w:bodyDiv w:val="1"/>
      <w:marLeft w:val="0"/>
      <w:marRight w:val="0"/>
      <w:marTop w:val="0"/>
      <w:marBottom w:val="0"/>
      <w:divBdr>
        <w:top w:val="none" w:sz="0" w:space="0" w:color="auto"/>
        <w:left w:val="none" w:sz="0" w:space="0" w:color="auto"/>
        <w:bottom w:val="none" w:sz="0" w:space="0" w:color="auto"/>
        <w:right w:val="none" w:sz="0" w:space="0" w:color="auto"/>
      </w:divBdr>
    </w:div>
    <w:div w:id="324939751">
      <w:bodyDiv w:val="1"/>
      <w:marLeft w:val="0"/>
      <w:marRight w:val="0"/>
      <w:marTop w:val="0"/>
      <w:marBottom w:val="0"/>
      <w:divBdr>
        <w:top w:val="none" w:sz="0" w:space="0" w:color="auto"/>
        <w:left w:val="none" w:sz="0" w:space="0" w:color="auto"/>
        <w:bottom w:val="none" w:sz="0" w:space="0" w:color="auto"/>
        <w:right w:val="none" w:sz="0" w:space="0" w:color="auto"/>
      </w:divBdr>
    </w:div>
    <w:div w:id="342827458">
      <w:bodyDiv w:val="1"/>
      <w:marLeft w:val="0"/>
      <w:marRight w:val="0"/>
      <w:marTop w:val="0"/>
      <w:marBottom w:val="0"/>
      <w:divBdr>
        <w:top w:val="none" w:sz="0" w:space="0" w:color="auto"/>
        <w:left w:val="none" w:sz="0" w:space="0" w:color="auto"/>
        <w:bottom w:val="none" w:sz="0" w:space="0" w:color="auto"/>
        <w:right w:val="none" w:sz="0" w:space="0" w:color="auto"/>
      </w:divBdr>
    </w:div>
    <w:div w:id="364329063">
      <w:bodyDiv w:val="1"/>
      <w:marLeft w:val="0"/>
      <w:marRight w:val="0"/>
      <w:marTop w:val="0"/>
      <w:marBottom w:val="0"/>
      <w:divBdr>
        <w:top w:val="none" w:sz="0" w:space="0" w:color="auto"/>
        <w:left w:val="none" w:sz="0" w:space="0" w:color="auto"/>
        <w:bottom w:val="none" w:sz="0" w:space="0" w:color="auto"/>
        <w:right w:val="none" w:sz="0" w:space="0" w:color="auto"/>
      </w:divBdr>
    </w:div>
    <w:div w:id="390231797">
      <w:bodyDiv w:val="1"/>
      <w:marLeft w:val="0"/>
      <w:marRight w:val="0"/>
      <w:marTop w:val="0"/>
      <w:marBottom w:val="0"/>
      <w:divBdr>
        <w:top w:val="none" w:sz="0" w:space="0" w:color="auto"/>
        <w:left w:val="none" w:sz="0" w:space="0" w:color="auto"/>
        <w:bottom w:val="none" w:sz="0" w:space="0" w:color="auto"/>
        <w:right w:val="none" w:sz="0" w:space="0" w:color="auto"/>
      </w:divBdr>
    </w:div>
    <w:div w:id="436949179">
      <w:bodyDiv w:val="1"/>
      <w:marLeft w:val="0"/>
      <w:marRight w:val="0"/>
      <w:marTop w:val="0"/>
      <w:marBottom w:val="0"/>
      <w:divBdr>
        <w:top w:val="none" w:sz="0" w:space="0" w:color="auto"/>
        <w:left w:val="none" w:sz="0" w:space="0" w:color="auto"/>
        <w:bottom w:val="none" w:sz="0" w:space="0" w:color="auto"/>
        <w:right w:val="none" w:sz="0" w:space="0" w:color="auto"/>
      </w:divBdr>
      <w:divsChild>
        <w:div w:id="415326342">
          <w:marLeft w:val="0"/>
          <w:marRight w:val="0"/>
          <w:marTop w:val="0"/>
          <w:marBottom w:val="0"/>
          <w:divBdr>
            <w:top w:val="none" w:sz="0" w:space="0" w:color="auto"/>
            <w:left w:val="none" w:sz="0" w:space="0" w:color="auto"/>
            <w:bottom w:val="none" w:sz="0" w:space="0" w:color="auto"/>
            <w:right w:val="none" w:sz="0" w:space="0" w:color="auto"/>
          </w:divBdr>
        </w:div>
      </w:divsChild>
    </w:div>
    <w:div w:id="439572633">
      <w:bodyDiv w:val="1"/>
      <w:marLeft w:val="0"/>
      <w:marRight w:val="0"/>
      <w:marTop w:val="0"/>
      <w:marBottom w:val="0"/>
      <w:divBdr>
        <w:top w:val="none" w:sz="0" w:space="0" w:color="auto"/>
        <w:left w:val="none" w:sz="0" w:space="0" w:color="auto"/>
        <w:bottom w:val="none" w:sz="0" w:space="0" w:color="auto"/>
        <w:right w:val="none" w:sz="0" w:space="0" w:color="auto"/>
      </w:divBdr>
    </w:div>
    <w:div w:id="444541072">
      <w:bodyDiv w:val="1"/>
      <w:marLeft w:val="0"/>
      <w:marRight w:val="0"/>
      <w:marTop w:val="0"/>
      <w:marBottom w:val="0"/>
      <w:divBdr>
        <w:top w:val="none" w:sz="0" w:space="0" w:color="auto"/>
        <w:left w:val="none" w:sz="0" w:space="0" w:color="auto"/>
        <w:bottom w:val="none" w:sz="0" w:space="0" w:color="auto"/>
        <w:right w:val="none" w:sz="0" w:space="0" w:color="auto"/>
      </w:divBdr>
    </w:div>
    <w:div w:id="472791356">
      <w:bodyDiv w:val="1"/>
      <w:marLeft w:val="0"/>
      <w:marRight w:val="0"/>
      <w:marTop w:val="0"/>
      <w:marBottom w:val="0"/>
      <w:divBdr>
        <w:top w:val="none" w:sz="0" w:space="0" w:color="auto"/>
        <w:left w:val="none" w:sz="0" w:space="0" w:color="auto"/>
        <w:bottom w:val="none" w:sz="0" w:space="0" w:color="auto"/>
        <w:right w:val="none" w:sz="0" w:space="0" w:color="auto"/>
      </w:divBdr>
    </w:div>
    <w:div w:id="604702064">
      <w:bodyDiv w:val="1"/>
      <w:marLeft w:val="0"/>
      <w:marRight w:val="0"/>
      <w:marTop w:val="0"/>
      <w:marBottom w:val="0"/>
      <w:divBdr>
        <w:top w:val="none" w:sz="0" w:space="0" w:color="auto"/>
        <w:left w:val="none" w:sz="0" w:space="0" w:color="auto"/>
        <w:bottom w:val="none" w:sz="0" w:space="0" w:color="auto"/>
        <w:right w:val="none" w:sz="0" w:space="0" w:color="auto"/>
      </w:divBdr>
    </w:div>
    <w:div w:id="650214022">
      <w:bodyDiv w:val="1"/>
      <w:marLeft w:val="0"/>
      <w:marRight w:val="0"/>
      <w:marTop w:val="0"/>
      <w:marBottom w:val="0"/>
      <w:divBdr>
        <w:top w:val="none" w:sz="0" w:space="0" w:color="auto"/>
        <w:left w:val="none" w:sz="0" w:space="0" w:color="auto"/>
        <w:bottom w:val="none" w:sz="0" w:space="0" w:color="auto"/>
        <w:right w:val="none" w:sz="0" w:space="0" w:color="auto"/>
      </w:divBdr>
    </w:div>
    <w:div w:id="674383012">
      <w:bodyDiv w:val="1"/>
      <w:marLeft w:val="0"/>
      <w:marRight w:val="0"/>
      <w:marTop w:val="0"/>
      <w:marBottom w:val="0"/>
      <w:divBdr>
        <w:top w:val="none" w:sz="0" w:space="0" w:color="auto"/>
        <w:left w:val="none" w:sz="0" w:space="0" w:color="auto"/>
        <w:bottom w:val="none" w:sz="0" w:space="0" w:color="auto"/>
        <w:right w:val="none" w:sz="0" w:space="0" w:color="auto"/>
      </w:divBdr>
    </w:div>
    <w:div w:id="695038542">
      <w:bodyDiv w:val="1"/>
      <w:marLeft w:val="0"/>
      <w:marRight w:val="0"/>
      <w:marTop w:val="0"/>
      <w:marBottom w:val="0"/>
      <w:divBdr>
        <w:top w:val="none" w:sz="0" w:space="0" w:color="auto"/>
        <w:left w:val="none" w:sz="0" w:space="0" w:color="auto"/>
        <w:bottom w:val="none" w:sz="0" w:space="0" w:color="auto"/>
        <w:right w:val="none" w:sz="0" w:space="0" w:color="auto"/>
      </w:divBdr>
      <w:divsChild>
        <w:div w:id="817500119">
          <w:marLeft w:val="0"/>
          <w:marRight w:val="0"/>
          <w:marTop w:val="0"/>
          <w:marBottom w:val="0"/>
          <w:divBdr>
            <w:top w:val="none" w:sz="0" w:space="0" w:color="auto"/>
            <w:left w:val="none" w:sz="0" w:space="0" w:color="auto"/>
            <w:bottom w:val="none" w:sz="0" w:space="0" w:color="auto"/>
            <w:right w:val="none" w:sz="0" w:space="0" w:color="auto"/>
          </w:divBdr>
        </w:div>
      </w:divsChild>
    </w:div>
    <w:div w:id="704795907">
      <w:bodyDiv w:val="1"/>
      <w:marLeft w:val="0"/>
      <w:marRight w:val="0"/>
      <w:marTop w:val="0"/>
      <w:marBottom w:val="0"/>
      <w:divBdr>
        <w:top w:val="none" w:sz="0" w:space="0" w:color="auto"/>
        <w:left w:val="none" w:sz="0" w:space="0" w:color="auto"/>
        <w:bottom w:val="none" w:sz="0" w:space="0" w:color="auto"/>
        <w:right w:val="none" w:sz="0" w:space="0" w:color="auto"/>
      </w:divBdr>
    </w:div>
    <w:div w:id="741173962">
      <w:bodyDiv w:val="1"/>
      <w:marLeft w:val="0"/>
      <w:marRight w:val="0"/>
      <w:marTop w:val="0"/>
      <w:marBottom w:val="0"/>
      <w:divBdr>
        <w:top w:val="none" w:sz="0" w:space="0" w:color="auto"/>
        <w:left w:val="none" w:sz="0" w:space="0" w:color="auto"/>
        <w:bottom w:val="none" w:sz="0" w:space="0" w:color="auto"/>
        <w:right w:val="none" w:sz="0" w:space="0" w:color="auto"/>
      </w:divBdr>
    </w:div>
    <w:div w:id="801650862">
      <w:bodyDiv w:val="1"/>
      <w:marLeft w:val="0"/>
      <w:marRight w:val="0"/>
      <w:marTop w:val="0"/>
      <w:marBottom w:val="0"/>
      <w:divBdr>
        <w:top w:val="none" w:sz="0" w:space="0" w:color="auto"/>
        <w:left w:val="none" w:sz="0" w:space="0" w:color="auto"/>
        <w:bottom w:val="none" w:sz="0" w:space="0" w:color="auto"/>
        <w:right w:val="none" w:sz="0" w:space="0" w:color="auto"/>
      </w:divBdr>
      <w:divsChild>
        <w:div w:id="1630437009">
          <w:marLeft w:val="0"/>
          <w:marRight w:val="0"/>
          <w:marTop w:val="0"/>
          <w:marBottom w:val="0"/>
          <w:divBdr>
            <w:top w:val="none" w:sz="0" w:space="0" w:color="auto"/>
            <w:left w:val="none" w:sz="0" w:space="0" w:color="auto"/>
            <w:bottom w:val="none" w:sz="0" w:space="0" w:color="auto"/>
            <w:right w:val="none" w:sz="0" w:space="0" w:color="auto"/>
          </w:divBdr>
        </w:div>
      </w:divsChild>
    </w:div>
    <w:div w:id="873811129">
      <w:bodyDiv w:val="1"/>
      <w:marLeft w:val="0"/>
      <w:marRight w:val="0"/>
      <w:marTop w:val="0"/>
      <w:marBottom w:val="0"/>
      <w:divBdr>
        <w:top w:val="none" w:sz="0" w:space="0" w:color="auto"/>
        <w:left w:val="none" w:sz="0" w:space="0" w:color="auto"/>
        <w:bottom w:val="none" w:sz="0" w:space="0" w:color="auto"/>
        <w:right w:val="none" w:sz="0" w:space="0" w:color="auto"/>
      </w:divBdr>
    </w:div>
    <w:div w:id="891694277">
      <w:bodyDiv w:val="1"/>
      <w:marLeft w:val="0"/>
      <w:marRight w:val="0"/>
      <w:marTop w:val="0"/>
      <w:marBottom w:val="0"/>
      <w:divBdr>
        <w:top w:val="none" w:sz="0" w:space="0" w:color="auto"/>
        <w:left w:val="none" w:sz="0" w:space="0" w:color="auto"/>
        <w:bottom w:val="none" w:sz="0" w:space="0" w:color="auto"/>
        <w:right w:val="none" w:sz="0" w:space="0" w:color="auto"/>
      </w:divBdr>
    </w:div>
    <w:div w:id="908081563">
      <w:bodyDiv w:val="1"/>
      <w:marLeft w:val="0"/>
      <w:marRight w:val="0"/>
      <w:marTop w:val="0"/>
      <w:marBottom w:val="0"/>
      <w:divBdr>
        <w:top w:val="none" w:sz="0" w:space="0" w:color="auto"/>
        <w:left w:val="none" w:sz="0" w:space="0" w:color="auto"/>
        <w:bottom w:val="none" w:sz="0" w:space="0" w:color="auto"/>
        <w:right w:val="none" w:sz="0" w:space="0" w:color="auto"/>
      </w:divBdr>
    </w:div>
    <w:div w:id="943076955">
      <w:bodyDiv w:val="1"/>
      <w:marLeft w:val="0"/>
      <w:marRight w:val="0"/>
      <w:marTop w:val="0"/>
      <w:marBottom w:val="0"/>
      <w:divBdr>
        <w:top w:val="none" w:sz="0" w:space="0" w:color="auto"/>
        <w:left w:val="none" w:sz="0" w:space="0" w:color="auto"/>
        <w:bottom w:val="none" w:sz="0" w:space="0" w:color="auto"/>
        <w:right w:val="none" w:sz="0" w:space="0" w:color="auto"/>
      </w:divBdr>
    </w:div>
    <w:div w:id="972952252">
      <w:bodyDiv w:val="1"/>
      <w:marLeft w:val="0"/>
      <w:marRight w:val="0"/>
      <w:marTop w:val="0"/>
      <w:marBottom w:val="0"/>
      <w:divBdr>
        <w:top w:val="none" w:sz="0" w:space="0" w:color="auto"/>
        <w:left w:val="none" w:sz="0" w:space="0" w:color="auto"/>
        <w:bottom w:val="none" w:sz="0" w:space="0" w:color="auto"/>
        <w:right w:val="none" w:sz="0" w:space="0" w:color="auto"/>
      </w:divBdr>
    </w:div>
    <w:div w:id="993605371">
      <w:bodyDiv w:val="1"/>
      <w:marLeft w:val="0"/>
      <w:marRight w:val="0"/>
      <w:marTop w:val="0"/>
      <w:marBottom w:val="0"/>
      <w:divBdr>
        <w:top w:val="none" w:sz="0" w:space="0" w:color="auto"/>
        <w:left w:val="none" w:sz="0" w:space="0" w:color="auto"/>
        <w:bottom w:val="none" w:sz="0" w:space="0" w:color="auto"/>
        <w:right w:val="none" w:sz="0" w:space="0" w:color="auto"/>
      </w:divBdr>
    </w:div>
    <w:div w:id="1006833531">
      <w:bodyDiv w:val="1"/>
      <w:marLeft w:val="0"/>
      <w:marRight w:val="0"/>
      <w:marTop w:val="0"/>
      <w:marBottom w:val="0"/>
      <w:divBdr>
        <w:top w:val="none" w:sz="0" w:space="0" w:color="auto"/>
        <w:left w:val="none" w:sz="0" w:space="0" w:color="auto"/>
        <w:bottom w:val="none" w:sz="0" w:space="0" w:color="auto"/>
        <w:right w:val="none" w:sz="0" w:space="0" w:color="auto"/>
      </w:divBdr>
    </w:div>
    <w:div w:id="1021928626">
      <w:bodyDiv w:val="1"/>
      <w:marLeft w:val="0"/>
      <w:marRight w:val="0"/>
      <w:marTop w:val="0"/>
      <w:marBottom w:val="0"/>
      <w:divBdr>
        <w:top w:val="none" w:sz="0" w:space="0" w:color="auto"/>
        <w:left w:val="none" w:sz="0" w:space="0" w:color="auto"/>
        <w:bottom w:val="none" w:sz="0" w:space="0" w:color="auto"/>
        <w:right w:val="none" w:sz="0" w:space="0" w:color="auto"/>
      </w:divBdr>
    </w:div>
    <w:div w:id="1059745004">
      <w:bodyDiv w:val="1"/>
      <w:marLeft w:val="0"/>
      <w:marRight w:val="0"/>
      <w:marTop w:val="0"/>
      <w:marBottom w:val="0"/>
      <w:divBdr>
        <w:top w:val="none" w:sz="0" w:space="0" w:color="auto"/>
        <w:left w:val="none" w:sz="0" w:space="0" w:color="auto"/>
        <w:bottom w:val="none" w:sz="0" w:space="0" w:color="auto"/>
        <w:right w:val="none" w:sz="0" w:space="0" w:color="auto"/>
      </w:divBdr>
    </w:div>
    <w:div w:id="1107576423">
      <w:bodyDiv w:val="1"/>
      <w:marLeft w:val="0"/>
      <w:marRight w:val="0"/>
      <w:marTop w:val="0"/>
      <w:marBottom w:val="0"/>
      <w:divBdr>
        <w:top w:val="none" w:sz="0" w:space="0" w:color="auto"/>
        <w:left w:val="none" w:sz="0" w:space="0" w:color="auto"/>
        <w:bottom w:val="none" w:sz="0" w:space="0" w:color="auto"/>
        <w:right w:val="none" w:sz="0" w:space="0" w:color="auto"/>
      </w:divBdr>
    </w:div>
    <w:div w:id="1160578839">
      <w:bodyDiv w:val="1"/>
      <w:marLeft w:val="0"/>
      <w:marRight w:val="0"/>
      <w:marTop w:val="0"/>
      <w:marBottom w:val="0"/>
      <w:divBdr>
        <w:top w:val="none" w:sz="0" w:space="0" w:color="auto"/>
        <w:left w:val="none" w:sz="0" w:space="0" w:color="auto"/>
        <w:bottom w:val="none" w:sz="0" w:space="0" w:color="auto"/>
        <w:right w:val="none" w:sz="0" w:space="0" w:color="auto"/>
      </w:divBdr>
    </w:div>
    <w:div w:id="1208447516">
      <w:bodyDiv w:val="1"/>
      <w:marLeft w:val="0"/>
      <w:marRight w:val="0"/>
      <w:marTop w:val="0"/>
      <w:marBottom w:val="0"/>
      <w:divBdr>
        <w:top w:val="none" w:sz="0" w:space="0" w:color="auto"/>
        <w:left w:val="none" w:sz="0" w:space="0" w:color="auto"/>
        <w:bottom w:val="none" w:sz="0" w:space="0" w:color="auto"/>
        <w:right w:val="none" w:sz="0" w:space="0" w:color="auto"/>
      </w:divBdr>
    </w:div>
    <w:div w:id="1234899629">
      <w:bodyDiv w:val="1"/>
      <w:marLeft w:val="0"/>
      <w:marRight w:val="0"/>
      <w:marTop w:val="0"/>
      <w:marBottom w:val="0"/>
      <w:divBdr>
        <w:top w:val="none" w:sz="0" w:space="0" w:color="auto"/>
        <w:left w:val="none" w:sz="0" w:space="0" w:color="auto"/>
        <w:bottom w:val="none" w:sz="0" w:space="0" w:color="auto"/>
        <w:right w:val="none" w:sz="0" w:space="0" w:color="auto"/>
      </w:divBdr>
    </w:div>
    <w:div w:id="1248659565">
      <w:bodyDiv w:val="1"/>
      <w:marLeft w:val="0"/>
      <w:marRight w:val="0"/>
      <w:marTop w:val="0"/>
      <w:marBottom w:val="0"/>
      <w:divBdr>
        <w:top w:val="none" w:sz="0" w:space="0" w:color="auto"/>
        <w:left w:val="none" w:sz="0" w:space="0" w:color="auto"/>
        <w:bottom w:val="none" w:sz="0" w:space="0" w:color="auto"/>
        <w:right w:val="none" w:sz="0" w:space="0" w:color="auto"/>
      </w:divBdr>
    </w:div>
    <w:div w:id="1289436715">
      <w:bodyDiv w:val="1"/>
      <w:marLeft w:val="0"/>
      <w:marRight w:val="0"/>
      <w:marTop w:val="0"/>
      <w:marBottom w:val="0"/>
      <w:divBdr>
        <w:top w:val="none" w:sz="0" w:space="0" w:color="auto"/>
        <w:left w:val="none" w:sz="0" w:space="0" w:color="auto"/>
        <w:bottom w:val="none" w:sz="0" w:space="0" w:color="auto"/>
        <w:right w:val="none" w:sz="0" w:space="0" w:color="auto"/>
      </w:divBdr>
    </w:div>
    <w:div w:id="1331104620">
      <w:bodyDiv w:val="1"/>
      <w:marLeft w:val="0"/>
      <w:marRight w:val="0"/>
      <w:marTop w:val="0"/>
      <w:marBottom w:val="0"/>
      <w:divBdr>
        <w:top w:val="none" w:sz="0" w:space="0" w:color="auto"/>
        <w:left w:val="none" w:sz="0" w:space="0" w:color="auto"/>
        <w:bottom w:val="none" w:sz="0" w:space="0" w:color="auto"/>
        <w:right w:val="none" w:sz="0" w:space="0" w:color="auto"/>
      </w:divBdr>
    </w:div>
    <w:div w:id="1386486595">
      <w:bodyDiv w:val="1"/>
      <w:marLeft w:val="0"/>
      <w:marRight w:val="0"/>
      <w:marTop w:val="0"/>
      <w:marBottom w:val="0"/>
      <w:divBdr>
        <w:top w:val="none" w:sz="0" w:space="0" w:color="auto"/>
        <w:left w:val="none" w:sz="0" w:space="0" w:color="auto"/>
        <w:bottom w:val="none" w:sz="0" w:space="0" w:color="auto"/>
        <w:right w:val="none" w:sz="0" w:space="0" w:color="auto"/>
      </w:divBdr>
    </w:div>
    <w:div w:id="1425959146">
      <w:bodyDiv w:val="1"/>
      <w:marLeft w:val="0"/>
      <w:marRight w:val="0"/>
      <w:marTop w:val="0"/>
      <w:marBottom w:val="0"/>
      <w:divBdr>
        <w:top w:val="none" w:sz="0" w:space="0" w:color="auto"/>
        <w:left w:val="none" w:sz="0" w:space="0" w:color="auto"/>
        <w:bottom w:val="none" w:sz="0" w:space="0" w:color="auto"/>
        <w:right w:val="none" w:sz="0" w:space="0" w:color="auto"/>
      </w:divBdr>
    </w:div>
    <w:div w:id="1454324243">
      <w:bodyDiv w:val="1"/>
      <w:marLeft w:val="0"/>
      <w:marRight w:val="0"/>
      <w:marTop w:val="0"/>
      <w:marBottom w:val="0"/>
      <w:divBdr>
        <w:top w:val="none" w:sz="0" w:space="0" w:color="auto"/>
        <w:left w:val="none" w:sz="0" w:space="0" w:color="auto"/>
        <w:bottom w:val="none" w:sz="0" w:space="0" w:color="auto"/>
        <w:right w:val="none" w:sz="0" w:space="0" w:color="auto"/>
      </w:divBdr>
    </w:div>
    <w:div w:id="1473790008">
      <w:bodyDiv w:val="1"/>
      <w:marLeft w:val="0"/>
      <w:marRight w:val="0"/>
      <w:marTop w:val="0"/>
      <w:marBottom w:val="0"/>
      <w:divBdr>
        <w:top w:val="none" w:sz="0" w:space="0" w:color="auto"/>
        <w:left w:val="none" w:sz="0" w:space="0" w:color="auto"/>
        <w:bottom w:val="none" w:sz="0" w:space="0" w:color="auto"/>
        <w:right w:val="none" w:sz="0" w:space="0" w:color="auto"/>
      </w:divBdr>
    </w:div>
    <w:div w:id="1522814427">
      <w:bodyDiv w:val="1"/>
      <w:marLeft w:val="0"/>
      <w:marRight w:val="0"/>
      <w:marTop w:val="0"/>
      <w:marBottom w:val="0"/>
      <w:divBdr>
        <w:top w:val="none" w:sz="0" w:space="0" w:color="auto"/>
        <w:left w:val="none" w:sz="0" w:space="0" w:color="auto"/>
        <w:bottom w:val="none" w:sz="0" w:space="0" w:color="auto"/>
        <w:right w:val="none" w:sz="0" w:space="0" w:color="auto"/>
      </w:divBdr>
    </w:div>
    <w:div w:id="1552305527">
      <w:bodyDiv w:val="1"/>
      <w:marLeft w:val="0"/>
      <w:marRight w:val="0"/>
      <w:marTop w:val="0"/>
      <w:marBottom w:val="0"/>
      <w:divBdr>
        <w:top w:val="none" w:sz="0" w:space="0" w:color="auto"/>
        <w:left w:val="none" w:sz="0" w:space="0" w:color="auto"/>
        <w:bottom w:val="none" w:sz="0" w:space="0" w:color="auto"/>
        <w:right w:val="none" w:sz="0" w:space="0" w:color="auto"/>
      </w:divBdr>
    </w:div>
    <w:div w:id="1628661926">
      <w:bodyDiv w:val="1"/>
      <w:marLeft w:val="0"/>
      <w:marRight w:val="0"/>
      <w:marTop w:val="0"/>
      <w:marBottom w:val="0"/>
      <w:divBdr>
        <w:top w:val="none" w:sz="0" w:space="0" w:color="auto"/>
        <w:left w:val="none" w:sz="0" w:space="0" w:color="auto"/>
        <w:bottom w:val="none" w:sz="0" w:space="0" w:color="auto"/>
        <w:right w:val="none" w:sz="0" w:space="0" w:color="auto"/>
      </w:divBdr>
    </w:div>
    <w:div w:id="1644848196">
      <w:bodyDiv w:val="1"/>
      <w:marLeft w:val="0"/>
      <w:marRight w:val="0"/>
      <w:marTop w:val="0"/>
      <w:marBottom w:val="0"/>
      <w:divBdr>
        <w:top w:val="none" w:sz="0" w:space="0" w:color="auto"/>
        <w:left w:val="none" w:sz="0" w:space="0" w:color="auto"/>
        <w:bottom w:val="none" w:sz="0" w:space="0" w:color="auto"/>
        <w:right w:val="none" w:sz="0" w:space="0" w:color="auto"/>
      </w:divBdr>
    </w:div>
    <w:div w:id="1710448534">
      <w:bodyDiv w:val="1"/>
      <w:marLeft w:val="0"/>
      <w:marRight w:val="0"/>
      <w:marTop w:val="0"/>
      <w:marBottom w:val="0"/>
      <w:divBdr>
        <w:top w:val="none" w:sz="0" w:space="0" w:color="auto"/>
        <w:left w:val="none" w:sz="0" w:space="0" w:color="auto"/>
        <w:bottom w:val="none" w:sz="0" w:space="0" w:color="auto"/>
        <w:right w:val="none" w:sz="0" w:space="0" w:color="auto"/>
      </w:divBdr>
    </w:div>
    <w:div w:id="1723942479">
      <w:bodyDiv w:val="1"/>
      <w:marLeft w:val="0"/>
      <w:marRight w:val="0"/>
      <w:marTop w:val="0"/>
      <w:marBottom w:val="0"/>
      <w:divBdr>
        <w:top w:val="none" w:sz="0" w:space="0" w:color="auto"/>
        <w:left w:val="none" w:sz="0" w:space="0" w:color="auto"/>
        <w:bottom w:val="none" w:sz="0" w:space="0" w:color="auto"/>
        <w:right w:val="none" w:sz="0" w:space="0" w:color="auto"/>
      </w:divBdr>
    </w:div>
    <w:div w:id="1735271903">
      <w:bodyDiv w:val="1"/>
      <w:marLeft w:val="0"/>
      <w:marRight w:val="0"/>
      <w:marTop w:val="0"/>
      <w:marBottom w:val="0"/>
      <w:divBdr>
        <w:top w:val="none" w:sz="0" w:space="0" w:color="auto"/>
        <w:left w:val="none" w:sz="0" w:space="0" w:color="auto"/>
        <w:bottom w:val="none" w:sz="0" w:space="0" w:color="auto"/>
        <w:right w:val="none" w:sz="0" w:space="0" w:color="auto"/>
      </w:divBdr>
    </w:div>
    <w:div w:id="1769811528">
      <w:bodyDiv w:val="1"/>
      <w:marLeft w:val="0"/>
      <w:marRight w:val="0"/>
      <w:marTop w:val="0"/>
      <w:marBottom w:val="0"/>
      <w:divBdr>
        <w:top w:val="none" w:sz="0" w:space="0" w:color="auto"/>
        <w:left w:val="none" w:sz="0" w:space="0" w:color="auto"/>
        <w:bottom w:val="none" w:sz="0" w:space="0" w:color="auto"/>
        <w:right w:val="none" w:sz="0" w:space="0" w:color="auto"/>
      </w:divBdr>
    </w:div>
    <w:div w:id="1805928526">
      <w:bodyDiv w:val="1"/>
      <w:marLeft w:val="0"/>
      <w:marRight w:val="0"/>
      <w:marTop w:val="0"/>
      <w:marBottom w:val="0"/>
      <w:divBdr>
        <w:top w:val="none" w:sz="0" w:space="0" w:color="auto"/>
        <w:left w:val="none" w:sz="0" w:space="0" w:color="auto"/>
        <w:bottom w:val="none" w:sz="0" w:space="0" w:color="auto"/>
        <w:right w:val="none" w:sz="0" w:space="0" w:color="auto"/>
      </w:divBdr>
    </w:div>
    <w:div w:id="1815217220">
      <w:bodyDiv w:val="1"/>
      <w:marLeft w:val="0"/>
      <w:marRight w:val="0"/>
      <w:marTop w:val="0"/>
      <w:marBottom w:val="0"/>
      <w:divBdr>
        <w:top w:val="none" w:sz="0" w:space="0" w:color="auto"/>
        <w:left w:val="none" w:sz="0" w:space="0" w:color="auto"/>
        <w:bottom w:val="none" w:sz="0" w:space="0" w:color="auto"/>
        <w:right w:val="none" w:sz="0" w:space="0" w:color="auto"/>
      </w:divBdr>
    </w:div>
    <w:div w:id="1822772938">
      <w:bodyDiv w:val="1"/>
      <w:marLeft w:val="0"/>
      <w:marRight w:val="0"/>
      <w:marTop w:val="0"/>
      <w:marBottom w:val="0"/>
      <w:divBdr>
        <w:top w:val="none" w:sz="0" w:space="0" w:color="auto"/>
        <w:left w:val="none" w:sz="0" w:space="0" w:color="auto"/>
        <w:bottom w:val="none" w:sz="0" w:space="0" w:color="auto"/>
        <w:right w:val="none" w:sz="0" w:space="0" w:color="auto"/>
      </w:divBdr>
    </w:div>
    <w:div w:id="1905335883">
      <w:bodyDiv w:val="1"/>
      <w:marLeft w:val="0"/>
      <w:marRight w:val="0"/>
      <w:marTop w:val="0"/>
      <w:marBottom w:val="0"/>
      <w:divBdr>
        <w:top w:val="none" w:sz="0" w:space="0" w:color="auto"/>
        <w:left w:val="none" w:sz="0" w:space="0" w:color="auto"/>
        <w:bottom w:val="none" w:sz="0" w:space="0" w:color="auto"/>
        <w:right w:val="none" w:sz="0" w:space="0" w:color="auto"/>
      </w:divBdr>
    </w:div>
    <w:div w:id="1918242152">
      <w:bodyDiv w:val="1"/>
      <w:marLeft w:val="0"/>
      <w:marRight w:val="0"/>
      <w:marTop w:val="0"/>
      <w:marBottom w:val="0"/>
      <w:divBdr>
        <w:top w:val="none" w:sz="0" w:space="0" w:color="auto"/>
        <w:left w:val="none" w:sz="0" w:space="0" w:color="auto"/>
        <w:bottom w:val="none" w:sz="0" w:space="0" w:color="auto"/>
        <w:right w:val="none" w:sz="0" w:space="0" w:color="auto"/>
      </w:divBdr>
    </w:div>
    <w:div w:id="1919903908">
      <w:bodyDiv w:val="1"/>
      <w:marLeft w:val="0"/>
      <w:marRight w:val="0"/>
      <w:marTop w:val="0"/>
      <w:marBottom w:val="0"/>
      <w:divBdr>
        <w:top w:val="none" w:sz="0" w:space="0" w:color="auto"/>
        <w:left w:val="none" w:sz="0" w:space="0" w:color="auto"/>
        <w:bottom w:val="none" w:sz="0" w:space="0" w:color="auto"/>
        <w:right w:val="none" w:sz="0" w:space="0" w:color="auto"/>
      </w:divBdr>
      <w:divsChild>
        <w:div w:id="1272201734">
          <w:marLeft w:val="0"/>
          <w:marRight w:val="0"/>
          <w:marTop w:val="0"/>
          <w:marBottom w:val="0"/>
          <w:divBdr>
            <w:top w:val="none" w:sz="0" w:space="0" w:color="auto"/>
            <w:left w:val="none" w:sz="0" w:space="0" w:color="auto"/>
            <w:bottom w:val="none" w:sz="0" w:space="0" w:color="auto"/>
            <w:right w:val="none" w:sz="0" w:space="0" w:color="auto"/>
          </w:divBdr>
        </w:div>
      </w:divsChild>
    </w:div>
    <w:div w:id="1997033409">
      <w:bodyDiv w:val="1"/>
      <w:marLeft w:val="0"/>
      <w:marRight w:val="0"/>
      <w:marTop w:val="0"/>
      <w:marBottom w:val="0"/>
      <w:divBdr>
        <w:top w:val="none" w:sz="0" w:space="0" w:color="auto"/>
        <w:left w:val="none" w:sz="0" w:space="0" w:color="auto"/>
        <w:bottom w:val="none" w:sz="0" w:space="0" w:color="auto"/>
        <w:right w:val="none" w:sz="0" w:space="0" w:color="auto"/>
      </w:divBdr>
    </w:div>
    <w:div w:id="1999648874">
      <w:bodyDiv w:val="1"/>
      <w:marLeft w:val="0"/>
      <w:marRight w:val="0"/>
      <w:marTop w:val="0"/>
      <w:marBottom w:val="0"/>
      <w:divBdr>
        <w:top w:val="none" w:sz="0" w:space="0" w:color="auto"/>
        <w:left w:val="none" w:sz="0" w:space="0" w:color="auto"/>
        <w:bottom w:val="none" w:sz="0" w:space="0" w:color="auto"/>
        <w:right w:val="none" w:sz="0" w:space="0" w:color="auto"/>
      </w:divBdr>
    </w:div>
    <w:div w:id="2010519339">
      <w:bodyDiv w:val="1"/>
      <w:marLeft w:val="0"/>
      <w:marRight w:val="0"/>
      <w:marTop w:val="0"/>
      <w:marBottom w:val="0"/>
      <w:divBdr>
        <w:top w:val="none" w:sz="0" w:space="0" w:color="auto"/>
        <w:left w:val="none" w:sz="0" w:space="0" w:color="auto"/>
        <w:bottom w:val="none" w:sz="0" w:space="0" w:color="auto"/>
        <w:right w:val="none" w:sz="0" w:space="0" w:color="auto"/>
      </w:divBdr>
    </w:div>
    <w:div w:id="2058966726">
      <w:bodyDiv w:val="1"/>
      <w:marLeft w:val="0"/>
      <w:marRight w:val="0"/>
      <w:marTop w:val="0"/>
      <w:marBottom w:val="0"/>
      <w:divBdr>
        <w:top w:val="none" w:sz="0" w:space="0" w:color="auto"/>
        <w:left w:val="none" w:sz="0" w:space="0" w:color="auto"/>
        <w:bottom w:val="none" w:sz="0" w:space="0" w:color="auto"/>
        <w:right w:val="none" w:sz="0" w:space="0" w:color="auto"/>
      </w:divBdr>
    </w:div>
    <w:div w:id="2071615430">
      <w:bodyDiv w:val="1"/>
      <w:marLeft w:val="0"/>
      <w:marRight w:val="0"/>
      <w:marTop w:val="0"/>
      <w:marBottom w:val="0"/>
      <w:divBdr>
        <w:top w:val="none" w:sz="0" w:space="0" w:color="auto"/>
        <w:left w:val="none" w:sz="0" w:space="0" w:color="auto"/>
        <w:bottom w:val="none" w:sz="0" w:space="0" w:color="auto"/>
        <w:right w:val="none" w:sz="0" w:space="0" w:color="auto"/>
      </w:divBdr>
    </w:div>
    <w:div w:id="2097238003">
      <w:bodyDiv w:val="1"/>
      <w:marLeft w:val="0"/>
      <w:marRight w:val="0"/>
      <w:marTop w:val="0"/>
      <w:marBottom w:val="0"/>
      <w:divBdr>
        <w:top w:val="none" w:sz="0" w:space="0" w:color="auto"/>
        <w:left w:val="none" w:sz="0" w:space="0" w:color="auto"/>
        <w:bottom w:val="none" w:sz="0" w:space="0" w:color="auto"/>
        <w:right w:val="none" w:sz="0" w:space="0" w:color="auto"/>
      </w:divBdr>
    </w:div>
    <w:div w:id="2102942688">
      <w:bodyDiv w:val="1"/>
      <w:marLeft w:val="0"/>
      <w:marRight w:val="0"/>
      <w:marTop w:val="0"/>
      <w:marBottom w:val="0"/>
      <w:divBdr>
        <w:top w:val="none" w:sz="0" w:space="0" w:color="auto"/>
        <w:left w:val="none" w:sz="0" w:space="0" w:color="auto"/>
        <w:bottom w:val="none" w:sz="0" w:space="0" w:color="auto"/>
        <w:right w:val="none" w:sz="0" w:space="0" w:color="auto"/>
      </w:divBdr>
      <w:divsChild>
        <w:div w:id="303587828">
          <w:marLeft w:val="0"/>
          <w:marRight w:val="0"/>
          <w:marTop w:val="0"/>
          <w:marBottom w:val="0"/>
          <w:divBdr>
            <w:top w:val="none" w:sz="0" w:space="0" w:color="auto"/>
            <w:left w:val="none" w:sz="0" w:space="0" w:color="auto"/>
            <w:bottom w:val="none" w:sz="0" w:space="0" w:color="auto"/>
            <w:right w:val="none" w:sz="0" w:space="0" w:color="auto"/>
          </w:divBdr>
        </w:div>
      </w:divsChild>
    </w:div>
    <w:div w:id="21237230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Morbo\vol_grp\GROUPS\800\840\843\23%20envi.%20podm&#237;nky%20EU%20fondy\Aktualizace%20vod&#237;tek%20DNSH%202024\Konzultace%20v&#283;cn&#253;ch%20odbor&#367;\Vstupy\navod_georeport_fin.pdf" TargetMode="External"/><Relationship Id="rId21" Type="http://schemas.openxmlformats.org/officeDocument/2006/relationships/header" Target="header1.xml"/><Relationship Id="rId42" Type="http://schemas.openxmlformats.org/officeDocument/2006/relationships/hyperlink" Target="https://www.ebrd.com/news/publications/policies/environmental-and-social-policy-esp.html" TargetMode="External"/><Relationship Id="rId63" Type="http://schemas.openxmlformats.org/officeDocument/2006/relationships/image" Target="media/image5.png"/><Relationship Id="rId84" Type="http://schemas.openxmlformats.org/officeDocument/2006/relationships/hyperlink" Target="https://www.perun-klima.cz/results.html" TargetMode="External"/><Relationship Id="rId138" Type="http://schemas.openxmlformats.org/officeDocument/2006/relationships/hyperlink" Target="https://darksky.org/resources/guides-and-how-tos/lighting-principles/" TargetMode="External"/><Relationship Id="rId159" Type="http://schemas.openxmlformats.org/officeDocument/2006/relationships/hyperlink" Target="http://www.recyklujmestavby.cz/" TargetMode="External"/><Relationship Id="rId170" Type="http://schemas.openxmlformats.org/officeDocument/2006/relationships/hyperlink" Target="https://eur-lex.europa.eu/legal-content/CS/TXT/?uri=CELEX%3A02021R1060-20210630&amp;qid=1659091609743" TargetMode="External"/><Relationship Id="rId107" Type="http://schemas.openxmlformats.org/officeDocument/2006/relationships/hyperlink" Target="https://ec.europa.eu/sustainable-finance-taxonomy/taxonomy-compass" TargetMode="External"/><Relationship Id="rId11" Type="http://schemas.openxmlformats.org/officeDocument/2006/relationships/hyperlink" Target="https://eur-lex.europa.eu/legal-content/CS/TXT/?uri=CELEX:32023R2485" TargetMode="External"/><Relationship Id="rId32" Type="http://schemas.openxmlformats.org/officeDocument/2006/relationships/hyperlink" Target="https://eur-lex.europa.eu/legal-content/CS/ALL/?uri=CELEX%3A32021R1058" TargetMode="External"/><Relationship Id="rId53" Type="http://schemas.openxmlformats.org/officeDocument/2006/relationships/diagramData" Target="diagrams/data1.xml"/><Relationship Id="rId74" Type="http://schemas.openxmlformats.org/officeDocument/2006/relationships/hyperlink" Target="https://ghgprotocol.org/corporate-standard" TargetMode="External"/><Relationship Id="rId128" Type="http://schemas.openxmlformats.org/officeDocument/2006/relationships/hyperlink" Target="https://eur-lex.europa.eu/legal-content/CS/TXT/?uri=CELEX%3A02021R2178-20240101" TargetMode="External"/><Relationship Id="rId149" Type="http://schemas.openxmlformats.org/officeDocument/2006/relationships/hyperlink" Target="http://www.recyklujmestavby.cz/" TargetMode="External"/><Relationship Id="rId5" Type="http://schemas.openxmlformats.org/officeDocument/2006/relationships/webSettings" Target="webSettings.xml"/><Relationship Id="rId95" Type="http://schemas.openxmlformats.org/officeDocument/2006/relationships/hyperlink" Target="https://ec.europa.eu/sustainable-finance-taxonomy/taxonomy-compass" TargetMode="External"/><Relationship Id="rId160" Type="http://schemas.openxmlformats.org/officeDocument/2006/relationships/hyperlink" Target="https://eur-lex.europa.eu/legal-content/CS/TXT/?uri=CELEX%3A02021R1060-20210630&amp;qid=1659091609743" TargetMode="External"/><Relationship Id="rId181" Type="http://schemas.openxmlformats.org/officeDocument/2006/relationships/hyperlink" Target="https://eur-lex.europa.eu/legal-content/CS/TXT/?uri=CELEX%3A52022XC0218%2803%29&amp;qid=1727685433517" TargetMode="External"/><Relationship Id="rId22" Type="http://schemas.openxmlformats.org/officeDocument/2006/relationships/footer" Target="footer1.xml"/><Relationship Id="rId43" Type="http://schemas.openxmlformats.org/officeDocument/2006/relationships/hyperlink" Target="https://www.ebrd.com/paris-agreement-methodology.pdf" TargetMode="External"/><Relationship Id="rId64" Type="http://schemas.openxmlformats.org/officeDocument/2006/relationships/image" Target="media/image6.png"/><Relationship Id="rId118" Type="http://schemas.openxmlformats.org/officeDocument/2006/relationships/hyperlink" Target="https://mzp.gov.cz/cz/agenda/priroda-a-krajina/hodnoceni-vlivu-zasahu-na-prirodu-a-krajinu" TargetMode="External"/><Relationship Id="rId139" Type="http://schemas.openxmlformats.org/officeDocument/2006/relationships/hyperlink" Target="https://echa.europa.eu/cs/candidate-list-table" TargetMode="External"/><Relationship Id="rId85" Type="http://schemas.openxmlformats.org/officeDocument/2006/relationships/hyperlink" Target="https://mzp.gov.cz/system/files/2025-05/OAZK-Zprava_o_adaptaci_CR_na_zmenu_klimatu_2025-20250520.pdf" TargetMode="External"/><Relationship Id="rId150" Type="http://schemas.openxmlformats.org/officeDocument/2006/relationships/hyperlink" Target="http://www.recyklujmestavby.cz/" TargetMode="External"/><Relationship Id="rId171" Type="http://schemas.openxmlformats.org/officeDocument/2006/relationships/hyperlink" Target="https://eur-lex.europa.eu/legal-content/CS/TXT/?uri=CELEX%3A02021R1060-20210630&amp;qid=1659091609743" TargetMode="External"/><Relationship Id="rId12" Type="http://schemas.openxmlformats.org/officeDocument/2006/relationships/hyperlink" Target="https://eur-lex.europa.eu/legal-content/CS/TXT/?uri=CELEX:32023R2486" TargetMode="External"/><Relationship Id="rId33" Type="http://schemas.openxmlformats.org/officeDocument/2006/relationships/hyperlink" Target="https://eur-lex.europa.eu/legal-content/CS/TXT/?uri=celex%3A32021R1056" TargetMode="External"/><Relationship Id="rId108" Type="http://schemas.openxmlformats.org/officeDocument/2006/relationships/hyperlink" Target="https://www.mfcr.cz/cs/ministerstvo/financovani-udrzitelnosti/projekty/projekt-mapovani-taxonomie-eu" TargetMode="External"/><Relationship Id="rId129" Type="http://schemas.openxmlformats.org/officeDocument/2006/relationships/hyperlink" Target="https://ec.europa.eu/sustainable-finance-taxonomy/home" TargetMode="External"/><Relationship Id="rId54" Type="http://schemas.openxmlformats.org/officeDocument/2006/relationships/diagramLayout" Target="diagrams/layout1.xml"/><Relationship Id="rId75" Type="http://schemas.openxmlformats.org/officeDocument/2006/relationships/image" Target="media/image7.png"/><Relationship Id="rId96" Type="http://schemas.openxmlformats.org/officeDocument/2006/relationships/image" Target="media/image10.png"/><Relationship Id="rId140" Type="http://schemas.openxmlformats.org/officeDocument/2006/relationships/hyperlink" Target="https://eur-lex.europa.eu/legal-content/CS/TXT/HTML/?uri=CELEX:01992L0043-20130701&amp;from=EN" TargetMode="External"/><Relationship Id="rId161" Type="http://schemas.openxmlformats.org/officeDocument/2006/relationships/hyperlink" Target="https://eur-lex.europa.eu/legal-content/CS/TXT/?uri=CELEX%3A02021R1060-20210630&amp;qid=1659091609743" TargetMode="External"/><Relationship Id="rId182" Type="http://schemas.openxmlformats.org/officeDocument/2006/relationships/hyperlink" Target="https://eur-lex.europa.eu/legal-content/CS/TXT/?uri=CELEX%3A52021XC0429%2801%29&amp;qid=1727686167231" TargetMode="External"/><Relationship Id="rId6" Type="http://schemas.openxmlformats.org/officeDocument/2006/relationships/footnotes" Target="footnotes.xml"/><Relationship Id="rId23" Type="http://schemas.openxmlformats.org/officeDocument/2006/relationships/footer" Target="footer2.xml"/><Relationship Id="rId119" Type="http://schemas.openxmlformats.org/officeDocument/2006/relationships/hyperlink" Target="https://aopk.gov.cz/web/cz/platne-standardy" TargetMode="External"/><Relationship Id="rId44" Type="http://schemas.openxmlformats.org/officeDocument/2006/relationships/hyperlink" Target="https://www.eib.org/en/publications/the-eib-group-climate-bank-roadmap" TargetMode="External"/><Relationship Id="rId65" Type="http://schemas.openxmlformats.org/officeDocument/2006/relationships/hyperlink" Target="https://www.efrag.org/Assets/Download?assetUrl=%2Fsites%2Fwebpublishing%2FSiteAssets%2F08%2520Draft%2520ESRS%2520E1%2520Climate%2520Change%2520November%25202022.pdf" TargetMode="External"/><Relationship Id="rId86" Type="http://schemas.openxmlformats.org/officeDocument/2006/relationships/hyperlink" Target="https://mzp.gov.cz/system/files/2025-03/OAZK_Narodni_adaptacni_strategie-aktualizace_20211026.pdf" TargetMode="External"/><Relationship Id="rId130" Type="http://schemas.openxmlformats.org/officeDocument/2006/relationships/hyperlink" Target="https://eur-lex.europa.eu/legal-content/EN/TXT/?uri=CELEX%3A32023R2772" TargetMode="External"/><Relationship Id="rId151" Type="http://schemas.openxmlformats.org/officeDocument/2006/relationships/hyperlink" Target="https://darksky.org/resources/guides-and-how-tos/lighting-principles/" TargetMode="External"/><Relationship Id="rId172" Type="http://schemas.openxmlformats.org/officeDocument/2006/relationships/hyperlink" Target="https://eur-lex.europa.eu/legal-content/CS/TXT/?uri=CELEX%3A02021R1060-20210630&amp;qid=1659091609743" TargetMode="External"/><Relationship Id="rId13" Type="http://schemas.openxmlformats.org/officeDocument/2006/relationships/hyperlink" Target="https://eur-lex.europa.eu/legal-content/CS/TXT/HTML/?uri=CELEX:32021H1749&amp;from=EN" TargetMode="External"/><Relationship Id="rId18" Type="http://schemas.openxmlformats.org/officeDocument/2006/relationships/hyperlink" Target="https://ec.europa.eu/info/sites/default/files/about_the_european_commission/eu_budget/swd_2022_225_climate_mainstreaming_architecture_2021-2027.pdf" TargetMode="External"/><Relationship Id="rId39" Type="http://schemas.openxmlformats.org/officeDocument/2006/relationships/hyperlink" Target="file:///\\Morbo\vol_grp\GROUPS\800\840\843\23%20envi.%20podm&#237;nky%20EU%20fondy\2024_10_22%20aktualizace%20DNSH%20+%20CP%20konsolidace%202\FN\ST-13541-2023-INIT_en.pdf" TargetMode="External"/><Relationship Id="rId109" Type="http://schemas.openxmlformats.org/officeDocument/2006/relationships/image" Target="media/image14.png"/><Relationship Id="rId34" Type="http://schemas.openxmlformats.org/officeDocument/2006/relationships/hyperlink" Target="https://eur-lex.europa.eu/legal-content/CS/TXT/?uri=CELEX:32021R0523" TargetMode="External"/><Relationship Id="rId50" Type="http://schemas.openxmlformats.org/officeDocument/2006/relationships/hyperlink" Target="file:///C:\Users\user\AppData\Local\Microsoft\Windows\INetCache\Content.Outlook\010T2CKS\energetick&#225;_&#250;&#269;innost" TargetMode="External"/><Relationship Id="rId55" Type="http://schemas.openxmlformats.org/officeDocument/2006/relationships/diagramQuickStyle" Target="diagrams/quickStyle1.xml"/><Relationship Id="rId76" Type="http://schemas.openxmlformats.org/officeDocument/2006/relationships/hyperlink" Target="https://sfdi.gov.cz/pravidla-a-metodiky/rezortni-metodika-pro-hodnoceni-ekonomicke-efektivnosti-projektu/" TargetMode="External"/><Relationship Id="rId97" Type="http://schemas.openxmlformats.org/officeDocument/2006/relationships/image" Target="media/image11.png"/><Relationship Id="rId104" Type="http://schemas.openxmlformats.org/officeDocument/2006/relationships/hyperlink" Target="https://brno.cso.lighting/wp-content/uploads/2024/09/CSO-B_WhitePaperU500_9.2024_Fin1ENG.pdf" TargetMode="External"/><Relationship Id="rId120" Type="http://schemas.openxmlformats.org/officeDocument/2006/relationships/hyperlink" Target="https://mzp.gov.cz/cz/agenda/priroda-a-krajina/nepuvodni-a-invazni-druhy/odborne-podklady-a-metodiky" TargetMode="External"/><Relationship Id="rId125" Type="http://schemas.openxmlformats.org/officeDocument/2006/relationships/hyperlink" Target="https://www.mzp.cz/cz/zmena_klimatu_adaptacni_strategie" TargetMode="External"/><Relationship Id="rId141" Type="http://schemas.openxmlformats.org/officeDocument/2006/relationships/hyperlink" Target="https://webgis.nature.cz/aopkhelp/Georeport" TargetMode="External"/><Relationship Id="rId146" Type="http://schemas.openxmlformats.org/officeDocument/2006/relationships/hyperlink" Target="https://www.azsf.cz/standardy-ke-stazeni" TargetMode="External"/><Relationship Id="rId167" Type="http://schemas.openxmlformats.org/officeDocument/2006/relationships/hyperlink" Target="https://eur-lex.europa.eu/legal-content/CS/TXT/?uri=CELEX%3A02021R1060-20210630&amp;qid=1659091609743" TargetMode="External"/><Relationship Id="rId7" Type="http://schemas.openxmlformats.org/officeDocument/2006/relationships/endnotes" Target="endnotes.xml"/><Relationship Id="rId71" Type="http://schemas.openxmlformats.org/officeDocument/2006/relationships/hyperlink" Target="https://www.eib.org/en/publications/20220169-the-economic-appraisal-of-investment-projects-at-the-eib" TargetMode="External"/><Relationship Id="rId92" Type="http://schemas.openxmlformats.org/officeDocument/2006/relationships/hyperlink" Target="https://ec.europa.eu/sustainable-finance-taxonomy/taxonomy-compass" TargetMode="External"/><Relationship Id="rId162" Type="http://schemas.openxmlformats.org/officeDocument/2006/relationships/hyperlink" Target="https://eur-lex.europa.eu/legal-content/CS/TXT/?uri=CELEX%3A02021R1060-20210630&amp;qid=1659091609743" TargetMode="External"/><Relationship Id="rId183" Type="http://schemas.openxmlformats.org/officeDocument/2006/relationships/hyperlink" Target="https://eur-lex.europa.eu/legal-content/CS/TXT/?uri=CELEX%3A02022R2472-20231213&amp;qid=1727701646071" TargetMode="External"/><Relationship Id="rId2" Type="http://schemas.openxmlformats.org/officeDocument/2006/relationships/numbering" Target="numbering.xml"/><Relationship Id="rId29" Type="http://schemas.openxmlformats.org/officeDocument/2006/relationships/hyperlink" Target="https://eur-lex.europa.eu/legal-content/CS/TXT/?uri=celex%3A32021R0523" TargetMode="External"/><Relationship Id="rId24" Type="http://schemas.openxmlformats.org/officeDocument/2006/relationships/hyperlink" Target="https://eur-lex.europa.eu/legal-content/CS/ALL/?uri=CELEX:32020Q1222(01)" TargetMode="External"/><Relationship Id="rId40" Type="http://schemas.openxmlformats.org/officeDocument/2006/relationships/hyperlink" Target="https://eur-lex.europa.eu/legal-content/EN/TXT/?uri=oj:JOC_2021_280_R_0001" TargetMode="External"/><Relationship Id="rId45" Type="http://schemas.openxmlformats.org/officeDocument/2006/relationships/hyperlink" Target="https://www.ebrd.com/news/publications/policies/environmental-and-social-policy-esp.html" TargetMode="External"/><Relationship Id="rId66" Type="http://schemas.openxmlformats.org/officeDocument/2006/relationships/hyperlink" Target="https://www.efrag.org/system/files/sites/webpublishing/Meeting%20Documents/2410151235139050/04-02%20-%20Transition%20Plan%20IG%20V1.7.5.pdf" TargetMode="External"/><Relationship Id="rId87" Type="http://schemas.openxmlformats.org/officeDocument/2006/relationships/hyperlink" Target="https://www.mzp.cz/C1257458002F0DC7/cz/vestnik_mzp_2022/$FILE/SOTPR-Vestnik_zari_2022_priloha2-20220930.pdf" TargetMode="External"/><Relationship Id="rId110" Type="http://schemas.openxmlformats.org/officeDocument/2006/relationships/hyperlink" Target="https://ec.europa.eu/sustainable-finance-taxonomy/taxonomy-compass" TargetMode="External"/><Relationship Id="rId115" Type="http://schemas.openxmlformats.org/officeDocument/2006/relationships/image" Target="media/image15.png"/><Relationship Id="rId131" Type="http://schemas.openxmlformats.org/officeDocument/2006/relationships/hyperlink" Target="https://eur-lex.europa.eu/legal-content/EN/TXT/?uri=CELEX%3A32022L2464" TargetMode="External"/><Relationship Id="rId136" Type="http://schemas.openxmlformats.org/officeDocument/2006/relationships/hyperlink" Target="http://www.recyklujmestavby.cz/" TargetMode="External"/><Relationship Id="rId157" Type="http://schemas.openxmlformats.org/officeDocument/2006/relationships/hyperlink" Target="https://mzp.gov.cz/system/files/2025-03/OODP-metodicky_navod_SDO-20180904.pdf" TargetMode="External"/><Relationship Id="rId178" Type="http://schemas.openxmlformats.org/officeDocument/2006/relationships/hyperlink" Target="https://eur-lex.europa.eu/legal-content/CS/TXT/?uri=CELEX%3A02021R1060-20210630&amp;qid=1659091609743" TargetMode="External"/><Relationship Id="rId61" Type="http://schemas.openxmlformats.org/officeDocument/2006/relationships/hyperlink" Target="https://ec.europa.eu/sustainable-finance-taxonomy/taxonomy-compass" TargetMode="External"/><Relationship Id="rId82" Type="http://schemas.openxmlformats.org/officeDocument/2006/relationships/hyperlink" Target="https://mzp.gov.cz/system/files/2024-08/OPOK-Komplexni_studie_dopady_klima-20151201.pdf" TargetMode="External"/><Relationship Id="rId152" Type="http://schemas.openxmlformats.org/officeDocument/2006/relationships/hyperlink" Target="https://echa.europa.eu/cs/candidate-list-table" TargetMode="External"/><Relationship Id="rId173" Type="http://schemas.openxmlformats.org/officeDocument/2006/relationships/hyperlink" Target="https://eur-lex.europa.eu/legal-content/CS/TXT/?uri=CELEX%3A02021R1060-20210630&amp;qid=1659091609743" TargetMode="External"/><Relationship Id="rId19" Type="http://schemas.openxmlformats.org/officeDocument/2006/relationships/hyperlink" Target="https://climate.ec.europa.eu/eu-action/eu-emissions-trading-system-eu-ets/social-climate-fund/consultation-application-dnsh-principle-under-social-climate-fund_en" TargetMode="External"/><Relationship Id="rId14" Type="http://schemas.openxmlformats.org/officeDocument/2006/relationships/hyperlink" Target="https://eur-lex.europa.eu/legal-content/CS/TXT/HTML/?uri=CELEX:52021XC0218(01)&amp;from=EN" TargetMode="External"/><Relationship Id="rId30" Type="http://schemas.openxmlformats.org/officeDocument/2006/relationships/hyperlink" Target="https://eur-lex.europa.eu/eli/reg/2021/241/oj?locale=cs" TargetMode="External"/><Relationship Id="rId35" Type="http://schemas.openxmlformats.org/officeDocument/2006/relationships/hyperlink" Target="https://eur-lex.europa.eu/legal-content/CS/TXT/?uri=celex%3A32023R0955" TargetMode="External"/><Relationship Id="rId56" Type="http://schemas.openxmlformats.org/officeDocument/2006/relationships/diagramColors" Target="diagrams/colors1.xml"/><Relationship Id="rId77" Type="http://schemas.openxmlformats.org/officeDocument/2006/relationships/hyperlink" Target="https://sfpi.cz/komponenta-4-1/assets/documents/SFPI_Pr%C5%AFvodce%20udr%C5%BEitelnost%C3%AD%20a%20z%C3%A1sadou%20DNSH%20pro%20budovy_2024-09.pdf" TargetMode="External"/><Relationship Id="rId100" Type="http://schemas.openxmlformats.org/officeDocument/2006/relationships/image" Target="media/image12.png"/><Relationship Id="rId105" Type="http://schemas.openxmlformats.org/officeDocument/2006/relationships/hyperlink" Target="https://luoxtech.app/" TargetMode="External"/><Relationship Id="rId126" Type="http://schemas.openxmlformats.org/officeDocument/2006/relationships/hyperlink" Target="https://faktaoklimatu.cz/infografiky/adaptacni-strategie-cr" TargetMode="External"/><Relationship Id="rId147" Type="http://schemas.openxmlformats.org/officeDocument/2006/relationships/hyperlink" Target="%20https://mzp.gov.cz/system/files/2025-03/OODP-metodicky_navod_SDO-20180904.pdf" TargetMode="External"/><Relationship Id="rId168" Type="http://schemas.openxmlformats.org/officeDocument/2006/relationships/hyperlink" Target="https://eur-lex.europa.eu/legal-content/CS/TXT/?uri=CELEX%3A02021R1060-20210630&amp;qid=1659091609743" TargetMode="External"/><Relationship Id="rId8" Type="http://schemas.openxmlformats.org/officeDocument/2006/relationships/hyperlink" Target="https://eur-lex.europa.eu/legal-content/CS/TXT/?uri=CELEX%3A32020R0852&amp;qid=1664868595697" TargetMode="External"/><Relationship Id="rId51" Type="http://schemas.openxmlformats.org/officeDocument/2006/relationships/hyperlink" Target="https://sfdi.gov.cz/pravidla-a-metodiky/rezortni-metodika-pro-hodnoceni-ekonomicke-efektivnosti-projektu/" TargetMode="External"/><Relationship Id="rId72" Type="http://schemas.openxmlformats.org/officeDocument/2006/relationships/hyperlink" Target="https://www.eib.org/en/publications/20220215-eib-project-carbon-footprint-methodologies" TargetMode="External"/><Relationship Id="rId93" Type="http://schemas.openxmlformats.org/officeDocument/2006/relationships/hyperlink" Target="https://www.mfcr.cz/cs/ministerstvo/financovani-udrzitelnosti/projekty/projekt-mapovani-taxonomie-eu" TargetMode="External"/><Relationship Id="rId98" Type="http://schemas.openxmlformats.org/officeDocument/2006/relationships/hyperlink" Target="https://ec.europa.eu/sustainable-finance-taxonomy/taxonomy-compass" TargetMode="External"/><Relationship Id="rId121" Type="http://schemas.openxmlformats.org/officeDocument/2006/relationships/hyperlink" Target="https://ec.europa.eu/sustainable-finance-taxonomy/taxonomy-compass" TargetMode="External"/><Relationship Id="rId142" Type="http://schemas.openxmlformats.org/officeDocument/2006/relationships/hyperlink" Target="file:///\\Morbo\vol_grp\GROUPS\800\840\843\23%20envi.%20podm&#237;nky%20EU%20fondy\Aktualizace%20vod&#237;tek%20DNSH%202024\Konzultace%20v&#283;cn&#253;ch%20odbor&#367;\Vstupy\navod_georeport_fin.pdf" TargetMode="External"/><Relationship Id="rId163" Type="http://schemas.openxmlformats.org/officeDocument/2006/relationships/hyperlink" Target="https://eur-lex.europa.eu/legal-content/CS/TXT/?uri=CELEX%3A02021R1060-20210630&amp;qid=1659091609743" TargetMode="External"/><Relationship Id="rId184"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hyperlink" Target="https://eur-lex.europa.eu/legal-content/CS/TXT/?uri=celex%3A32021R1060" TargetMode="External"/><Relationship Id="rId46" Type="http://schemas.openxmlformats.org/officeDocument/2006/relationships/hyperlink" Target="https://www.ebrd.com/paris-agreement-methodology.pdf" TargetMode="External"/><Relationship Id="rId67" Type="http://schemas.openxmlformats.org/officeDocument/2006/relationships/hyperlink" Target="https://sciencebasedtargets.org/" TargetMode="External"/><Relationship Id="rId116" Type="http://schemas.openxmlformats.org/officeDocument/2006/relationships/hyperlink" Target="https://webgis.nature.cz/aopkhelp/Georeport" TargetMode="External"/><Relationship Id="rId137" Type="http://schemas.openxmlformats.org/officeDocument/2006/relationships/hyperlink" Target="http://www.recyklujmestavby.cz/" TargetMode="External"/><Relationship Id="rId158" Type="http://schemas.openxmlformats.org/officeDocument/2006/relationships/hyperlink" Target="https://www.mpo.cz/cz/stavebnictvi-a-suroviny/strategicke-dokumenty-pro-udrzitelne-stavebnictvi/protokol-eu-o-nakladani-se-stavebnimi-a-demolicnimi-odpady--241557/" TargetMode="External"/><Relationship Id="rId20" Type="http://schemas.openxmlformats.org/officeDocument/2006/relationships/hyperlink" Target="https://publications.jrc.ec.europa.eu/repository/handle/JRC135691" TargetMode="External"/><Relationship Id="rId41" Type="http://schemas.openxmlformats.org/officeDocument/2006/relationships/hyperlink" Target="https://www.eib.org/en/publications/the-eib-group-climate-bank-roadmap" TargetMode="External"/><Relationship Id="rId62" Type="http://schemas.openxmlformats.org/officeDocument/2006/relationships/hyperlink" Target="https://www.mfcr.cz/cs/ministerstvo/financovani-udrzitelnosti/projekty/projekt-mapovani-taxonomie-eu" TargetMode="External"/><Relationship Id="rId83" Type="http://schemas.openxmlformats.org/officeDocument/2006/relationships/hyperlink" Target="https://www.cenia.cz/wp-content/uploads/2020/07/Indikatory_Zranitelnosti_2017_opr.pdf" TargetMode="External"/><Relationship Id="rId88" Type="http://schemas.openxmlformats.org/officeDocument/2006/relationships/hyperlink" Target="https://cds.mzp.cz/" TargetMode="External"/><Relationship Id="rId111" Type="http://schemas.openxmlformats.org/officeDocument/2006/relationships/hyperlink" Target="https://mzp.gov.cz/cz/agenda/ochrana-ovzdusi/kvalita-ovzdusi/strategicke-dokumenty/programy-zlepsovani-kvality-ovzdusi" TargetMode="External"/><Relationship Id="rId132" Type="http://schemas.openxmlformats.org/officeDocument/2006/relationships/hyperlink" Target="http://www.climateproofing.cz" TargetMode="External"/><Relationship Id="rId153" Type="http://schemas.openxmlformats.org/officeDocument/2006/relationships/hyperlink" Target="file:///\\Morbo\vol_grp\GROUPS\800\840\843\23%20envi.%20podm&#237;nky%20EU%20fondy\Aktualizace%20vod&#237;tek%20DNSH%202024\Konzultace%20v&#283;cn&#253;ch%20odbor&#367;\Vstupy\navod_georeport_fin.pdf" TargetMode="External"/><Relationship Id="rId174" Type="http://schemas.openxmlformats.org/officeDocument/2006/relationships/hyperlink" Target="https://eur-lex.europa.eu/legal-content/CS/TXT/?uri=CELEX%3A02021R1060-20210630&amp;qid=1659091609743" TargetMode="External"/><Relationship Id="rId179" Type="http://schemas.openxmlformats.org/officeDocument/2006/relationships/hyperlink" Target="https://eur-lex.europa.eu/legal-content/CS/TXT/?uri=CELEX%3A02021R1060-20210630&amp;qid=1659091609743" TargetMode="External"/><Relationship Id="rId15" Type="http://schemas.openxmlformats.org/officeDocument/2006/relationships/hyperlink" Target="https://www.google.com/url?sa=t&amp;source=web&amp;rct=j&amp;opi=89978449&amp;url=https://data.consilium.europa.eu/doc/document/ST-13541-2023-INIT/en/pdf&amp;ved=2ahUKEwjYn9napYyLAxVR1AIHHVQ8Ho0QFnoECBwQAQ&amp;usg=AOvVaw0xq-il_pY3754Srf0KS8VX" TargetMode="External"/><Relationship Id="rId36" Type="http://schemas.openxmlformats.org/officeDocument/2006/relationships/hyperlink" Target="https://eur-lex.europa.eu/legal-content/EN/TXT/PDF/?uri=CELEX:52023XC00111" TargetMode="External"/><Relationship Id="rId57" Type="http://schemas.microsoft.com/office/2007/relationships/diagramDrawing" Target="diagrams/drawing1.xml"/><Relationship Id="rId106" Type="http://schemas.openxmlformats.org/officeDocument/2006/relationships/hyperlink" Target="http://www.ippc.mzp.cz" TargetMode="External"/><Relationship Id="rId127" Type="http://schemas.openxmlformats.org/officeDocument/2006/relationships/hyperlink" Target="https://eur-lex.europa.eu/legal-content/EN/TXT/?uri=CELEX%3A02021R2139-20230101" TargetMode="External"/><Relationship Id="rId10" Type="http://schemas.openxmlformats.org/officeDocument/2006/relationships/hyperlink" Target="https://eur-lex.europa.eu/legal-content/CS/TXT/HTML/?uri=CELEX:32022R1214&amp;from=EN" TargetMode="External"/><Relationship Id="rId31" Type="http://schemas.openxmlformats.org/officeDocument/2006/relationships/image" Target="media/image2.png"/><Relationship Id="rId52" Type="http://schemas.openxmlformats.org/officeDocument/2006/relationships/hyperlink" Target="http://data.europa.eu/eli/reco/2021/1749/oj" TargetMode="External"/><Relationship Id="rId73" Type="http://schemas.openxmlformats.org/officeDocument/2006/relationships/hyperlink" Target="https://www.eib.org/en/publications/20220215-eib-project-carbon-footprint-methodologies" TargetMode="External"/><Relationship Id="rId78" Type="http://schemas.openxmlformats.org/officeDocument/2006/relationships/hyperlink" Target="https://cds.mzp.cz/" TargetMode="External"/><Relationship Id="rId94" Type="http://schemas.openxmlformats.org/officeDocument/2006/relationships/image" Target="media/image9.png"/><Relationship Id="rId99" Type="http://schemas.openxmlformats.org/officeDocument/2006/relationships/hyperlink" Target="https://www.mfcr.cz/cs/ministerstvo/financovani-udrzitelnosti/projekty/projekt-mapovani-taxonomie-eu" TargetMode="External"/><Relationship Id="rId101" Type="http://schemas.openxmlformats.org/officeDocument/2006/relationships/hyperlink" Target="https://ec.europa.eu/sustainable-finance-taxonomy/taxonomy-compass" TargetMode="External"/><Relationship Id="rId122" Type="http://schemas.openxmlformats.org/officeDocument/2006/relationships/hyperlink" Target="https://www.mfcr.cz/cs/ministerstvo/financovani-udrzitelnosti/projekty/projekt-mapovani-taxonomie-eu" TargetMode="External"/><Relationship Id="rId143" Type="http://schemas.openxmlformats.org/officeDocument/2006/relationships/hyperlink" Target="https://opzp.cz/dokument/3241" TargetMode="External"/><Relationship Id="rId148" Type="http://schemas.openxmlformats.org/officeDocument/2006/relationships/hyperlink" Target="https://www.mpo.cz/cz/stavebnictvi-a-suroviny/strategicke-dokumenty-pro-udrzitelne-stavebnictvi/protokol-eu-o-nakladani-se-stavebnimi-a-demolicnimi-odpady--241557/" TargetMode="External"/><Relationship Id="rId164" Type="http://schemas.openxmlformats.org/officeDocument/2006/relationships/hyperlink" Target="https://eur-lex.europa.eu/legal-content/CS/TXT/?uri=CELEX%3A02021R1060-20210630&amp;qid=1659091609743" TargetMode="External"/><Relationship Id="rId169" Type="http://schemas.openxmlformats.org/officeDocument/2006/relationships/hyperlink" Target="https://eur-lex.europa.eu/legal-content/CS/TXT/?uri=CELEX%3A02021R1060-20210630&amp;qid=1659091609743" TargetMode="External"/><Relationship Id="rId18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ur-lex.europa.eu/legal-content/CS/TXT/?uri=uriserv%3AOJ.L_.2021.442.01.0001.01.CES&amp;toc=OJ%3AL%3A2021%3A442%3ATOC" TargetMode="External"/><Relationship Id="rId180" Type="http://schemas.openxmlformats.org/officeDocument/2006/relationships/hyperlink" Target="https://eur-lex.europa.eu/legal-content/CS/TXT/?uri=CELEX%3A02021R1060-20210630&amp;qid=1659091609743" TargetMode="External"/><Relationship Id="rId26" Type="http://schemas.openxmlformats.org/officeDocument/2006/relationships/hyperlink" Target="https://eur-lex.europa.eu/legal-content/cs/TXT/?uri=CELEX:32021R1056" TargetMode="External"/><Relationship Id="rId47" Type="http://schemas.openxmlformats.org/officeDocument/2006/relationships/hyperlink" Target="https://ec.europa.eu/newsroom/cipr/items/722278/en" TargetMode="External"/><Relationship Id="rId68" Type="http://schemas.openxmlformats.org/officeDocument/2006/relationships/hyperlink" Target="https://www.transitionpathwayinitiative.org/" TargetMode="External"/><Relationship Id="rId89" Type="http://schemas.openxmlformats.org/officeDocument/2006/relationships/hyperlink" Target="https://dppcr.cz/html_pub/" TargetMode="External"/><Relationship Id="rId112" Type="http://schemas.openxmlformats.org/officeDocument/2006/relationships/hyperlink" Target="https://www.mzp.cz/C1257458002F0DC7/cz/vestnik_mzp_2024/$FILE/OK-Vestnik_kveten_20240531.pdf" TargetMode="External"/><Relationship Id="rId133" Type="http://schemas.openxmlformats.org/officeDocument/2006/relationships/hyperlink" Target="https://opzp.cz/dokument/3525" TargetMode="External"/><Relationship Id="rId154" Type="http://schemas.openxmlformats.org/officeDocument/2006/relationships/hyperlink" Target="https://opzp.cz/dokument/3241" TargetMode="External"/><Relationship Id="rId175" Type="http://schemas.openxmlformats.org/officeDocument/2006/relationships/hyperlink" Target="https://eur-lex.europa.eu/legal-content/CS/TXT/?uri=CELEX%3A02021R1060-20210630&amp;qid=1659091609743" TargetMode="External"/><Relationship Id="rId16" Type="http://schemas.openxmlformats.org/officeDocument/2006/relationships/hyperlink" Target="https://eur-lex.europa.eu/legal-content/CS/TXT/HTML/?uri=CELEX:52021XC0916(03)&amp;from=EN" TargetMode="External"/><Relationship Id="rId37" Type="http://schemas.openxmlformats.org/officeDocument/2006/relationships/hyperlink" Target="https://eur-lex.europa.eu/legal-content/EN/TXT/?uri=OJ:C_202501596" TargetMode="External"/><Relationship Id="rId58" Type="http://schemas.openxmlformats.org/officeDocument/2006/relationships/hyperlink" Target="https://ec.europa.eu/sustainable-finance-taxonomy/taxonomy-compass" TargetMode="External"/><Relationship Id="rId79" Type="http://schemas.openxmlformats.org/officeDocument/2006/relationships/hyperlink" Target="https://dppcr.cz/html_pub/" TargetMode="External"/><Relationship Id="rId102" Type="http://schemas.openxmlformats.org/officeDocument/2006/relationships/image" Target="media/image13.png"/><Relationship Id="rId123" Type="http://schemas.openxmlformats.org/officeDocument/2006/relationships/image" Target="media/image16.png"/><Relationship Id="rId144" Type="http://schemas.openxmlformats.org/officeDocument/2006/relationships/hyperlink" Target="https://opzp.cz/dokument/3242" TargetMode="External"/><Relationship Id="rId90" Type="http://schemas.openxmlformats.org/officeDocument/2006/relationships/hyperlink" Target="https://webmap.dppcr.cz/dpp_cr/wms.dll?MAP=5406&amp;TMPL=AJAX_MAIN" TargetMode="External"/><Relationship Id="rId165" Type="http://schemas.openxmlformats.org/officeDocument/2006/relationships/hyperlink" Target="https://eur-lex.europa.eu/legal-content/CS/TXT/?uri=CELEX%3A02021R1060-20210630&amp;qid=1659091609743" TargetMode="External"/><Relationship Id="rId27" Type="http://schemas.openxmlformats.org/officeDocument/2006/relationships/hyperlink" Target="https://eur-lex.europa.eu/legal-content/CS/ALL/?uri=CELEX%3A32021R1058" TargetMode="External"/><Relationship Id="rId48" Type="http://schemas.openxmlformats.org/officeDocument/2006/relationships/hyperlink" Target="file:///\\Morbo\vol_grp\GROUPS\800\840\843\23%20envi.%20podm&#237;nky%20EU%20fondy\2024_10_22%20aktualizace%20DNSH%20+%20CP%20konsolidace%202\FN\KH_DNSH_CP_2021_2027_Factsheet_RTW.pdf" TargetMode="External"/><Relationship Id="rId69" Type="http://schemas.openxmlformats.org/officeDocument/2006/relationships/hyperlink" Target="https://ec.europa.eu/newsroom/cipr/items/722278/en" TargetMode="External"/><Relationship Id="rId113" Type="http://schemas.openxmlformats.org/officeDocument/2006/relationships/hyperlink" Target="https://mzp.gov.cz/system/files/2024-11/OOO-PZKO_Podpurna_opatreni-20240830.pdf" TargetMode="External"/><Relationship Id="rId134" Type="http://schemas.openxmlformats.org/officeDocument/2006/relationships/hyperlink" Target="https://mzp.gov.cz/system/files/2025-05/Energeticky%20%C3%BAsporn%C3%A9%20renovace%20architektonicky%20a%20historicky%20cenn%C3%BDch%20budov_compressed.pdf" TargetMode="External"/><Relationship Id="rId80" Type="http://schemas.openxmlformats.org/officeDocument/2006/relationships/hyperlink" Target="https://webmap.dppcr.cz/dpp_cr/wms.dll?MAP=5406&amp;TMPL=AJAX_MAIN" TargetMode="External"/><Relationship Id="rId155" Type="http://schemas.openxmlformats.org/officeDocument/2006/relationships/hyperlink" Target="https://mzp.gov.cz/system/files/2025-03/OODP-metodicky_navod_SDO-20180904.pdf" TargetMode="External"/><Relationship Id="rId176" Type="http://schemas.openxmlformats.org/officeDocument/2006/relationships/hyperlink" Target="https://eur-lex.europa.eu/legal-content/CS/TXT/?uri=CELEX%3A02021R1060-20210630&amp;qid=1659091609743" TargetMode="External"/><Relationship Id="rId17" Type="http://schemas.openxmlformats.org/officeDocument/2006/relationships/hyperlink" Target="https://eur-lex.europa.eu/legal-content/CS/TXT/HTML/?uri=CELEX:32021H1749&amp;from=EN" TargetMode="External"/><Relationship Id="rId38" Type="http://schemas.openxmlformats.org/officeDocument/2006/relationships/hyperlink" Target="file:///\\Morbo\vol_grp\GROUPS\800\840\843\23%20envi.%20podm&#237;nky%20EU%20fondy\2024_10_22%20aktualizace%20DNSH%20+%20CP%20konsolidace%202\FN\KH_DNSH_CP_2021_2027_Factsheet_RTW.pdf" TargetMode="External"/><Relationship Id="rId59" Type="http://schemas.openxmlformats.org/officeDocument/2006/relationships/hyperlink" Target="https://www.mfcr.cz/cs/ministerstvo/financovani-udrzitelnosti/projekty/projekt-mapovani-taxonomie-eu" TargetMode="External"/><Relationship Id="rId103" Type="http://schemas.openxmlformats.org/officeDocument/2006/relationships/hyperlink" Target="https://darksky.org/resources/guides-and-how-tos/lighting-principles/" TargetMode="External"/><Relationship Id="rId124" Type="http://schemas.openxmlformats.org/officeDocument/2006/relationships/hyperlink" Target="https://ec.europa.eu/sustainable-finance-taxonomy/taxonomy-compass" TargetMode="External"/><Relationship Id="rId70" Type="http://schemas.openxmlformats.org/officeDocument/2006/relationships/hyperlink" Target="https://op.europa.eu/en/publication-detail/-/publication/120c6fcc-3841-4596-9256-4fd709c49ae4" TargetMode="External"/><Relationship Id="rId91" Type="http://schemas.openxmlformats.org/officeDocument/2006/relationships/image" Target="media/image8.png"/><Relationship Id="rId145" Type="http://schemas.openxmlformats.org/officeDocument/2006/relationships/hyperlink" Target="https://eru.gov.cz/prehled-ucinnych-soustav-zasobovani-tepelnou-energii" TargetMode="External"/><Relationship Id="rId166" Type="http://schemas.openxmlformats.org/officeDocument/2006/relationships/hyperlink" Target="https://eur-lex.europa.eu/legal-content/CS/TXT/?uri=CELEX%3A02021R1060-20210630&amp;qid=1659091609743" TargetMode="External"/><Relationship Id="rId1" Type="http://schemas.openxmlformats.org/officeDocument/2006/relationships/customXml" Target="../customXml/item1.xml"/><Relationship Id="rId28" Type="http://schemas.openxmlformats.org/officeDocument/2006/relationships/hyperlink" Target="https://eur-lex.europa.eu/legal-content/CS/ALL/?uri=CELEX:32021R1059" TargetMode="External"/><Relationship Id="rId49" Type="http://schemas.openxmlformats.org/officeDocument/2006/relationships/image" Target="media/image3.png"/><Relationship Id="rId114" Type="http://schemas.openxmlformats.org/officeDocument/2006/relationships/hyperlink" Target="https://eur-lex.europa.eu/legal-content/CS/TXT/PDF/?uri=OJ:L_202402881" TargetMode="External"/><Relationship Id="rId60" Type="http://schemas.openxmlformats.org/officeDocument/2006/relationships/image" Target="media/image4.png"/><Relationship Id="rId81" Type="http://schemas.openxmlformats.org/officeDocument/2006/relationships/hyperlink" Target="http://www.climateproofing.cz" TargetMode="External"/><Relationship Id="rId135" Type="http://schemas.openxmlformats.org/officeDocument/2006/relationships/hyperlink" Target="https://www.mpo.cz/cz/stavebnictvi-a-suroviny/strategicke-dokumenty-pro-udrzitelne-stavebnictvi/protokol-eu-o-nakladani-se-stavebnimi-a-demolicnimi-odpady--241557/" TargetMode="External"/><Relationship Id="rId156" Type="http://schemas.openxmlformats.org/officeDocument/2006/relationships/hyperlink" Target="https://visoh2.mzp.cz/Zarizeni/ZarizeniVyhledatGrid" TargetMode="External"/><Relationship Id="rId177" Type="http://schemas.openxmlformats.org/officeDocument/2006/relationships/hyperlink" Target="https://eur-lex.europa.eu/legal-content/CS/TXT/?uri=CELEX%3A02021R1060-20210630&amp;qid=1659091609743" TargetMode="External"/></Relationships>
</file>

<file path=word/_rels/footnotes.xml.rels><?xml version="1.0" encoding="UTF-8" standalone="yes"?>
<Relationships xmlns="http://schemas.openxmlformats.org/package/2006/relationships"><Relationship Id="rId26" Type="http://schemas.openxmlformats.org/officeDocument/2006/relationships/hyperlink" Target="https://www.climatebonds.net/files/files/Grids%20Criteria_March%202022.pdf" TargetMode="External"/><Relationship Id="rId21" Type="http://schemas.openxmlformats.org/officeDocument/2006/relationships/hyperlink" Target="https://eur-lex.europa.eu/legal-content/CS/TXT/PDF/?uri=CELEX:52021XC0218(01)&amp;from=GA" TargetMode="External"/><Relationship Id="rId34" Type="http://schemas.openxmlformats.org/officeDocument/2006/relationships/hyperlink" Target="https://sfpi.cz/komponenta-4-1/assets/documents/SFPI_Pr%C5%AFvodce%20udr%C5%BEitelnost%C3%AD%20a%20z%C3%A1sadou%20DNSH%20pro%20budovy_2024-09.pdf" TargetMode="External"/><Relationship Id="rId42" Type="http://schemas.openxmlformats.org/officeDocument/2006/relationships/hyperlink" Target="https://opzp.cz/dokument/2786" TargetMode="External"/><Relationship Id="rId47" Type="http://schemas.openxmlformats.org/officeDocument/2006/relationships/hyperlink" Target="https://sfpi.cz/komponenta-4-1/assets/documents/SFPI_Pr%C5%AFvodce%20udr%C5%BEitelnost%C3%AD%20a%20z%C3%A1sadou%20DNSH%20pro%20budovy_2024-09.pdf" TargetMode="External"/><Relationship Id="rId50" Type="http://schemas.openxmlformats.org/officeDocument/2006/relationships/hyperlink" Target="http://data.europa.eu/eli/dir/2008/98/oj" TargetMode="External"/><Relationship Id="rId55" Type="http://schemas.openxmlformats.org/officeDocument/2006/relationships/hyperlink" Target="http://www.fao.org/3/I8661EN/i8661en.pdf" TargetMode="External"/><Relationship Id="rId63" Type="http://schemas.openxmlformats.org/officeDocument/2006/relationships/hyperlink" Target="http://data.europa.eu/eli/dir/2008/98/oj" TargetMode="External"/><Relationship Id="rId68" Type="http://schemas.openxmlformats.org/officeDocument/2006/relationships/hyperlink" Target="https://visoh2.mzp.cz/Zarizeni/ZarizeniVyhledatGrid?TF.PlatnostProvozovatele=AktualnePlatny&amp;TF.TypStacionarnihoZarizeni=1a7af0ebad3749f7ac1093639e56345c&amp;TF.PlatnostOdpadu=AktualnePlatny&amp;TF.PlatnostCinnosti=AktualnePlatny&amp;TF.collapsed=0&amp;reload=1" TargetMode="External"/><Relationship Id="rId7" Type="http://schemas.openxmlformats.org/officeDocument/2006/relationships/hyperlink" Target="https://eur-lex.europa.eu/legal-content/CS/TXT/HTML/?uri=CELEX:32022R1214&amp;from=EN" TargetMode="External"/><Relationship Id="rId2" Type="http://schemas.openxmlformats.org/officeDocument/2006/relationships/hyperlink" Target="https://ec.europa.eu/info/strategy/eu-budget/performance-and-reporting/mainstreaming_en" TargetMode="External"/><Relationship Id="rId16" Type="http://schemas.openxmlformats.org/officeDocument/2006/relationships/hyperlink" Target="https://mpo.gov.cz/cz/energetika/strategicke-a-koncepcni-dokumenty/posouzeni-dekarbonizace-dalkoveho-vytapeni-v-cesku--268470/" TargetMode="External"/><Relationship Id="rId29" Type="http://schemas.openxmlformats.org/officeDocument/2006/relationships/hyperlink" Target="https://visoh2.mzp.cz/Zarizeni/ZarizeniVyhledatGrid?TF.PlatnostProvozovatele=AktualnePlatny&amp;TF.TypStacionarnihoZarizeni=1a7af0ebad3749f7ac1093639e56345c&amp;TF.PlatnostOdpadu=AktualnePlatny&amp;TF.PlatnostCinnosti=AktualnePlatny&amp;TF.collapsed=0&amp;reload=1" TargetMode="External"/><Relationship Id="rId11" Type="http://schemas.openxmlformats.org/officeDocument/2006/relationships/hyperlink" Target="https://finance.ec.europa.eu/publications/platform-sustainable-finance-report-advancing-sustainable-finance_en" TargetMode="External"/><Relationship Id="rId24" Type="http://schemas.openxmlformats.org/officeDocument/2006/relationships/hyperlink" Target="https://www.chmi.cz/files/portal/docs/uoco/oez/nis/nis_do_cz.html" TargetMode="External"/><Relationship Id="rId32" Type="http://schemas.openxmlformats.org/officeDocument/2006/relationships/hyperlink" Target="https://www.sekm.cz/portal/" TargetMode="External"/><Relationship Id="rId37" Type="http://schemas.openxmlformats.org/officeDocument/2006/relationships/hyperlink" Target="http://www.fao.org/3/I8661EN/i8661en.pdf" TargetMode="External"/><Relationship Id="rId40" Type="http://schemas.openxmlformats.org/officeDocument/2006/relationships/hyperlink" Target="https://mzp.gov.cz/cz/agenda/priroda-a-krajina/hodnoceni-vlivu-zasahu-na-prirodu-a-krajinu" TargetMode="External"/><Relationship Id="rId45" Type="http://schemas.openxmlformats.org/officeDocument/2006/relationships/hyperlink" Target="https://sfpi.cz/komponenta-4-1/assets/documents/SFPI_Pr%C5%AFvodce%20udr%C5%BEitelnost%C3%AD%20a%20z%C3%A1sadou%20DNSH%20pro%20budovy_2024-09.pdf" TargetMode="External"/><Relationship Id="rId53" Type="http://schemas.openxmlformats.org/officeDocument/2006/relationships/hyperlink" Target="https://echa.europa.eu/cs/candidate-list-table" TargetMode="External"/><Relationship Id="rId58" Type="http://schemas.openxmlformats.org/officeDocument/2006/relationships/hyperlink" Target="http://www.fao.org/3/I8661EN/i8661en.pdf" TargetMode="External"/><Relationship Id="rId66" Type="http://schemas.openxmlformats.org/officeDocument/2006/relationships/hyperlink" Target="https://echa.europa.eu/cs/candidate-list-table" TargetMode="External"/><Relationship Id="rId5" Type="http://schemas.openxmlformats.org/officeDocument/2006/relationships/hyperlink" Target="https://eurlex.europa.eu/legalcontent/CS/TXT/HTML/?uri=CELEX:32020R0852&amp;qid=1627392668484&amp;from=EN" TargetMode="External"/><Relationship Id="rId61" Type="http://schemas.openxmlformats.org/officeDocument/2006/relationships/hyperlink" Target="http://data.europa.eu/eli/dir/2008/98/oj" TargetMode="External"/><Relationship Id="rId19" Type="http://schemas.openxmlformats.org/officeDocument/2006/relationships/hyperlink" Target="https://eur-lex.europa.eu/legal-content/EN/TXT/?uri=CELEX%3A32021R2139" TargetMode="External"/><Relationship Id="rId14" Type="http://schemas.openxmlformats.org/officeDocument/2006/relationships/hyperlink" Target="https://www.planobnovycr.cz/dokumenty" TargetMode="External"/><Relationship Id="rId22" Type="http://schemas.openxmlformats.org/officeDocument/2006/relationships/hyperlink" Target="https://eru.gov.cz/prehled-ucinnych-soustav-zasobovani-tepelnou-energii" TargetMode="External"/><Relationship Id="rId27" Type="http://schemas.openxmlformats.org/officeDocument/2006/relationships/hyperlink" Target="%20https://mzp.gov.cz/system/files/2024-08/OPOK-Komplexni_studie_dopady_klima-20151201.pdf%20f" TargetMode="External"/><Relationship Id="rId30" Type="http://schemas.openxmlformats.org/officeDocument/2006/relationships/hyperlink" Target="https://mzp.gov.cz/system/files/2024-09/OES-c1_vestnik_mzp-3_2011_20140318_0.pdf" TargetMode="External"/><Relationship Id="rId35" Type="http://schemas.openxmlformats.org/officeDocument/2006/relationships/hyperlink" Target="https://mzp.gov.cz/cz/agenda/ochrana-ovzdusi/kvalita-ovzdusi/strategicke-dokumenty/programy-zlepsovani-kvality-ovzdusi" TargetMode="External"/><Relationship Id="rId43" Type="http://schemas.openxmlformats.org/officeDocument/2006/relationships/hyperlink" Target="https://opzp.cz/dokument/3108" TargetMode="External"/><Relationship Id="rId48" Type="http://schemas.openxmlformats.org/officeDocument/2006/relationships/hyperlink" Target="http://data.europa.eu/eli/dir/2008/98/oj" TargetMode="External"/><Relationship Id="rId56" Type="http://schemas.openxmlformats.org/officeDocument/2006/relationships/hyperlink" Target="https://esdac.jrc.ec.europa.eu/projects/lucas" TargetMode="External"/><Relationship Id="rId64" Type="http://schemas.openxmlformats.org/officeDocument/2006/relationships/hyperlink" Target="https://www.sekm.cz/portal/" TargetMode="External"/><Relationship Id="rId8" Type="http://schemas.openxmlformats.org/officeDocument/2006/relationships/hyperlink" Target="https://eur-lex.europa.eu/legal-content/CS/TXT/?uri=CELEX:32023R2485" TargetMode="External"/><Relationship Id="rId51" Type="http://schemas.openxmlformats.org/officeDocument/2006/relationships/hyperlink" Target="https://www.sekm.cz/portal/" TargetMode="External"/><Relationship Id="rId3" Type="http://schemas.openxmlformats.org/officeDocument/2006/relationships/hyperlink" Target="https://ec.europa.eu/environment/nature/biodiversity/financing_en.htm" TargetMode="External"/><Relationship Id="rId12" Type="http://schemas.openxmlformats.org/officeDocument/2006/relationships/hyperlink" Target="https://eur-lex.europa.eu/legal-content/CS/TXT/?uri=CELEX:52021XC0713(02)" TargetMode="External"/><Relationship Id="rId17" Type="http://schemas.openxmlformats.org/officeDocument/2006/relationships/hyperlink" Target="https://opzp.cz/dokument/3903" TargetMode="External"/><Relationship Id="rId25" Type="http://schemas.openxmlformats.org/officeDocument/2006/relationships/hyperlink" Target="https://www.fsb-tcfd.org/" TargetMode="External"/><Relationship Id="rId33" Type="http://schemas.openxmlformats.org/officeDocument/2006/relationships/hyperlink" Target="https://mzp.gov.cz/system/files/2024-11/OOO-MP_omezovani_prasnosti_ze_stavebni_cinnosti-20190918.pdf" TargetMode="External"/><Relationship Id="rId38" Type="http://schemas.openxmlformats.org/officeDocument/2006/relationships/hyperlink" Target="https://eur-lex.europa.eu/legal-content/EN/TXT/?uri=CELEX%3A32024R1991" TargetMode="External"/><Relationship Id="rId46" Type="http://schemas.openxmlformats.org/officeDocument/2006/relationships/hyperlink" Target="https://susproc.jrc.ec.europa.eu/product-bureau/product-groups/412/documents" TargetMode="External"/><Relationship Id="rId59" Type="http://schemas.openxmlformats.org/officeDocument/2006/relationships/hyperlink" Target="https://sfpi.cz/komponenta-4-1/assets/documents/SFPI_Pr%C5%AFvodce%20udr%C5%BEitelnost%C3%AD%20a%20z%C3%A1sadou%20DNSH%20pro%20budovy_2024-09.pdf" TargetMode="External"/><Relationship Id="rId67" Type="http://schemas.openxmlformats.org/officeDocument/2006/relationships/hyperlink" Target="http://www.fao.org/3/I8661EN/i8661en.pdf" TargetMode="External"/><Relationship Id="rId20" Type="http://schemas.openxmlformats.org/officeDocument/2006/relationships/hyperlink" Target="https://eur-lex.europa.eu/legal-content/CS/TXT/?uri=CELEX:52021PC0431" TargetMode="External"/><Relationship Id="rId41" Type="http://schemas.openxmlformats.org/officeDocument/2006/relationships/hyperlink" Target="https://susproc.jrc.ec.europa.eu/product-bureau/product-groups/412/documents" TargetMode="External"/><Relationship Id="rId54" Type="http://schemas.openxmlformats.org/officeDocument/2006/relationships/hyperlink" Target="https://portal.nature.cz/cervene-seznamy" TargetMode="External"/><Relationship Id="rId62" Type="http://schemas.openxmlformats.org/officeDocument/2006/relationships/hyperlink" Target="http://data.europa.eu/eli/dir/2008/98/oj" TargetMode="External"/><Relationship Id="rId1" Type="http://schemas.openxmlformats.org/officeDocument/2006/relationships/hyperlink" Target="https://ec.europa.eu/info/sites/default/files/about_the_european_commission/eu_budget/swd_2022_225_climate_mainstreaming_architecture_2021-2027.pdf" TargetMode="External"/><Relationship Id="rId6" Type="http://schemas.openxmlformats.org/officeDocument/2006/relationships/hyperlink" Target="https://eur-lex.europa.eu/legal-content/CS/TXT/?uri=uriserv%3AOJ.L_.2021.442.01.0001.01.CES&amp;toc=OJ%3AL%3A2021%3A442%3ATOC" TargetMode="External"/><Relationship Id="rId15" Type="http://schemas.openxmlformats.org/officeDocument/2006/relationships/hyperlink" Target="https://climate.ec.europa.eu/eu-action/eu-emissions-trading-system-eu-ets/social-climate-fund/consultation-application-dnsh-principle-under-social-climate-fund_en" TargetMode="External"/><Relationship Id="rId23" Type="http://schemas.openxmlformats.org/officeDocument/2006/relationships/hyperlink" Target="https://mpo.gov.cz/cz/energetika/strategicke-a-koncepcni-dokumenty/posouzeni-trajektorii-udrzitelneho-vyuzivani-bioenergie-v-cr--271691/" TargetMode="External"/><Relationship Id="rId28" Type="http://schemas.openxmlformats.org/officeDocument/2006/relationships/hyperlink" Target="https://mzp.gov.cz/system/files/2025-03/OAZK_Narodni_adaptacni_strategie-aktualizace_20211026.pdf" TargetMode="External"/><Relationship Id="rId36" Type="http://schemas.openxmlformats.org/officeDocument/2006/relationships/hyperlink" Target="https://eur-lex.europa.eu/legal-content/CS/TXT/PDF/?uri=OJ:L_202402881" TargetMode="External"/><Relationship Id="rId49" Type="http://schemas.openxmlformats.org/officeDocument/2006/relationships/hyperlink" Target="http://data.europa.eu/eli/dir/2008/98/oj" TargetMode="External"/><Relationship Id="rId57" Type="http://schemas.openxmlformats.org/officeDocument/2006/relationships/hyperlink" Target="https://www.iucn.org/regions/europe/our-work/biodiversity-conservation/european-red-list-threatened-species" TargetMode="External"/><Relationship Id="rId10" Type="http://schemas.openxmlformats.org/officeDocument/2006/relationships/hyperlink" Target="https://publications.jrc.ec.europa.eu/repository/handle/JRC135691" TargetMode="External"/><Relationship Id="rId31" Type="http://schemas.openxmlformats.org/officeDocument/2006/relationships/hyperlink" Target="https://mzp.gov.cz/cz/agenda/rizika-pro-zivotni-prostredi/kontaminovana-mista/metodiky" TargetMode="External"/><Relationship Id="rId44" Type="http://schemas.openxmlformats.org/officeDocument/2006/relationships/hyperlink" Target="https://opzp.cz/dokument/3241" TargetMode="External"/><Relationship Id="rId52" Type="http://schemas.openxmlformats.org/officeDocument/2006/relationships/hyperlink" Target="https://sfpi.cz/komponenta-4-1/assets/documents/SFPI_Pr%C5%AFvodce%20udr%C5%BEitelnost%C3%AD%20a%20z%C3%A1sadou%20DNSH%20pro%20budovy_2024-09.pdf" TargetMode="External"/><Relationship Id="rId60" Type="http://schemas.openxmlformats.org/officeDocument/2006/relationships/hyperlink" Target="https://sfpi.cz/komponenta-4-1/assets/documents/SFPI_Pr%C5%AFvodce%20udr%C5%BEitelnost%C3%AD%20a%20z%C3%A1sadou%20DNSH%20pro%20budovy_2024-09.pdf" TargetMode="External"/><Relationship Id="rId65" Type="http://schemas.openxmlformats.org/officeDocument/2006/relationships/hyperlink" Target="https://sfpi.cz/komponenta-4-1/assets/documents/SFPI_Pr%C5%AFvodce%20udr%C5%BEitelnost%C3%AD%20a%20z%C3%A1sadou%20DNSH%20pro%20budovy_2024-09.pdf" TargetMode="External"/><Relationship Id="rId4" Type="http://schemas.openxmlformats.org/officeDocument/2006/relationships/hyperlink" Target="https://publications.jrc.ec.europa.eu/repository/handle/JRC135691" TargetMode="External"/><Relationship Id="rId9" Type="http://schemas.openxmlformats.org/officeDocument/2006/relationships/hyperlink" Target="https://eur-lex.europa.eu/legal-content/CS/TXT/?uri=CELEX:32023R2486" TargetMode="External"/><Relationship Id="rId13" Type="http://schemas.openxmlformats.org/officeDocument/2006/relationships/hyperlink" Target="https://climate.ec.europa.eu/eu-action/eu-emissions-trading-system-eu-ets/social-climate-fund/consultation-application-dnsh-principle-under-social-climate-fund_en" TargetMode="External"/><Relationship Id="rId18" Type="http://schemas.openxmlformats.org/officeDocument/2006/relationships/hyperlink" Target="https://eur-lex.europa.eu/legal-content/CS/TXT/PDF/?uri=PI_COM:C(2022)631&amp;from=EN" TargetMode="External"/><Relationship Id="rId39" Type="http://schemas.openxmlformats.org/officeDocument/2006/relationships/hyperlink" Target="https://eur-lex.europa.eu/legal-content/EN/TXT/?uri=CELEX%3A32014R1143&amp;qid=1740667735932"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728B317-7A13-6647-BF0D-3B68E44A0DCE}" type="doc">
      <dgm:prSet loTypeId="urn:microsoft.com/office/officeart/2005/8/layout/pyramid1#1" qsTypeId="urn:microsoft.com/office/officeart/2005/8/quickstyle/simple1" qsCatId="simple" csTypeId="urn:microsoft.com/office/officeart/2005/8/colors/colorful4" csCatId="colorful" phldr="1"/>
      <dgm:spPr/>
    </dgm:pt>
    <dgm:pt modelId="{E951CC19-83AA-D541-BC8D-99526E0B5ABC}">
      <dgm:prSet phldrT="[Text]" custT="1"/>
      <dgm:spPr/>
      <dgm:t>
        <a:bodyPr/>
        <a:lstStyle/>
        <a:p>
          <a:r>
            <a:rPr lang="cs-CZ" sz="1200"/>
            <a:t>Další </a:t>
          </a:r>
        </a:p>
        <a:p>
          <a:r>
            <a:rPr lang="cs-CZ" sz="1200"/>
            <a:t>zdroje</a:t>
          </a:r>
        </a:p>
      </dgm:t>
    </dgm:pt>
    <dgm:pt modelId="{AF8CACCD-DD27-F042-B280-2C476033D0FE}" type="parTrans" cxnId="{0A1B33B2-3846-B340-8444-A37C63FF8F34}">
      <dgm:prSet/>
      <dgm:spPr/>
      <dgm:t>
        <a:bodyPr/>
        <a:lstStyle/>
        <a:p>
          <a:endParaRPr lang="cs-CZ"/>
        </a:p>
      </dgm:t>
    </dgm:pt>
    <dgm:pt modelId="{3CDA5912-208D-D944-A3A1-F978751E7DFB}" type="sibTrans" cxnId="{0A1B33B2-3846-B340-8444-A37C63FF8F34}">
      <dgm:prSet/>
      <dgm:spPr/>
      <dgm:t>
        <a:bodyPr/>
        <a:lstStyle/>
        <a:p>
          <a:endParaRPr lang="cs-CZ"/>
        </a:p>
      </dgm:t>
    </dgm:pt>
    <dgm:pt modelId="{D1BFF3A0-4C08-D14C-A10A-AAD6E004E298}">
      <dgm:prSet phldrT="[Text]" custT="1"/>
      <dgm:spPr/>
      <dgm:t>
        <a:bodyPr/>
        <a:lstStyle/>
        <a:p>
          <a:r>
            <a:rPr lang="cs-CZ" sz="2300"/>
            <a:t>Úspory energie</a:t>
          </a:r>
        </a:p>
      </dgm:t>
    </dgm:pt>
    <dgm:pt modelId="{28698731-DC4F-2641-A4EE-B616B57FBFE0}" type="parTrans" cxnId="{7F66E32B-26F0-8347-8B40-9A808518A0CA}">
      <dgm:prSet/>
      <dgm:spPr/>
      <dgm:t>
        <a:bodyPr/>
        <a:lstStyle/>
        <a:p>
          <a:endParaRPr lang="cs-CZ"/>
        </a:p>
      </dgm:t>
    </dgm:pt>
    <dgm:pt modelId="{684B7F30-E6D2-8F47-BF9C-F6FB4F587ADA}" type="sibTrans" cxnId="{7F66E32B-26F0-8347-8B40-9A808518A0CA}">
      <dgm:prSet/>
      <dgm:spPr/>
      <dgm:t>
        <a:bodyPr/>
        <a:lstStyle/>
        <a:p>
          <a:endParaRPr lang="cs-CZ"/>
        </a:p>
      </dgm:t>
    </dgm:pt>
    <dgm:pt modelId="{980CDAA4-6D87-0240-8F6E-5344D1C9202E}">
      <dgm:prSet custT="1"/>
      <dgm:spPr/>
      <dgm:t>
        <a:bodyPr/>
        <a:lstStyle/>
        <a:p>
          <a:r>
            <a:rPr lang="cs-CZ" sz="1700"/>
            <a:t>Obnovitelné místní zdroje</a:t>
          </a:r>
        </a:p>
      </dgm:t>
    </dgm:pt>
    <dgm:pt modelId="{922BA37A-5029-324B-9730-61AD47624181}" type="parTrans" cxnId="{47A88DA6-76CF-A149-BC65-24D221AA1C98}">
      <dgm:prSet/>
      <dgm:spPr/>
      <dgm:t>
        <a:bodyPr/>
        <a:lstStyle/>
        <a:p>
          <a:endParaRPr lang="cs-CZ"/>
        </a:p>
      </dgm:t>
    </dgm:pt>
    <dgm:pt modelId="{4BC5C38E-9E4A-B447-B628-2AC49B6596AC}" type="sibTrans" cxnId="{47A88DA6-76CF-A149-BC65-24D221AA1C98}">
      <dgm:prSet/>
      <dgm:spPr/>
      <dgm:t>
        <a:bodyPr/>
        <a:lstStyle/>
        <a:p>
          <a:endParaRPr lang="cs-CZ"/>
        </a:p>
      </dgm:t>
    </dgm:pt>
    <dgm:pt modelId="{C66FA6C3-EE1D-0042-A351-1550BD480CBF}">
      <dgm:prSet custT="1"/>
      <dgm:spPr/>
      <dgm:t>
        <a:bodyPr/>
        <a:lstStyle/>
        <a:p>
          <a:r>
            <a:rPr lang="cs-CZ" sz="1900"/>
            <a:t>Obnovitelné a odpadní teplo</a:t>
          </a:r>
        </a:p>
      </dgm:t>
    </dgm:pt>
    <dgm:pt modelId="{E634E40C-A0C5-A649-8CE8-CD8C5E3DB87C}" type="parTrans" cxnId="{588C9BA4-E634-CD4F-AF34-D7EABE40EDB9}">
      <dgm:prSet/>
      <dgm:spPr/>
      <dgm:t>
        <a:bodyPr/>
        <a:lstStyle/>
        <a:p>
          <a:endParaRPr lang="cs-CZ"/>
        </a:p>
      </dgm:t>
    </dgm:pt>
    <dgm:pt modelId="{AE018428-FE0A-6247-8246-609C124919BC}" type="sibTrans" cxnId="{588C9BA4-E634-CD4F-AF34-D7EABE40EDB9}">
      <dgm:prSet/>
      <dgm:spPr/>
      <dgm:t>
        <a:bodyPr/>
        <a:lstStyle/>
        <a:p>
          <a:endParaRPr lang="cs-CZ"/>
        </a:p>
      </dgm:t>
    </dgm:pt>
    <dgm:pt modelId="{195AF377-D3BE-084B-9540-5DC9412FB637}" type="pres">
      <dgm:prSet presAssocID="{4728B317-7A13-6647-BF0D-3B68E44A0DCE}" presName="Name0" presStyleCnt="0">
        <dgm:presLayoutVars>
          <dgm:dir/>
          <dgm:animLvl val="lvl"/>
          <dgm:resizeHandles val="exact"/>
        </dgm:presLayoutVars>
      </dgm:prSet>
      <dgm:spPr/>
    </dgm:pt>
    <dgm:pt modelId="{A15FFD3D-3D7B-984B-B428-8148353BD745}" type="pres">
      <dgm:prSet presAssocID="{E951CC19-83AA-D541-BC8D-99526E0B5ABC}" presName="Name8" presStyleCnt="0"/>
      <dgm:spPr/>
    </dgm:pt>
    <dgm:pt modelId="{339368F7-AE1F-1C46-B877-1DFCB5672022}" type="pres">
      <dgm:prSet presAssocID="{E951CC19-83AA-D541-BC8D-99526E0B5ABC}" presName="level" presStyleLbl="node1" presStyleIdx="0" presStyleCnt="4">
        <dgm:presLayoutVars>
          <dgm:chMax val="1"/>
          <dgm:bulletEnabled val="1"/>
        </dgm:presLayoutVars>
      </dgm:prSet>
      <dgm:spPr/>
    </dgm:pt>
    <dgm:pt modelId="{2830CFEA-C224-EF41-8474-D5422A8940DE}" type="pres">
      <dgm:prSet presAssocID="{E951CC19-83AA-D541-BC8D-99526E0B5ABC}" presName="levelTx" presStyleLbl="revTx" presStyleIdx="0" presStyleCnt="0">
        <dgm:presLayoutVars>
          <dgm:chMax val="1"/>
          <dgm:bulletEnabled val="1"/>
        </dgm:presLayoutVars>
      </dgm:prSet>
      <dgm:spPr/>
    </dgm:pt>
    <dgm:pt modelId="{A4C7467F-E64A-6B41-AD8F-60211EC42B71}" type="pres">
      <dgm:prSet presAssocID="{980CDAA4-6D87-0240-8F6E-5344D1C9202E}" presName="Name8" presStyleCnt="0"/>
      <dgm:spPr/>
    </dgm:pt>
    <dgm:pt modelId="{D8A083AB-19DB-1541-B5E8-18220F346F09}" type="pres">
      <dgm:prSet presAssocID="{980CDAA4-6D87-0240-8F6E-5344D1C9202E}" presName="level" presStyleLbl="node1" presStyleIdx="1" presStyleCnt="4">
        <dgm:presLayoutVars>
          <dgm:chMax val="1"/>
          <dgm:bulletEnabled val="1"/>
        </dgm:presLayoutVars>
      </dgm:prSet>
      <dgm:spPr/>
    </dgm:pt>
    <dgm:pt modelId="{BBA336A5-442B-5346-AB79-E36626988CE4}" type="pres">
      <dgm:prSet presAssocID="{980CDAA4-6D87-0240-8F6E-5344D1C9202E}" presName="levelTx" presStyleLbl="revTx" presStyleIdx="0" presStyleCnt="0">
        <dgm:presLayoutVars>
          <dgm:chMax val="1"/>
          <dgm:bulletEnabled val="1"/>
        </dgm:presLayoutVars>
      </dgm:prSet>
      <dgm:spPr/>
    </dgm:pt>
    <dgm:pt modelId="{CB2D2281-649C-2743-A3D6-7B515977146F}" type="pres">
      <dgm:prSet presAssocID="{C66FA6C3-EE1D-0042-A351-1550BD480CBF}" presName="Name8" presStyleCnt="0"/>
      <dgm:spPr/>
    </dgm:pt>
    <dgm:pt modelId="{37ED63EF-DD56-594A-B667-A97D92B30929}" type="pres">
      <dgm:prSet presAssocID="{C66FA6C3-EE1D-0042-A351-1550BD480CBF}" presName="level" presStyleLbl="node1" presStyleIdx="2" presStyleCnt="4">
        <dgm:presLayoutVars>
          <dgm:chMax val="1"/>
          <dgm:bulletEnabled val="1"/>
        </dgm:presLayoutVars>
      </dgm:prSet>
      <dgm:spPr/>
    </dgm:pt>
    <dgm:pt modelId="{95D46C65-7723-5040-A36A-3CA70C1DC5E4}" type="pres">
      <dgm:prSet presAssocID="{C66FA6C3-EE1D-0042-A351-1550BD480CBF}" presName="levelTx" presStyleLbl="revTx" presStyleIdx="0" presStyleCnt="0">
        <dgm:presLayoutVars>
          <dgm:chMax val="1"/>
          <dgm:bulletEnabled val="1"/>
        </dgm:presLayoutVars>
      </dgm:prSet>
      <dgm:spPr/>
    </dgm:pt>
    <dgm:pt modelId="{653EA818-458A-084D-B730-52C8D5D798CC}" type="pres">
      <dgm:prSet presAssocID="{D1BFF3A0-4C08-D14C-A10A-AAD6E004E298}" presName="Name8" presStyleCnt="0"/>
      <dgm:spPr/>
    </dgm:pt>
    <dgm:pt modelId="{891CB325-70F0-344C-90C3-F3EEC7A2B20E}" type="pres">
      <dgm:prSet presAssocID="{D1BFF3A0-4C08-D14C-A10A-AAD6E004E298}" presName="level" presStyleLbl="node1" presStyleIdx="3" presStyleCnt="4">
        <dgm:presLayoutVars>
          <dgm:chMax val="1"/>
          <dgm:bulletEnabled val="1"/>
        </dgm:presLayoutVars>
      </dgm:prSet>
      <dgm:spPr/>
    </dgm:pt>
    <dgm:pt modelId="{AD54AEB9-5646-884C-94A8-A2D2E7A20CD1}" type="pres">
      <dgm:prSet presAssocID="{D1BFF3A0-4C08-D14C-A10A-AAD6E004E298}" presName="levelTx" presStyleLbl="revTx" presStyleIdx="0" presStyleCnt="0">
        <dgm:presLayoutVars>
          <dgm:chMax val="1"/>
          <dgm:bulletEnabled val="1"/>
        </dgm:presLayoutVars>
      </dgm:prSet>
      <dgm:spPr/>
    </dgm:pt>
  </dgm:ptLst>
  <dgm:cxnLst>
    <dgm:cxn modelId="{473B6512-4AAE-3F42-896B-C35FEB11D616}" type="presOf" srcId="{E951CC19-83AA-D541-BC8D-99526E0B5ABC}" destId="{339368F7-AE1F-1C46-B877-1DFCB5672022}" srcOrd="0" destOrd="0" presId="urn:microsoft.com/office/officeart/2005/8/layout/pyramid1#1"/>
    <dgm:cxn modelId="{C626E61A-5391-004E-9E3E-9BFF6FBF247C}" type="presOf" srcId="{980CDAA4-6D87-0240-8F6E-5344D1C9202E}" destId="{BBA336A5-442B-5346-AB79-E36626988CE4}" srcOrd="1" destOrd="0" presId="urn:microsoft.com/office/officeart/2005/8/layout/pyramid1#1"/>
    <dgm:cxn modelId="{7F66E32B-26F0-8347-8B40-9A808518A0CA}" srcId="{4728B317-7A13-6647-BF0D-3B68E44A0DCE}" destId="{D1BFF3A0-4C08-D14C-A10A-AAD6E004E298}" srcOrd="3" destOrd="0" parTransId="{28698731-DC4F-2641-A4EE-B616B57FBFE0}" sibTransId="{684B7F30-E6D2-8F47-BF9C-F6FB4F587ADA}"/>
    <dgm:cxn modelId="{4097A066-0DBF-DF48-87F0-37689F4B43E8}" type="presOf" srcId="{4728B317-7A13-6647-BF0D-3B68E44A0DCE}" destId="{195AF377-D3BE-084B-9540-5DC9412FB637}" srcOrd="0" destOrd="0" presId="urn:microsoft.com/office/officeart/2005/8/layout/pyramid1#1"/>
    <dgm:cxn modelId="{77B31174-4737-AB44-A308-D924CCEECAA5}" type="presOf" srcId="{980CDAA4-6D87-0240-8F6E-5344D1C9202E}" destId="{D8A083AB-19DB-1541-B5E8-18220F346F09}" srcOrd="0" destOrd="0" presId="urn:microsoft.com/office/officeart/2005/8/layout/pyramid1#1"/>
    <dgm:cxn modelId="{FC1BC457-0F25-7042-9B98-DD2A2ADEF66A}" type="presOf" srcId="{E951CC19-83AA-D541-BC8D-99526E0B5ABC}" destId="{2830CFEA-C224-EF41-8474-D5422A8940DE}" srcOrd="1" destOrd="0" presId="urn:microsoft.com/office/officeart/2005/8/layout/pyramid1#1"/>
    <dgm:cxn modelId="{588C9BA4-E634-CD4F-AF34-D7EABE40EDB9}" srcId="{4728B317-7A13-6647-BF0D-3B68E44A0DCE}" destId="{C66FA6C3-EE1D-0042-A351-1550BD480CBF}" srcOrd="2" destOrd="0" parTransId="{E634E40C-A0C5-A649-8CE8-CD8C5E3DB87C}" sibTransId="{AE018428-FE0A-6247-8246-609C124919BC}"/>
    <dgm:cxn modelId="{47A88DA6-76CF-A149-BC65-24D221AA1C98}" srcId="{4728B317-7A13-6647-BF0D-3B68E44A0DCE}" destId="{980CDAA4-6D87-0240-8F6E-5344D1C9202E}" srcOrd="1" destOrd="0" parTransId="{922BA37A-5029-324B-9730-61AD47624181}" sibTransId="{4BC5C38E-9E4A-B447-B628-2AC49B6596AC}"/>
    <dgm:cxn modelId="{24572CAF-0C3B-9D46-9F04-6F1C48733457}" type="presOf" srcId="{C66FA6C3-EE1D-0042-A351-1550BD480CBF}" destId="{95D46C65-7723-5040-A36A-3CA70C1DC5E4}" srcOrd="1" destOrd="0" presId="urn:microsoft.com/office/officeart/2005/8/layout/pyramid1#1"/>
    <dgm:cxn modelId="{0A1B33B2-3846-B340-8444-A37C63FF8F34}" srcId="{4728B317-7A13-6647-BF0D-3B68E44A0DCE}" destId="{E951CC19-83AA-D541-BC8D-99526E0B5ABC}" srcOrd="0" destOrd="0" parTransId="{AF8CACCD-DD27-F042-B280-2C476033D0FE}" sibTransId="{3CDA5912-208D-D944-A3A1-F978751E7DFB}"/>
    <dgm:cxn modelId="{0322EDD1-B6B1-4049-B388-53C2B62A7447}" type="presOf" srcId="{C66FA6C3-EE1D-0042-A351-1550BD480CBF}" destId="{37ED63EF-DD56-594A-B667-A97D92B30929}" srcOrd="0" destOrd="0" presId="urn:microsoft.com/office/officeart/2005/8/layout/pyramid1#1"/>
    <dgm:cxn modelId="{C360CEEE-AE35-7B4B-922A-BC04D0A13A93}" type="presOf" srcId="{D1BFF3A0-4C08-D14C-A10A-AAD6E004E298}" destId="{891CB325-70F0-344C-90C3-F3EEC7A2B20E}" srcOrd="0" destOrd="0" presId="urn:microsoft.com/office/officeart/2005/8/layout/pyramid1#1"/>
    <dgm:cxn modelId="{903B4CFB-77CB-2049-A0C7-F4F8A11DD10E}" type="presOf" srcId="{D1BFF3A0-4C08-D14C-A10A-AAD6E004E298}" destId="{AD54AEB9-5646-884C-94A8-A2D2E7A20CD1}" srcOrd="1" destOrd="0" presId="urn:microsoft.com/office/officeart/2005/8/layout/pyramid1#1"/>
    <dgm:cxn modelId="{9A0D403E-2B0E-0749-BCDF-0593D1852EBF}" type="presParOf" srcId="{195AF377-D3BE-084B-9540-5DC9412FB637}" destId="{A15FFD3D-3D7B-984B-B428-8148353BD745}" srcOrd="0" destOrd="0" presId="urn:microsoft.com/office/officeart/2005/8/layout/pyramid1#1"/>
    <dgm:cxn modelId="{74AA83A6-C524-144D-A4ED-66783107D8C2}" type="presParOf" srcId="{A15FFD3D-3D7B-984B-B428-8148353BD745}" destId="{339368F7-AE1F-1C46-B877-1DFCB5672022}" srcOrd="0" destOrd="0" presId="urn:microsoft.com/office/officeart/2005/8/layout/pyramid1#1"/>
    <dgm:cxn modelId="{EDB22302-3778-1B40-8DD9-527C37707A35}" type="presParOf" srcId="{A15FFD3D-3D7B-984B-B428-8148353BD745}" destId="{2830CFEA-C224-EF41-8474-D5422A8940DE}" srcOrd="1" destOrd="0" presId="urn:microsoft.com/office/officeart/2005/8/layout/pyramid1#1"/>
    <dgm:cxn modelId="{5AAEC24B-066C-FA48-94CE-FA087725F3F5}" type="presParOf" srcId="{195AF377-D3BE-084B-9540-5DC9412FB637}" destId="{A4C7467F-E64A-6B41-AD8F-60211EC42B71}" srcOrd="1" destOrd="0" presId="urn:microsoft.com/office/officeart/2005/8/layout/pyramid1#1"/>
    <dgm:cxn modelId="{0BD6E5CE-DA76-C54F-B06C-0315184081EB}" type="presParOf" srcId="{A4C7467F-E64A-6B41-AD8F-60211EC42B71}" destId="{D8A083AB-19DB-1541-B5E8-18220F346F09}" srcOrd="0" destOrd="0" presId="urn:microsoft.com/office/officeart/2005/8/layout/pyramid1#1"/>
    <dgm:cxn modelId="{E0D4E0F7-E67B-904F-8A96-3CA56AEED48C}" type="presParOf" srcId="{A4C7467F-E64A-6B41-AD8F-60211EC42B71}" destId="{BBA336A5-442B-5346-AB79-E36626988CE4}" srcOrd="1" destOrd="0" presId="urn:microsoft.com/office/officeart/2005/8/layout/pyramid1#1"/>
    <dgm:cxn modelId="{02B0BBA7-6636-5A47-BAE1-A109E9D9D469}" type="presParOf" srcId="{195AF377-D3BE-084B-9540-5DC9412FB637}" destId="{CB2D2281-649C-2743-A3D6-7B515977146F}" srcOrd="2" destOrd="0" presId="urn:microsoft.com/office/officeart/2005/8/layout/pyramid1#1"/>
    <dgm:cxn modelId="{404B3F1F-EACC-8D44-9175-9DF89BE6B796}" type="presParOf" srcId="{CB2D2281-649C-2743-A3D6-7B515977146F}" destId="{37ED63EF-DD56-594A-B667-A97D92B30929}" srcOrd="0" destOrd="0" presId="urn:microsoft.com/office/officeart/2005/8/layout/pyramid1#1"/>
    <dgm:cxn modelId="{99098873-44FB-554A-8EA8-D0630B1B85C2}" type="presParOf" srcId="{CB2D2281-649C-2743-A3D6-7B515977146F}" destId="{95D46C65-7723-5040-A36A-3CA70C1DC5E4}" srcOrd="1" destOrd="0" presId="urn:microsoft.com/office/officeart/2005/8/layout/pyramid1#1"/>
    <dgm:cxn modelId="{3C5E1416-2789-FC45-BD15-E7407980F250}" type="presParOf" srcId="{195AF377-D3BE-084B-9540-5DC9412FB637}" destId="{653EA818-458A-084D-B730-52C8D5D798CC}" srcOrd="3" destOrd="0" presId="urn:microsoft.com/office/officeart/2005/8/layout/pyramid1#1"/>
    <dgm:cxn modelId="{0CAE4B9D-D99A-C04A-B2F0-55C381960131}" type="presParOf" srcId="{653EA818-458A-084D-B730-52C8D5D798CC}" destId="{891CB325-70F0-344C-90C3-F3EEC7A2B20E}" srcOrd="0" destOrd="0" presId="urn:microsoft.com/office/officeart/2005/8/layout/pyramid1#1"/>
    <dgm:cxn modelId="{9B9151B0-67C3-9A49-9FF8-2BFC58DCD9C2}" type="presParOf" srcId="{653EA818-458A-084D-B730-52C8D5D798CC}" destId="{AD54AEB9-5646-884C-94A8-A2D2E7A20CD1}" srcOrd="1" destOrd="0" presId="urn:microsoft.com/office/officeart/2005/8/layout/pyramid1#1"/>
  </dgm:cxnLst>
  <dgm:bg/>
  <dgm:whole/>
  <dgm:extLst>
    <a:ext uri="http://schemas.microsoft.com/office/drawing/2008/diagram">
      <dsp:dataModelExt xmlns:dsp="http://schemas.microsoft.com/office/drawing/2008/diagram" relId="rId5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39368F7-AE1F-1C46-B877-1DFCB5672022}">
      <dsp:nvSpPr>
        <dsp:cNvPr id="0" name=""/>
        <dsp:cNvSpPr/>
      </dsp:nvSpPr>
      <dsp:spPr>
        <a:xfrm>
          <a:off x="1505426" y="0"/>
          <a:ext cx="1003617" cy="819150"/>
        </a:xfrm>
        <a:prstGeom prst="trapezoid">
          <a:avLst>
            <a:gd name="adj" fmla="val 6126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cs-CZ" sz="1200" kern="1200"/>
            <a:t>Další </a:t>
          </a:r>
        </a:p>
        <a:p>
          <a:pPr marL="0" lvl="0" indent="0" algn="ctr" defTabSz="533400">
            <a:lnSpc>
              <a:spcPct val="90000"/>
            </a:lnSpc>
            <a:spcBef>
              <a:spcPct val="0"/>
            </a:spcBef>
            <a:spcAft>
              <a:spcPct val="35000"/>
            </a:spcAft>
            <a:buNone/>
          </a:pPr>
          <a:r>
            <a:rPr lang="cs-CZ" sz="1200" kern="1200"/>
            <a:t>zdroje</a:t>
          </a:r>
        </a:p>
      </dsp:txBody>
      <dsp:txXfrm>
        <a:off x="1505426" y="0"/>
        <a:ext cx="1003617" cy="819150"/>
      </dsp:txXfrm>
    </dsp:sp>
    <dsp:sp modelId="{D8A083AB-19DB-1541-B5E8-18220F346F09}">
      <dsp:nvSpPr>
        <dsp:cNvPr id="0" name=""/>
        <dsp:cNvSpPr/>
      </dsp:nvSpPr>
      <dsp:spPr>
        <a:xfrm>
          <a:off x="1003617" y="819150"/>
          <a:ext cx="2007235" cy="819150"/>
        </a:xfrm>
        <a:prstGeom prst="trapezoid">
          <a:avLst>
            <a:gd name="adj" fmla="val 61260"/>
          </a:avLst>
        </a:prstGeom>
        <a:solidFill>
          <a:schemeClr val="accent4">
            <a:hueOff val="3266964"/>
            <a:satOff val="-13592"/>
            <a:lumOff val="320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1590" tIns="21590" rIns="21590" bIns="21590" numCol="1" spcCol="1270" anchor="ctr" anchorCtr="0">
          <a:noAutofit/>
        </a:bodyPr>
        <a:lstStyle/>
        <a:p>
          <a:pPr marL="0" lvl="0" indent="0" algn="ctr" defTabSz="755650">
            <a:lnSpc>
              <a:spcPct val="90000"/>
            </a:lnSpc>
            <a:spcBef>
              <a:spcPct val="0"/>
            </a:spcBef>
            <a:spcAft>
              <a:spcPct val="35000"/>
            </a:spcAft>
            <a:buNone/>
          </a:pPr>
          <a:r>
            <a:rPr lang="cs-CZ" sz="1700" kern="1200"/>
            <a:t>Obnovitelné místní zdroje</a:t>
          </a:r>
        </a:p>
      </dsp:txBody>
      <dsp:txXfrm>
        <a:off x="1354883" y="819150"/>
        <a:ext cx="1304702" cy="819150"/>
      </dsp:txXfrm>
    </dsp:sp>
    <dsp:sp modelId="{37ED63EF-DD56-594A-B667-A97D92B30929}">
      <dsp:nvSpPr>
        <dsp:cNvPr id="0" name=""/>
        <dsp:cNvSpPr/>
      </dsp:nvSpPr>
      <dsp:spPr>
        <a:xfrm>
          <a:off x="501808" y="1638300"/>
          <a:ext cx="3010852" cy="819150"/>
        </a:xfrm>
        <a:prstGeom prst="trapezoid">
          <a:avLst>
            <a:gd name="adj" fmla="val 61260"/>
          </a:avLst>
        </a:prstGeom>
        <a:solidFill>
          <a:schemeClr val="accent4">
            <a:hueOff val="6533927"/>
            <a:satOff val="-27185"/>
            <a:lumOff val="640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130" tIns="24130" rIns="24130" bIns="24130" numCol="1" spcCol="1270" anchor="ctr" anchorCtr="0">
          <a:noAutofit/>
        </a:bodyPr>
        <a:lstStyle/>
        <a:p>
          <a:pPr marL="0" lvl="0" indent="0" algn="ctr" defTabSz="844550">
            <a:lnSpc>
              <a:spcPct val="90000"/>
            </a:lnSpc>
            <a:spcBef>
              <a:spcPct val="0"/>
            </a:spcBef>
            <a:spcAft>
              <a:spcPct val="35000"/>
            </a:spcAft>
            <a:buNone/>
          </a:pPr>
          <a:r>
            <a:rPr lang="cs-CZ" sz="1900" kern="1200"/>
            <a:t>Obnovitelné a odpadní teplo</a:t>
          </a:r>
        </a:p>
      </dsp:txBody>
      <dsp:txXfrm>
        <a:off x="1028707" y="1638300"/>
        <a:ext cx="1957054" cy="819150"/>
      </dsp:txXfrm>
    </dsp:sp>
    <dsp:sp modelId="{891CB325-70F0-344C-90C3-F3EEC7A2B20E}">
      <dsp:nvSpPr>
        <dsp:cNvPr id="0" name=""/>
        <dsp:cNvSpPr/>
      </dsp:nvSpPr>
      <dsp:spPr>
        <a:xfrm>
          <a:off x="0" y="2457450"/>
          <a:ext cx="4014470" cy="819150"/>
        </a:xfrm>
        <a:prstGeom prst="trapezoid">
          <a:avLst>
            <a:gd name="adj" fmla="val 61260"/>
          </a:avLst>
        </a:prstGeom>
        <a:solidFill>
          <a:schemeClr val="accent4">
            <a:hueOff val="9800891"/>
            <a:satOff val="-40777"/>
            <a:lumOff val="960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9210" tIns="29210" rIns="29210" bIns="29210" numCol="1" spcCol="1270" anchor="ctr" anchorCtr="0">
          <a:noAutofit/>
        </a:bodyPr>
        <a:lstStyle/>
        <a:p>
          <a:pPr marL="0" lvl="0" indent="0" algn="ctr" defTabSz="1022350">
            <a:lnSpc>
              <a:spcPct val="90000"/>
            </a:lnSpc>
            <a:spcBef>
              <a:spcPct val="0"/>
            </a:spcBef>
            <a:spcAft>
              <a:spcPct val="35000"/>
            </a:spcAft>
            <a:buNone/>
          </a:pPr>
          <a:r>
            <a:rPr lang="cs-CZ" sz="2300" kern="1200"/>
            <a:t>Úspory energie</a:t>
          </a:r>
        </a:p>
      </dsp:txBody>
      <dsp:txXfrm>
        <a:off x="702532" y="2457450"/>
        <a:ext cx="2609405" cy="819150"/>
      </dsp:txXfrm>
    </dsp:sp>
  </dsp:spTree>
</dsp:drawing>
</file>

<file path=word/diagrams/layout1.xml><?xml version="1.0" encoding="utf-8"?>
<dgm:layoutDef xmlns:dgm="http://schemas.openxmlformats.org/drawingml/2006/diagram" xmlns:a="http://schemas.openxmlformats.org/drawingml/2006/main" uniqueId="urn:microsoft.com/office/officeart/2005/8/layout/pyramid1#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pyraAcctBkgdNode" val="acctBkgd"/>
          <dgm:param type="pyraAcctPos" val="aft"/>
          <dgm:param type="pyraAcctTxMar" val="step"/>
          <dgm:param type="pyraAcctTxNode" val="acctTx"/>
          <dgm:param type="pyraLvlNode" val="level"/>
          <dgm:param type="txDir" val="fromT"/>
        </dgm:alg>
      </dgm:if>
      <dgm:else name="Name3">
        <dgm:alg type="pyra">
          <dgm:param type="linDir" val="fromB"/>
          <dgm:param type="pyraAcctBkgdNode" val="acctBkgd"/>
          <dgm:param type="pyraAcctPos" val="bef"/>
          <dgm:param type="pyraAcctTxMar" val="step"/>
          <dgm:param type="pyraAcctTxNode" val="acctTx"/>
          <dgm:param type="pyraLvlNode" val="level"/>
          <dgm:param type="txDir" val="fromT"/>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84FEB1-C913-4B42-9EFD-BABF5B8A4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237</Pages>
  <Words>69793</Words>
  <Characters>411779</Characters>
  <Application>Microsoft Office Word</Application>
  <DocSecurity>0</DocSecurity>
  <Lines>3431</Lines>
  <Paragraphs>961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480611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Hlaváček</dc:creator>
  <cp:keywords/>
  <dc:description/>
  <cp:lastModifiedBy>Barbora Kramešová</cp:lastModifiedBy>
  <cp:revision>2</cp:revision>
  <cp:lastPrinted>2025-04-03T10:15:00Z</cp:lastPrinted>
  <dcterms:created xsi:type="dcterms:W3CDTF">2025-09-29T11:47:00Z</dcterms:created>
  <dcterms:modified xsi:type="dcterms:W3CDTF">2025-09-29T11:47:00Z</dcterms:modified>
</cp:coreProperties>
</file>