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C48" w:rsidRPr="003B6925" w:rsidRDefault="00912C48">
      <w:pPr>
        <w:pStyle w:val="Default"/>
        <w:spacing w:line="276" w:lineRule="auto"/>
        <w:jc w:val="both"/>
        <w:rPr>
          <w:color w:val="auto"/>
          <w:sz w:val="22"/>
          <w:szCs w:val="18"/>
        </w:rPr>
      </w:pPr>
    </w:p>
    <w:p w:rsidR="00912C48" w:rsidRPr="003B6925" w:rsidRDefault="00E6266C">
      <w:pPr>
        <w:pStyle w:val="Default"/>
        <w:spacing w:after="240" w:line="276" w:lineRule="auto"/>
        <w:jc w:val="center"/>
        <w:rPr>
          <w:b/>
          <w:bCs/>
          <w:color w:val="auto"/>
          <w:sz w:val="22"/>
          <w:szCs w:val="18"/>
        </w:rPr>
      </w:pPr>
      <w:r w:rsidRPr="003B6925">
        <w:rPr>
          <w:b/>
          <w:bCs/>
          <w:color w:val="auto"/>
          <w:sz w:val="22"/>
          <w:szCs w:val="18"/>
        </w:rPr>
        <w:t xml:space="preserve">Zápis z 1. jednání Tematické pracovní skupiny </w:t>
      </w:r>
      <w:r w:rsidRPr="003B6925">
        <w:rPr>
          <w:b/>
          <w:bCs/>
          <w:color w:val="auto"/>
          <w:sz w:val="22"/>
          <w:szCs w:val="18"/>
        </w:rPr>
        <w:br/>
        <w:t>Sociálního klimatického fondu k budovám (TPS SKF B)</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127"/>
        <w:gridCol w:w="6928"/>
      </w:tblGrid>
      <w:tr w:rsidR="00F404C1" w:rsidRPr="003B6925">
        <w:trPr>
          <w:trHeight w:val="309"/>
        </w:trPr>
        <w:tc>
          <w:tcPr>
            <w:tcW w:w="2127" w:type="dxa"/>
          </w:tcPr>
          <w:p w:rsidR="00912C48" w:rsidRPr="003B6925" w:rsidRDefault="00E6266C">
            <w:pPr>
              <w:jc w:val="both"/>
              <w:rPr>
                <w:rFonts w:ascii="Verdana" w:hAnsi="Verdana"/>
                <w:b/>
                <w:bCs/>
                <w:sz w:val="18"/>
                <w:szCs w:val="18"/>
              </w:rPr>
            </w:pPr>
            <w:r w:rsidRPr="003B6925">
              <w:rPr>
                <w:rFonts w:ascii="Verdana" w:hAnsi="Verdana"/>
                <w:b/>
                <w:bCs/>
                <w:sz w:val="18"/>
                <w:szCs w:val="18"/>
              </w:rPr>
              <w:t>Datum zasedání</w:t>
            </w:r>
          </w:p>
        </w:tc>
        <w:tc>
          <w:tcPr>
            <w:tcW w:w="6928" w:type="dxa"/>
          </w:tcPr>
          <w:p w:rsidR="00912C48" w:rsidRPr="003B6925" w:rsidRDefault="006B62B2">
            <w:pPr>
              <w:jc w:val="both"/>
              <w:rPr>
                <w:rFonts w:ascii="Verdana" w:hAnsi="Verdana"/>
                <w:sz w:val="18"/>
                <w:szCs w:val="18"/>
              </w:rPr>
            </w:pPr>
            <w:r>
              <w:rPr>
                <w:rFonts w:ascii="Verdana" w:hAnsi="Verdana"/>
                <w:sz w:val="18"/>
                <w:szCs w:val="18"/>
              </w:rPr>
              <w:t>22</w:t>
            </w:r>
            <w:r w:rsidR="00E6266C" w:rsidRPr="003B6925">
              <w:rPr>
                <w:rFonts w:ascii="Verdana" w:hAnsi="Verdana"/>
                <w:sz w:val="18"/>
                <w:szCs w:val="18"/>
              </w:rPr>
              <w:t xml:space="preserve">. </w:t>
            </w:r>
            <w:r>
              <w:rPr>
                <w:rFonts w:ascii="Verdana" w:hAnsi="Verdana"/>
                <w:sz w:val="18"/>
                <w:szCs w:val="18"/>
              </w:rPr>
              <w:t>květen</w:t>
            </w:r>
            <w:bookmarkStart w:id="0" w:name="_GoBack"/>
            <w:bookmarkEnd w:id="0"/>
            <w:r w:rsidR="00E6266C" w:rsidRPr="003B6925">
              <w:rPr>
                <w:rFonts w:ascii="Verdana" w:hAnsi="Verdana"/>
                <w:sz w:val="18"/>
                <w:szCs w:val="18"/>
              </w:rPr>
              <w:t xml:space="preserve"> 2024</w:t>
            </w:r>
          </w:p>
        </w:tc>
      </w:tr>
      <w:tr w:rsidR="00F404C1" w:rsidRPr="003B6925">
        <w:trPr>
          <w:trHeight w:val="309"/>
        </w:trPr>
        <w:tc>
          <w:tcPr>
            <w:tcW w:w="2127" w:type="dxa"/>
          </w:tcPr>
          <w:p w:rsidR="00912C48" w:rsidRPr="003B6925" w:rsidRDefault="00E6266C">
            <w:pPr>
              <w:jc w:val="both"/>
              <w:rPr>
                <w:rFonts w:ascii="Verdana" w:hAnsi="Verdana"/>
                <w:b/>
                <w:bCs/>
                <w:sz w:val="18"/>
                <w:szCs w:val="18"/>
              </w:rPr>
            </w:pPr>
            <w:r w:rsidRPr="003B6925">
              <w:rPr>
                <w:rFonts w:ascii="Verdana" w:hAnsi="Verdana"/>
                <w:b/>
                <w:bCs/>
                <w:sz w:val="18"/>
                <w:szCs w:val="18"/>
              </w:rPr>
              <w:t>Místo</w:t>
            </w:r>
          </w:p>
        </w:tc>
        <w:tc>
          <w:tcPr>
            <w:tcW w:w="6928" w:type="dxa"/>
          </w:tcPr>
          <w:p w:rsidR="00912C48" w:rsidRPr="003B6925" w:rsidRDefault="00E6266C">
            <w:pPr>
              <w:jc w:val="both"/>
              <w:rPr>
                <w:rFonts w:ascii="Verdana" w:hAnsi="Verdana"/>
                <w:sz w:val="18"/>
                <w:szCs w:val="18"/>
              </w:rPr>
            </w:pPr>
            <w:r w:rsidRPr="003B6925">
              <w:rPr>
                <w:rFonts w:ascii="Verdana" w:hAnsi="Verdana"/>
                <w:sz w:val="18"/>
                <w:szCs w:val="18"/>
              </w:rPr>
              <w:t>Ministerstvo životního prostředí</w:t>
            </w:r>
          </w:p>
        </w:tc>
      </w:tr>
      <w:tr w:rsidR="00F404C1" w:rsidRPr="003B6925">
        <w:trPr>
          <w:trHeight w:val="309"/>
        </w:trPr>
        <w:tc>
          <w:tcPr>
            <w:tcW w:w="2127" w:type="dxa"/>
          </w:tcPr>
          <w:p w:rsidR="00912C48" w:rsidRPr="003B6925" w:rsidRDefault="00E6266C">
            <w:pPr>
              <w:jc w:val="both"/>
              <w:rPr>
                <w:rFonts w:ascii="Verdana" w:hAnsi="Verdana"/>
                <w:b/>
                <w:bCs/>
                <w:sz w:val="18"/>
                <w:szCs w:val="18"/>
              </w:rPr>
            </w:pPr>
            <w:r w:rsidRPr="003B6925">
              <w:rPr>
                <w:rFonts w:ascii="Verdana" w:hAnsi="Verdana"/>
                <w:b/>
                <w:bCs/>
                <w:sz w:val="18"/>
                <w:szCs w:val="18"/>
              </w:rPr>
              <w:t>Přítomní účastníci</w:t>
            </w:r>
          </w:p>
        </w:tc>
        <w:tc>
          <w:tcPr>
            <w:tcW w:w="6928" w:type="dxa"/>
          </w:tcPr>
          <w:p w:rsidR="00912C48" w:rsidRPr="003B6925" w:rsidRDefault="00E6266C">
            <w:pPr>
              <w:jc w:val="both"/>
              <w:rPr>
                <w:rFonts w:ascii="Verdana" w:hAnsi="Verdana"/>
                <w:sz w:val="16"/>
                <w:szCs w:val="18"/>
              </w:rPr>
            </w:pPr>
            <w:r w:rsidRPr="003B6925">
              <w:rPr>
                <w:rFonts w:ascii="Verdana" w:hAnsi="Verdana"/>
                <w:b/>
                <w:sz w:val="16"/>
                <w:szCs w:val="18"/>
              </w:rPr>
              <w:t>Fyzicky:</w:t>
            </w:r>
            <w:r w:rsidRPr="003B6925">
              <w:rPr>
                <w:rFonts w:ascii="Verdana" w:hAnsi="Verdana"/>
                <w:sz w:val="16"/>
                <w:szCs w:val="18"/>
              </w:rPr>
              <w:t xml:space="preserve"> Maggie </w:t>
            </w:r>
            <w:proofErr w:type="spellStart"/>
            <w:r w:rsidRPr="003B6925">
              <w:rPr>
                <w:rFonts w:ascii="Verdana" w:hAnsi="Verdana"/>
                <w:sz w:val="16"/>
                <w:szCs w:val="18"/>
              </w:rPr>
              <w:t>Škabraha</w:t>
            </w:r>
            <w:proofErr w:type="spellEnd"/>
            <w:r w:rsidRPr="003B6925">
              <w:rPr>
                <w:rFonts w:ascii="Verdana" w:hAnsi="Verdana"/>
                <w:sz w:val="16"/>
                <w:szCs w:val="18"/>
              </w:rPr>
              <w:t xml:space="preserve"> </w:t>
            </w:r>
            <w:proofErr w:type="spellStart"/>
            <w:r w:rsidRPr="003B6925">
              <w:rPr>
                <w:rFonts w:ascii="Verdana" w:hAnsi="Verdana"/>
                <w:sz w:val="16"/>
                <w:szCs w:val="18"/>
              </w:rPr>
              <w:t>Dokupilová</w:t>
            </w:r>
            <w:proofErr w:type="spellEnd"/>
            <w:r w:rsidRPr="003B6925">
              <w:rPr>
                <w:rFonts w:ascii="Verdana" w:hAnsi="Verdana"/>
                <w:sz w:val="16"/>
                <w:szCs w:val="18"/>
              </w:rPr>
              <w:t xml:space="preserve"> (MŽP), Beáta Hanousková (MŽP), Helena Staňková (MŽP), Petr Uhlíř (MŽP), Karel Polanecký (Hnutí Duha), Štěpán </w:t>
            </w:r>
            <w:proofErr w:type="spellStart"/>
            <w:r w:rsidRPr="003B6925">
              <w:rPr>
                <w:rFonts w:ascii="Verdana" w:hAnsi="Verdana"/>
                <w:sz w:val="16"/>
                <w:szCs w:val="18"/>
              </w:rPr>
              <w:t>Ripka</w:t>
            </w:r>
            <w:proofErr w:type="spellEnd"/>
            <w:r w:rsidRPr="003B6925">
              <w:rPr>
                <w:rFonts w:ascii="Verdana" w:hAnsi="Verdana"/>
                <w:sz w:val="16"/>
                <w:szCs w:val="18"/>
              </w:rPr>
              <w:t xml:space="preserve"> (MMR), Daniel Vališ (MMR ASZ), Vlastimil Beran (</w:t>
            </w:r>
            <w:r w:rsidR="006B62B2">
              <w:rPr>
                <w:rFonts w:ascii="Verdana" w:hAnsi="Verdana"/>
                <w:sz w:val="16"/>
                <w:szCs w:val="18"/>
              </w:rPr>
              <w:t>RILSA</w:t>
            </w:r>
            <w:r w:rsidRPr="003B6925">
              <w:rPr>
                <w:rFonts w:ascii="Verdana" w:hAnsi="Verdana"/>
                <w:sz w:val="16"/>
                <w:szCs w:val="18"/>
              </w:rPr>
              <w:t xml:space="preserve">), Michal Čejka (Centrum pasivního domu), Radim Kohoutek (Asociace poskytovatelů energetických služeb), Aleš Pekárek (MMR), Tomáš Novotný (MPSV), Markéta Gregorová (ÚV ČR), Martin </w:t>
            </w:r>
            <w:proofErr w:type="spellStart"/>
            <w:r w:rsidRPr="003B6925">
              <w:rPr>
                <w:rFonts w:ascii="Verdana" w:hAnsi="Verdana"/>
                <w:sz w:val="16"/>
                <w:szCs w:val="18"/>
              </w:rPr>
              <w:t>Hatka</w:t>
            </w:r>
            <w:proofErr w:type="spellEnd"/>
            <w:r w:rsidRPr="003B6925">
              <w:rPr>
                <w:rFonts w:ascii="Verdana" w:hAnsi="Verdana"/>
                <w:sz w:val="16"/>
                <w:szCs w:val="18"/>
              </w:rPr>
              <w:t xml:space="preserve"> (SMO ČR), Lenka Veselá (Sdružení nájemníků), Vladimír Sochor (MŽP), Jakub </w:t>
            </w:r>
            <w:proofErr w:type="spellStart"/>
            <w:r w:rsidRPr="003B6925">
              <w:rPr>
                <w:rFonts w:ascii="Verdana" w:hAnsi="Verdana"/>
                <w:sz w:val="16"/>
                <w:szCs w:val="18"/>
              </w:rPr>
              <w:t>Žilák</w:t>
            </w:r>
            <w:proofErr w:type="spellEnd"/>
            <w:r w:rsidRPr="003B6925">
              <w:rPr>
                <w:rFonts w:ascii="Verdana" w:hAnsi="Verdana"/>
                <w:sz w:val="16"/>
                <w:szCs w:val="18"/>
              </w:rPr>
              <w:t xml:space="preserve"> (MŽP), Jiří Růžička (SMO ČR).</w:t>
            </w:r>
          </w:p>
          <w:p w:rsidR="00912C48" w:rsidRPr="003B6925" w:rsidRDefault="00912C48">
            <w:pPr>
              <w:jc w:val="both"/>
              <w:rPr>
                <w:rFonts w:ascii="Verdana" w:hAnsi="Verdana"/>
                <w:sz w:val="16"/>
                <w:szCs w:val="18"/>
              </w:rPr>
            </w:pPr>
          </w:p>
          <w:p w:rsidR="00912C48" w:rsidRPr="003B6925" w:rsidRDefault="00E6266C">
            <w:pPr>
              <w:jc w:val="both"/>
              <w:rPr>
                <w:rFonts w:ascii="Verdana" w:hAnsi="Verdana"/>
                <w:sz w:val="16"/>
                <w:szCs w:val="18"/>
              </w:rPr>
            </w:pPr>
            <w:r w:rsidRPr="003B6925">
              <w:rPr>
                <w:rFonts w:ascii="Verdana" w:hAnsi="Verdana"/>
                <w:b/>
                <w:sz w:val="16"/>
                <w:szCs w:val="18"/>
              </w:rPr>
              <w:t>Online:</w:t>
            </w:r>
            <w:r w:rsidRPr="003B6925">
              <w:rPr>
                <w:rFonts w:ascii="Verdana" w:hAnsi="Verdana"/>
                <w:sz w:val="16"/>
                <w:szCs w:val="18"/>
              </w:rPr>
              <w:t xml:space="preserve"> Pavlína </w:t>
            </w:r>
            <w:proofErr w:type="spellStart"/>
            <w:r w:rsidRPr="003B6925">
              <w:rPr>
                <w:rFonts w:ascii="Verdana" w:hAnsi="Verdana"/>
                <w:sz w:val="16"/>
                <w:szCs w:val="18"/>
              </w:rPr>
              <w:t>Toporská</w:t>
            </w:r>
            <w:proofErr w:type="spellEnd"/>
            <w:r w:rsidRPr="003B6925">
              <w:rPr>
                <w:rFonts w:ascii="Verdana" w:hAnsi="Verdana"/>
                <w:sz w:val="16"/>
                <w:szCs w:val="18"/>
              </w:rPr>
              <w:t xml:space="preserve"> (SMO ČR),</w:t>
            </w:r>
            <w:r w:rsidR="00FC108D">
              <w:rPr>
                <w:rFonts w:ascii="Verdana" w:hAnsi="Verdana"/>
                <w:sz w:val="16"/>
                <w:szCs w:val="18"/>
              </w:rPr>
              <w:t xml:space="preserve"> </w:t>
            </w:r>
            <w:r w:rsidRPr="003B6925">
              <w:rPr>
                <w:rFonts w:ascii="Verdana" w:hAnsi="Verdana"/>
                <w:sz w:val="16"/>
                <w:szCs w:val="18"/>
              </w:rPr>
              <w:t xml:space="preserve">Marek </w:t>
            </w:r>
            <w:proofErr w:type="spellStart"/>
            <w:r w:rsidRPr="003B6925">
              <w:rPr>
                <w:rFonts w:ascii="Verdana" w:hAnsi="Verdana"/>
                <w:sz w:val="16"/>
                <w:szCs w:val="18"/>
              </w:rPr>
              <w:t>Maleňák</w:t>
            </w:r>
            <w:proofErr w:type="spellEnd"/>
            <w:r w:rsidRPr="003B6925">
              <w:rPr>
                <w:rFonts w:ascii="Verdana" w:hAnsi="Verdana"/>
                <w:sz w:val="16"/>
                <w:szCs w:val="18"/>
              </w:rPr>
              <w:t xml:space="preserve"> (MPSV), Karel Kabele (ČVUT/ČKAIT), Petr Beck (MPSV), Martin Klouda (SFPI), Eva Srnová (EU expert, pověřena vedením tvorby nařízení k SKF v Radě EU za Českého předsednictví 2022), Jan Brych (MPSV), Martina Krčová (ERÚ), </w:t>
            </w:r>
            <w:proofErr w:type="spellStart"/>
            <w:r w:rsidRPr="003B6925">
              <w:rPr>
                <w:rFonts w:ascii="Verdana" w:hAnsi="Verdana"/>
                <w:sz w:val="16"/>
                <w:szCs w:val="18"/>
              </w:rPr>
              <w:t>Kristína</w:t>
            </w:r>
            <w:proofErr w:type="spellEnd"/>
            <w:r w:rsidRPr="003B6925">
              <w:rPr>
                <w:rFonts w:ascii="Verdana" w:hAnsi="Verdana"/>
                <w:sz w:val="16"/>
                <w:szCs w:val="18"/>
              </w:rPr>
              <w:t xml:space="preserve"> </w:t>
            </w:r>
            <w:proofErr w:type="spellStart"/>
            <w:r w:rsidRPr="003B6925">
              <w:rPr>
                <w:rFonts w:ascii="Verdana" w:hAnsi="Verdana"/>
                <w:sz w:val="16"/>
                <w:szCs w:val="18"/>
              </w:rPr>
              <w:t>Zindulková</w:t>
            </w:r>
            <w:proofErr w:type="spellEnd"/>
            <w:r w:rsidRPr="003B6925">
              <w:rPr>
                <w:rFonts w:ascii="Verdana" w:hAnsi="Verdana"/>
                <w:sz w:val="16"/>
                <w:szCs w:val="18"/>
              </w:rPr>
              <w:t xml:space="preserve"> (AMO), Richard Juřík (MŽP), Natálie Marková (MPO), Jan Malý Blažek (VUT Brno), Jan Klusáček (Platforma pro sociální bydlení), Zuzana Vondrová (CDE), Lukáš Minařík (MŽP), Jakub Hrbek (SFŽP), Zbyněk Drbal (SFŽP), Jan Černý (Člověk v tísni).</w:t>
            </w:r>
          </w:p>
          <w:p w:rsidR="00912C48" w:rsidRPr="003B6925" w:rsidRDefault="00912C48">
            <w:pPr>
              <w:jc w:val="both"/>
              <w:rPr>
                <w:rFonts w:ascii="Verdana" w:hAnsi="Verdana"/>
                <w:sz w:val="16"/>
                <w:szCs w:val="18"/>
              </w:rPr>
            </w:pPr>
          </w:p>
          <w:p w:rsidR="00912C48" w:rsidRPr="003B6925" w:rsidRDefault="00E6266C">
            <w:pPr>
              <w:jc w:val="both"/>
              <w:rPr>
                <w:rFonts w:ascii="Verdana" w:hAnsi="Verdana"/>
                <w:sz w:val="18"/>
                <w:szCs w:val="18"/>
              </w:rPr>
            </w:pPr>
            <w:r w:rsidRPr="003B6925">
              <w:rPr>
                <w:rFonts w:ascii="Verdana" w:hAnsi="Verdana"/>
                <w:b/>
                <w:sz w:val="16"/>
                <w:szCs w:val="18"/>
              </w:rPr>
              <w:t>Nepřítomni:</w:t>
            </w:r>
            <w:r w:rsidRPr="003B6925">
              <w:rPr>
                <w:rFonts w:ascii="Verdana" w:hAnsi="Verdana"/>
                <w:sz w:val="16"/>
                <w:szCs w:val="18"/>
              </w:rPr>
              <w:t xml:space="preserve"> NS MAS, SMS ČR, AK ČR.</w:t>
            </w:r>
          </w:p>
        </w:tc>
      </w:tr>
    </w:tbl>
    <w:tbl>
      <w:tblPr>
        <w:tblpPr w:leftFromText="141" w:rightFromText="141" w:vertAnchor="text" w:horzAnchor="margin" w:tblpY="386"/>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4"/>
      </w:tblGrid>
      <w:tr w:rsidR="00F404C1" w:rsidRPr="003B6925">
        <w:trPr>
          <w:trHeight w:val="1328"/>
        </w:trPr>
        <w:tc>
          <w:tcPr>
            <w:tcW w:w="9364" w:type="dxa"/>
          </w:tcPr>
          <w:p w:rsidR="00912C48" w:rsidRPr="003B6925" w:rsidRDefault="00E6266C">
            <w:pPr>
              <w:spacing w:after="0" w:line="240" w:lineRule="auto"/>
              <w:jc w:val="both"/>
              <w:rPr>
                <w:rFonts w:ascii="Verdana" w:eastAsia="Times New Roman" w:hAnsi="Verdana" w:cs="Times New Roman"/>
                <w:sz w:val="18"/>
                <w:szCs w:val="18"/>
                <w:lang w:eastAsia="cs-CZ"/>
              </w:rPr>
            </w:pPr>
            <w:r w:rsidRPr="003B6925">
              <w:rPr>
                <w:rFonts w:ascii="Verdana" w:eastAsia="Times New Roman" w:hAnsi="Verdana" w:cs="Calibri"/>
                <w:b/>
                <w:bCs/>
                <w:sz w:val="18"/>
                <w:szCs w:val="18"/>
                <w:lang w:eastAsia="cs-CZ"/>
              </w:rPr>
              <w:t>Úkoly:</w:t>
            </w:r>
          </w:p>
          <w:p w:rsidR="00912C48" w:rsidRPr="003B6925" w:rsidRDefault="00E6266C">
            <w:pPr>
              <w:pStyle w:val="Odstavecseseznamem"/>
              <w:numPr>
                <w:ilvl w:val="0"/>
                <w:numId w:val="10"/>
              </w:numPr>
              <w:spacing w:line="240" w:lineRule="auto"/>
              <w:ind w:left="793"/>
              <w:rPr>
                <w:rFonts w:ascii="Verdana" w:eastAsia="Times New Roman" w:hAnsi="Verdana" w:cs="Times New Roman"/>
                <w:sz w:val="18"/>
                <w:szCs w:val="18"/>
                <w:lang w:eastAsia="cs-CZ"/>
              </w:rPr>
            </w:pPr>
            <w:r w:rsidRPr="003B6925">
              <w:rPr>
                <w:rFonts w:ascii="Verdana" w:eastAsia="Times New Roman" w:hAnsi="Verdana" w:cs="Times New Roman"/>
                <w:sz w:val="18"/>
                <w:szCs w:val="18"/>
                <w:lang w:eastAsia="cs-CZ"/>
              </w:rPr>
              <w:t xml:space="preserve">Sdílení </w:t>
            </w:r>
            <w:proofErr w:type="gramStart"/>
            <w:r w:rsidRPr="003B6925">
              <w:rPr>
                <w:rFonts w:ascii="Verdana" w:eastAsia="Times New Roman" w:hAnsi="Verdana" w:cs="Times New Roman"/>
                <w:sz w:val="18"/>
                <w:szCs w:val="18"/>
                <w:lang w:eastAsia="cs-CZ"/>
              </w:rPr>
              <w:t>relevantních  informaci</w:t>
            </w:r>
            <w:proofErr w:type="gramEnd"/>
            <w:r w:rsidRPr="003B6925">
              <w:rPr>
                <w:rFonts w:ascii="Verdana" w:eastAsia="Times New Roman" w:hAnsi="Verdana" w:cs="Times New Roman"/>
                <w:sz w:val="18"/>
                <w:szCs w:val="18"/>
                <w:lang w:eastAsia="cs-CZ"/>
              </w:rPr>
              <w:t xml:space="preserve"> o aktuálně poskytovaných podporách, souvisejících politikách a plánovaných intervencích, které je možné zvážit pro přípravu SKP.</w:t>
            </w:r>
            <w:r w:rsidRPr="003B6925">
              <w:rPr>
                <w:rFonts w:ascii="Verdana" w:eastAsia="Times New Roman" w:hAnsi="Verdana" w:cs="Times New Roman"/>
                <w:sz w:val="18"/>
                <w:szCs w:val="18"/>
                <w:lang w:eastAsia="cs-CZ"/>
              </w:rPr>
              <w:br/>
            </w:r>
            <w:r w:rsidRPr="003B6925">
              <w:rPr>
                <w:rFonts w:ascii="Verdana" w:eastAsia="Times New Roman" w:hAnsi="Verdana" w:cs="Times New Roman"/>
                <w:b/>
                <w:bCs/>
                <w:sz w:val="18"/>
                <w:szCs w:val="18"/>
                <w:lang w:eastAsia="cs-CZ"/>
              </w:rPr>
              <w:t>Gestor:</w:t>
            </w:r>
            <w:r w:rsidRPr="003B6925">
              <w:rPr>
                <w:rFonts w:ascii="Verdana" w:eastAsia="Times New Roman" w:hAnsi="Verdana" w:cs="Times New Roman"/>
                <w:sz w:val="18"/>
                <w:szCs w:val="18"/>
                <w:lang w:eastAsia="cs-CZ"/>
              </w:rPr>
              <w:t xml:space="preserve"> Všichni</w:t>
            </w:r>
            <w:r w:rsidRPr="003B6925">
              <w:rPr>
                <w:rFonts w:ascii="Verdana" w:eastAsia="Times New Roman" w:hAnsi="Verdana" w:cs="Times New Roman"/>
                <w:sz w:val="18"/>
                <w:szCs w:val="18"/>
                <w:lang w:eastAsia="cs-CZ"/>
              </w:rPr>
              <w:br/>
            </w:r>
            <w:r w:rsidRPr="003B6925">
              <w:rPr>
                <w:rFonts w:ascii="Verdana" w:eastAsia="Times New Roman" w:hAnsi="Verdana" w:cs="Times New Roman"/>
                <w:b/>
                <w:bCs/>
                <w:sz w:val="18"/>
                <w:szCs w:val="18"/>
                <w:lang w:eastAsia="cs-CZ"/>
              </w:rPr>
              <w:t>Termín:</w:t>
            </w:r>
            <w:r w:rsidRPr="003B6925">
              <w:rPr>
                <w:rFonts w:ascii="Verdana" w:eastAsia="Times New Roman" w:hAnsi="Verdana" w:cs="Times New Roman"/>
                <w:sz w:val="18"/>
                <w:szCs w:val="18"/>
                <w:lang w:eastAsia="cs-CZ"/>
              </w:rPr>
              <w:t xml:space="preserve"> do 2. jednání TPS SKF B</w:t>
            </w:r>
          </w:p>
          <w:p w:rsidR="00912C48" w:rsidRPr="003B6925" w:rsidRDefault="00912C48">
            <w:pPr>
              <w:pStyle w:val="Odstavecseseznamem"/>
              <w:rPr>
                <w:rFonts w:ascii="Verdana" w:eastAsia="Times New Roman" w:hAnsi="Verdana" w:cs="Times New Roman"/>
                <w:sz w:val="18"/>
                <w:szCs w:val="18"/>
                <w:lang w:eastAsia="cs-CZ"/>
              </w:rPr>
            </w:pPr>
          </w:p>
          <w:p w:rsidR="00912C48" w:rsidRPr="003B6925" w:rsidRDefault="00E6266C">
            <w:pPr>
              <w:pStyle w:val="Odstavecseseznamem"/>
              <w:numPr>
                <w:ilvl w:val="0"/>
                <w:numId w:val="10"/>
              </w:numPr>
              <w:spacing w:line="240" w:lineRule="auto"/>
              <w:ind w:left="793"/>
              <w:rPr>
                <w:rFonts w:ascii="Verdana" w:eastAsia="Times New Roman" w:hAnsi="Verdana" w:cs="Times New Roman"/>
                <w:sz w:val="18"/>
                <w:szCs w:val="18"/>
                <w:lang w:eastAsia="cs-CZ"/>
              </w:rPr>
            </w:pPr>
            <w:r w:rsidRPr="003B6925">
              <w:rPr>
                <w:rFonts w:ascii="Verdana" w:eastAsia="Times New Roman" w:hAnsi="Verdana" w:cs="Times New Roman"/>
                <w:sz w:val="18"/>
                <w:szCs w:val="18"/>
                <w:lang w:eastAsia="cs-CZ"/>
              </w:rPr>
              <w:t>MŽP připraví sdílený disk pro sdílení dokumentů.</w:t>
            </w:r>
            <w:r w:rsidRPr="003B6925">
              <w:rPr>
                <w:rFonts w:ascii="Verdana" w:eastAsia="Times New Roman" w:hAnsi="Verdana" w:cs="Times New Roman"/>
                <w:b/>
                <w:sz w:val="18"/>
                <w:szCs w:val="18"/>
                <w:lang w:eastAsia="cs-CZ"/>
              </w:rPr>
              <w:br/>
            </w:r>
            <w:r w:rsidRPr="003B6925">
              <w:rPr>
                <w:rFonts w:ascii="Verdana" w:eastAsia="Times New Roman" w:hAnsi="Verdana" w:cs="Times New Roman"/>
                <w:b/>
                <w:bCs/>
                <w:sz w:val="18"/>
                <w:szCs w:val="18"/>
                <w:lang w:eastAsia="cs-CZ"/>
              </w:rPr>
              <w:t>Gestor:</w:t>
            </w:r>
            <w:r w:rsidRPr="003B6925">
              <w:rPr>
                <w:rFonts w:ascii="Verdana" w:eastAsia="Times New Roman" w:hAnsi="Verdana" w:cs="Times New Roman"/>
                <w:sz w:val="18"/>
                <w:szCs w:val="18"/>
                <w:lang w:eastAsia="cs-CZ"/>
              </w:rPr>
              <w:t xml:space="preserve"> MŽP </w:t>
            </w:r>
            <w:r w:rsidRPr="003B6925">
              <w:rPr>
                <w:rFonts w:ascii="Verdana" w:eastAsia="Times New Roman" w:hAnsi="Verdana" w:cs="Times New Roman"/>
                <w:sz w:val="18"/>
                <w:szCs w:val="18"/>
                <w:lang w:eastAsia="cs-CZ"/>
              </w:rPr>
              <w:br/>
            </w:r>
            <w:r w:rsidRPr="003B6925">
              <w:rPr>
                <w:rFonts w:ascii="Verdana" w:eastAsia="Times New Roman" w:hAnsi="Verdana" w:cs="Times New Roman"/>
                <w:b/>
                <w:bCs/>
                <w:sz w:val="18"/>
                <w:szCs w:val="18"/>
                <w:lang w:eastAsia="cs-CZ"/>
              </w:rPr>
              <w:t>Termín:</w:t>
            </w:r>
            <w:r w:rsidRPr="003B6925">
              <w:rPr>
                <w:rFonts w:ascii="Verdana" w:eastAsia="Times New Roman" w:hAnsi="Verdana" w:cs="Times New Roman"/>
                <w:sz w:val="18"/>
                <w:szCs w:val="18"/>
                <w:lang w:eastAsia="cs-CZ"/>
              </w:rPr>
              <w:t xml:space="preserve"> do 2. jednání TPS SKF B</w:t>
            </w:r>
          </w:p>
          <w:p w:rsidR="00912C48" w:rsidRPr="003B6925" w:rsidRDefault="00912C48">
            <w:pPr>
              <w:pStyle w:val="Odstavecseseznamem"/>
              <w:rPr>
                <w:rFonts w:ascii="Verdana" w:eastAsia="Times New Roman" w:hAnsi="Verdana" w:cs="Times New Roman"/>
                <w:sz w:val="18"/>
                <w:szCs w:val="18"/>
                <w:lang w:eastAsia="cs-CZ"/>
              </w:rPr>
            </w:pPr>
          </w:p>
          <w:p w:rsidR="00912C48" w:rsidRPr="003B6925" w:rsidRDefault="00E6266C">
            <w:pPr>
              <w:pStyle w:val="Odstavecseseznamem"/>
              <w:numPr>
                <w:ilvl w:val="0"/>
                <w:numId w:val="10"/>
              </w:numPr>
              <w:spacing w:line="240" w:lineRule="auto"/>
              <w:ind w:left="793"/>
              <w:rPr>
                <w:rFonts w:ascii="Verdana" w:eastAsia="Times New Roman" w:hAnsi="Verdana" w:cs="Times New Roman"/>
                <w:sz w:val="18"/>
                <w:szCs w:val="18"/>
                <w:lang w:eastAsia="cs-CZ"/>
              </w:rPr>
            </w:pPr>
            <w:r w:rsidRPr="003B6925">
              <w:rPr>
                <w:rFonts w:ascii="Verdana" w:eastAsia="Times New Roman" w:hAnsi="Verdana" w:cs="Times New Roman"/>
                <w:sz w:val="18"/>
                <w:szCs w:val="18"/>
                <w:lang w:eastAsia="cs-CZ"/>
              </w:rPr>
              <w:t>MŽP připraví podkladový materiál pro práci TPS SKF B, ve kterém shrne dosavadní přístupy k energetické chudobě a otevře další možnosti zacílení podpory pro zranitelné v SKF. Tento materiál bude otevřen revizím a přístupný všem členům TPS SKF B na společném uložišti.</w:t>
            </w:r>
            <w:r w:rsidRPr="003B6925">
              <w:rPr>
                <w:rFonts w:ascii="Verdana" w:eastAsia="Times New Roman" w:hAnsi="Verdana" w:cs="Times New Roman"/>
                <w:sz w:val="18"/>
                <w:szCs w:val="18"/>
                <w:lang w:eastAsia="cs-CZ"/>
              </w:rPr>
              <w:br/>
            </w:r>
            <w:r w:rsidRPr="003B6925">
              <w:rPr>
                <w:rFonts w:ascii="Verdana" w:eastAsia="Times New Roman" w:hAnsi="Verdana" w:cs="Times New Roman"/>
                <w:b/>
                <w:bCs/>
                <w:sz w:val="18"/>
                <w:szCs w:val="18"/>
                <w:lang w:eastAsia="cs-CZ"/>
              </w:rPr>
              <w:t>Gestor:</w:t>
            </w:r>
            <w:r w:rsidRPr="003B6925">
              <w:rPr>
                <w:rFonts w:ascii="Verdana" w:eastAsia="Times New Roman" w:hAnsi="Verdana" w:cs="Times New Roman"/>
                <w:sz w:val="18"/>
                <w:szCs w:val="18"/>
                <w:lang w:eastAsia="cs-CZ"/>
              </w:rPr>
              <w:t xml:space="preserve"> Všichni (pro doplnění materiálu)</w:t>
            </w:r>
            <w:r w:rsidRPr="003B6925">
              <w:rPr>
                <w:rFonts w:ascii="Verdana" w:eastAsia="Times New Roman" w:hAnsi="Verdana" w:cs="Times New Roman"/>
                <w:sz w:val="18"/>
                <w:szCs w:val="18"/>
                <w:lang w:eastAsia="cs-CZ"/>
              </w:rPr>
              <w:br/>
            </w:r>
            <w:r w:rsidRPr="003B6925">
              <w:rPr>
                <w:rFonts w:ascii="Verdana" w:eastAsia="Times New Roman" w:hAnsi="Verdana" w:cs="Times New Roman"/>
                <w:b/>
                <w:bCs/>
                <w:sz w:val="18"/>
                <w:szCs w:val="18"/>
                <w:lang w:eastAsia="cs-CZ"/>
              </w:rPr>
              <w:t>Termín:</w:t>
            </w:r>
            <w:r w:rsidRPr="003B6925">
              <w:rPr>
                <w:rFonts w:ascii="Verdana" w:eastAsia="Times New Roman" w:hAnsi="Verdana" w:cs="Times New Roman"/>
                <w:sz w:val="18"/>
                <w:szCs w:val="18"/>
                <w:lang w:eastAsia="cs-CZ"/>
              </w:rPr>
              <w:t xml:space="preserve"> do 2. jednání TPS SKF B</w:t>
            </w:r>
          </w:p>
        </w:tc>
      </w:tr>
    </w:tbl>
    <w:p w:rsidR="00912C48" w:rsidRPr="003B6925" w:rsidRDefault="00912C48">
      <w:pPr>
        <w:spacing w:before="100" w:beforeAutospacing="1" w:after="100" w:afterAutospacing="1" w:line="240" w:lineRule="auto"/>
        <w:jc w:val="both"/>
        <w:rPr>
          <w:rFonts w:ascii="Verdana" w:eastAsia="Times New Roman" w:hAnsi="Verdana" w:cs="Calibri"/>
          <w:b/>
          <w:bCs/>
          <w:sz w:val="18"/>
          <w:szCs w:val="18"/>
          <w:lang w:eastAsia="cs-CZ"/>
        </w:rPr>
      </w:pPr>
    </w:p>
    <w:p w:rsidR="00804D44" w:rsidRDefault="00804D44">
      <w:pPr>
        <w:spacing w:before="100" w:beforeAutospacing="1" w:after="100" w:afterAutospacing="1" w:line="240" w:lineRule="auto"/>
        <w:jc w:val="both"/>
        <w:rPr>
          <w:rFonts w:ascii="Verdana" w:eastAsia="Times New Roman" w:hAnsi="Verdana" w:cs="Calibri"/>
          <w:b/>
          <w:bCs/>
          <w:sz w:val="20"/>
          <w:szCs w:val="18"/>
          <w:lang w:eastAsia="cs-CZ"/>
        </w:rPr>
      </w:pPr>
    </w:p>
    <w:p w:rsidR="00912C48" w:rsidRPr="003B6925" w:rsidRDefault="00E6266C">
      <w:pPr>
        <w:spacing w:before="100" w:beforeAutospacing="1" w:after="100" w:afterAutospacing="1" w:line="240" w:lineRule="auto"/>
        <w:jc w:val="both"/>
        <w:rPr>
          <w:rFonts w:ascii="Verdana" w:eastAsia="Times New Roman" w:hAnsi="Verdana" w:cs="Times New Roman"/>
          <w:sz w:val="20"/>
          <w:szCs w:val="18"/>
          <w:lang w:eastAsia="cs-CZ"/>
        </w:rPr>
      </w:pPr>
      <w:r w:rsidRPr="003B6925">
        <w:rPr>
          <w:rFonts w:ascii="Verdana" w:eastAsia="Times New Roman" w:hAnsi="Verdana" w:cs="Calibri"/>
          <w:b/>
          <w:bCs/>
          <w:sz w:val="20"/>
          <w:szCs w:val="18"/>
          <w:lang w:eastAsia="cs-CZ"/>
        </w:rPr>
        <w:t>Program jednání:</w:t>
      </w:r>
    </w:p>
    <w:p w:rsidR="00912C48" w:rsidRPr="003B6925" w:rsidRDefault="00E6266C">
      <w:pPr>
        <w:pStyle w:val="Odstavecseseznamem"/>
        <w:numPr>
          <w:ilvl w:val="0"/>
          <w:numId w:val="3"/>
        </w:numPr>
        <w:spacing w:before="100" w:beforeAutospacing="1" w:after="100" w:afterAutospacing="1" w:line="240" w:lineRule="auto"/>
        <w:jc w:val="both"/>
        <w:rPr>
          <w:rFonts w:ascii="Verdana" w:eastAsia="Times New Roman" w:hAnsi="Verdana" w:cs="Calibri"/>
          <w:sz w:val="20"/>
          <w:szCs w:val="18"/>
          <w:lang w:eastAsia="cs-CZ"/>
        </w:rPr>
      </w:pPr>
      <w:r w:rsidRPr="003B6925">
        <w:rPr>
          <w:rFonts w:ascii="Verdana" w:eastAsia="Times New Roman" w:hAnsi="Verdana" w:cs="Calibri"/>
          <w:sz w:val="20"/>
          <w:szCs w:val="18"/>
          <w:lang w:eastAsia="cs-CZ"/>
        </w:rPr>
        <w:t xml:space="preserve">Úvod a představení činnosti TPS SKF B </w:t>
      </w:r>
    </w:p>
    <w:p w:rsidR="00912C48" w:rsidRPr="003B6925" w:rsidRDefault="00E6266C">
      <w:pPr>
        <w:pStyle w:val="Odstavecseseznamem"/>
        <w:numPr>
          <w:ilvl w:val="0"/>
          <w:numId w:val="3"/>
        </w:numPr>
        <w:spacing w:before="100" w:beforeAutospacing="1" w:after="100" w:afterAutospacing="1" w:line="240" w:lineRule="auto"/>
        <w:jc w:val="both"/>
        <w:rPr>
          <w:rFonts w:ascii="Verdana" w:eastAsia="Times New Roman" w:hAnsi="Verdana" w:cs="Calibri"/>
          <w:sz w:val="20"/>
          <w:szCs w:val="18"/>
          <w:lang w:eastAsia="cs-CZ"/>
        </w:rPr>
      </w:pPr>
      <w:r w:rsidRPr="003B6925">
        <w:rPr>
          <w:rFonts w:ascii="Verdana" w:eastAsia="Times New Roman" w:hAnsi="Verdana" w:cs="Calibri"/>
          <w:sz w:val="20"/>
          <w:szCs w:val="18"/>
          <w:lang w:eastAsia="cs-CZ"/>
        </w:rPr>
        <w:t xml:space="preserve">Úvodní informace o Sociálním klimatickém fondu – oblast budov </w:t>
      </w:r>
    </w:p>
    <w:p w:rsidR="00912C48" w:rsidRPr="003B6925" w:rsidRDefault="00E6266C">
      <w:pPr>
        <w:pStyle w:val="Odstavecseseznamem"/>
        <w:numPr>
          <w:ilvl w:val="0"/>
          <w:numId w:val="3"/>
        </w:numPr>
        <w:spacing w:before="100" w:beforeAutospacing="1" w:after="100" w:afterAutospacing="1" w:line="240" w:lineRule="auto"/>
        <w:jc w:val="both"/>
        <w:rPr>
          <w:rFonts w:ascii="Verdana" w:eastAsia="Times New Roman" w:hAnsi="Verdana" w:cs="Calibri"/>
          <w:sz w:val="20"/>
          <w:szCs w:val="18"/>
          <w:lang w:eastAsia="cs-CZ"/>
        </w:rPr>
      </w:pPr>
      <w:r w:rsidRPr="003B6925">
        <w:rPr>
          <w:rFonts w:ascii="Verdana" w:eastAsia="Times New Roman" w:hAnsi="Verdana" w:cs="Calibri"/>
          <w:sz w:val="20"/>
          <w:szCs w:val="18"/>
          <w:lang w:eastAsia="cs-CZ"/>
        </w:rPr>
        <w:t xml:space="preserve">Aktuální informace k EU ETS2 </w:t>
      </w:r>
    </w:p>
    <w:p w:rsidR="00912C48" w:rsidRPr="003B6925" w:rsidRDefault="00E6266C">
      <w:pPr>
        <w:pStyle w:val="Odstavecseseznamem"/>
        <w:numPr>
          <w:ilvl w:val="0"/>
          <w:numId w:val="3"/>
        </w:numPr>
        <w:spacing w:before="100" w:beforeAutospacing="1" w:after="100" w:afterAutospacing="1" w:line="240" w:lineRule="auto"/>
        <w:jc w:val="both"/>
        <w:rPr>
          <w:rFonts w:ascii="Verdana" w:eastAsia="Times New Roman" w:hAnsi="Verdana" w:cs="Calibri"/>
          <w:sz w:val="20"/>
          <w:szCs w:val="18"/>
          <w:lang w:eastAsia="cs-CZ"/>
        </w:rPr>
      </w:pPr>
      <w:r w:rsidRPr="003B6925">
        <w:rPr>
          <w:rFonts w:ascii="Verdana" w:eastAsia="Times New Roman" w:hAnsi="Verdana" w:cs="Calibri"/>
          <w:sz w:val="20"/>
          <w:szCs w:val="18"/>
          <w:lang w:eastAsia="cs-CZ"/>
        </w:rPr>
        <w:t>Přehled současných programů relevantních pro SKF</w:t>
      </w:r>
      <w:r w:rsidR="00F16FBA">
        <w:rPr>
          <w:rFonts w:ascii="Verdana" w:eastAsia="Times New Roman" w:hAnsi="Verdana" w:cs="Calibri"/>
          <w:sz w:val="20"/>
          <w:szCs w:val="18"/>
          <w:lang w:eastAsia="cs-CZ"/>
        </w:rPr>
        <w:t xml:space="preserve"> </w:t>
      </w:r>
      <w:r w:rsidR="00F16FBA" w:rsidRPr="00F16FBA">
        <w:rPr>
          <w:rFonts w:ascii="Verdana" w:eastAsia="Times New Roman" w:hAnsi="Verdana" w:cs="Calibri"/>
          <w:sz w:val="20"/>
          <w:szCs w:val="18"/>
          <w:lang w:eastAsia="cs-CZ"/>
        </w:rPr>
        <w:t>– Reforma poradenství pro renovační vlnu ČR</w:t>
      </w:r>
    </w:p>
    <w:p w:rsidR="00912C48" w:rsidRPr="003B6925" w:rsidRDefault="00E6266C">
      <w:pPr>
        <w:pStyle w:val="Odstavecseseznamem"/>
        <w:numPr>
          <w:ilvl w:val="0"/>
          <w:numId w:val="3"/>
        </w:numPr>
        <w:spacing w:before="100" w:beforeAutospacing="1" w:after="100" w:afterAutospacing="1" w:line="240" w:lineRule="auto"/>
        <w:jc w:val="both"/>
        <w:rPr>
          <w:rFonts w:ascii="Verdana" w:eastAsia="Times New Roman" w:hAnsi="Verdana" w:cs="Calibri"/>
          <w:sz w:val="20"/>
          <w:szCs w:val="18"/>
          <w:lang w:eastAsia="cs-CZ"/>
        </w:rPr>
      </w:pPr>
      <w:r w:rsidRPr="003B6925">
        <w:rPr>
          <w:rFonts w:ascii="Verdana" w:eastAsia="Times New Roman" w:hAnsi="Verdana" w:cs="Calibri"/>
          <w:sz w:val="20"/>
          <w:szCs w:val="18"/>
          <w:lang w:eastAsia="cs-CZ"/>
        </w:rPr>
        <w:t xml:space="preserve">Diskuze a závěr </w:t>
      </w:r>
    </w:p>
    <w:p w:rsidR="00912C48" w:rsidRPr="003B6925" w:rsidRDefault="00912C48">
      <w:pPr>
        <w:pStyle w:val="Odstavecseseznamem"/>
        <w:spacing w:before="100" w:beforeAutospacing="1" w:after="100" w:afterAutospacing="1" w:line="240" w:lineRule="auto"/>
        <w:jc w:val="both"/>
        <w:rPr>
          <w:rFonts w:ascii="Verdana" w:eastAsia="Times New Roman" w:hAnsi="Verdana" w:cs="Times New Roman"/>
          <w:b/>
          <w:bCs/>
          <w:sz w:val="20"/>
          <w:szCs w:val="18"/>
          <w:lang w:eastAsia="cs-CZ"/>
        </w:rPr>
      </w:pPr>
    </w:p>
    <w:p w:rsidR="00912C48" w:rsidRPr="003B6925" w:rsidRDefault="00912C48">
      <w:pPr>
        <w:pStyle w:val="Odstavecseseznamem"/>
        <w:spacing w:before="100" w:beforeAutospacing="1" w:after="100" w:afterAutospacing="1" w:line="240" w:lineRule="auto"/>
        <w:jc w:val="both"/>
        <w:rPr>
          <w:rFonts w:ascii="Verdana" w:eastAsia="Times New Roman" w:hAnsi="Verdana" w:cs="Times New Roman"/>
          <w:b/>
          <w:bCs/>
          <w:sz w:val="20"/>
          <w:szCs w:val="18"/>
          <w:lang w:eastAsia="cs-CZ"/>
        </w:rPr>
      </w:pPr>
    </w:p>
    <w:p w:rsidR="00912C48" w:rsidRPr="003B6925" w:rsidRDefault="00E6266C">
      <w:pPr>
        <w:pStyle w:val="Odstavecseseznamem"/>
        <w:numPr>
          <w:ilvl w:val="0"/>
          <w:numId w:val="12"/>
        </w:numPr>
        <w:spacing w:before="100" w:beforeAutospacing="1" w:after="100" w:afterAutospacing="1" w:line="240" w:lineRule="auto"/>
        <w:jc w:val="both"/>
        <w:rPr>
          <w:rFonts w:ascii="Verdana" w:eastAsia="Times New Roman" w:hAnsi="Verdana" w:cs="Times New Roman"/>
          <w:b/>
          <w:bCs/>
          <w:sz w:val="20"/>
          <w:szCs w:val="18"/>
          <w:lang w:eastAsia="cs-CZ"/>
        </w:rPr>
      </w:pPr>
      <w:r w:rsidRPr="003B6925">
        <w:rPr>
          <w:rFonts w:ascii="Verdana" w:eastAsia="Times New Roman" w:hAnsi="Verdana" w:cs="Calibri"/>
          <w:b/>
          <w:bCs/>
          <w:sz w:val="20"/>
          <w:szCs w:val="18"/>
          <w:lang w:eastAsia="cs-CZ"/>
        </w:rPr>
        <w:t>Úvod a představení činnost TPS SKF B</w:t>
      </w:r>
    </w:p>
    <w:p w:rsidR="00912C48" w:rsidRPr="003B6925" w:rsidRDefault="00E6266C">
      <w:pPr>
        <w:jc w:val="both"/>
        <w:rPr>
          <w:rFonts w:ascii="Verdana" w:hAnsi="Verdana"/>
          <w:sz w:val="20"/>
          <w:szCs w:val="20"/>
        </w:rPr>
      </w:pPr>
      <w:r w:rsidRPr="003B6925">
        <w:rPr>
          <w:rFonts w:ascii="Verdana" w:hAnsi="Verdana"/>
          <w:sz w:val="20"/>
          <w:szCs w:val="20"/>
        </w:rPr>
        <w:t xml:space="preserve">M. </w:t>
      </w:r>
      <w:proofErr w:type="spellStart"/>
      <w:r w:rsidRPr="003B6925">
        <w:rPr>
          <w:rFonts w:ascii="Verdana" w:hAnsi="Verdana"/>
          <w:sz w:val="20"/>
          <w:szCs w:val="20"/>
        </w:rPr>
        <w:t>Škabraha</w:t>
      </w:r>
      <w:proofErr w:type="spellEnd"/>
      <w:r w:rsidRPr="003B6925">
        <w:rPr>
          <w:rFonts w:ascii="Verdana" w:hAnsi="Verdana"/>
          <w:sz w:val="20"/>
          <w:szCs w:val="20"/>
        </w:rPr>
        <w:t xml:space="preserve"> </w:t>
      </w:r>
      <w:proofErr w:type="spellStart"/>
      <w:r w:rsidRPr="003B6925">
        <w:rPr>
          <w:rFonts w:ascii="Verdana" w:hAnsi="Verdana"/>
          <w:sz w:val="20"/>
          <w:szCs w:val="20"/>
        </w:rPr>
        <w:t>Dokupilová</w:t>
      </w:r>
      <w:proofErr w:type="spellEnd"/>
      <w:r w:rsidRPr="003B6925">
        <w:rPr>
          <w:rFonts w:ascii="Verdana" w:hAnsi="Verdana"/>
          <w:sz w:val="20"/>
          <w:szCs w:val="20"/>
        </w:rPr>
        <w:t xml:space="preserve"> (MŽP) přivítala členy TPS SKF B, upozornila na nahrávání jednání a zmínila, že zápis bude zveřejněn na </w:t>
      </w:r>
      <w:hyperlink r:id="rId7" w:tooltip="https://www.mzp.cz/cz/socialni_klimaticky_fond" w:history="1">
        <w:r w:rsidRPr="003B6925">
          <w:rPr>
            <w:rStyle w:val="Hypertextovodkaz"/>
            <w:rFonts w:ascii="Verdana" w:hAnsi="Verdana"/>
            <w:color w:val="auto"/>
            <w:sz w:val="20"/>
            <w:szCs w:val="20"/>
            <w:u w:val="none"/>
          </w:rPr>
          <w:t>webu MŽP v sekci SKF</w:t>
        </w:r>
      </w:hyperlink>
      <w:r w:rsidRPr="003B6925">
        <w:rPr>
          <w:rFonts w:ascii="Verdana" w:hAnsi="Verdana"/>
          <w:sz w:val="20"/>
          <w:szCs w:val="20"/>
        </w:rPr>
        <w:t>. Představila program jednání a oznámila změnu z důvodu nepřítomnosti členů MPSV, kteří měli představit projekt prevence energetické chudoby.</w:t>
      </w:r>
    </w:p>
    <w:p w:rsidR="00912C48" w:rsidRPr="003B6925" w:rsidRDefault="00E6266C">
      <w:pPr>
        <w:jc w:val="both"/>
        <w:rPr>
          <w:rFonts w:ascii="Verdana" w:hAnsi="Verdana"/>
          <w:sz w:val="20"/>
          <w:szCs w:val="20"/>
        </w:rPr>
      </w:pPr>
      <w:r w:rsidRPr="003B6925">
        <w:rPr>
          <w:rFonts w:ascii="Verdana" w:hAnsi="Verdana"/>
          <w:sz w:val="20"/>
          <w:szCs w:val="20"/>
        </w:rPr>
        <w:lastRenderedPageBreak/>
        <w:t xml:space="preserve">Následovalo představení všech přítomných zástupců a základní body činnosti TPS SKF B. </w:t>
      </w:r>
    </w:p>
    <w:p w:rsidR="00912C48" w:rsidRPr="003B6925" w:rsidRDefault="00E6266C">
      <w:pPr>
        <w:jc w:val="both"/>
        <w:rPr>
          <w:rFonts w:ascii="Verdana" w:hAnsi="Verdana"/>
          <w:sz w:val="20"/>
          <w:szCs w:val="20"/>
        </w:rPr>
      </w:pPr>
      <w:r w:rsidRPr="003B6925">
        <w:rPr>
          <w:rFonts w:ascii="Verdana" w:hAnsi="Verdana"/>
          <w:sz w:val="20"/>
          <w:szCs w:val="20"/>
        </w:rPr>
        <w:t>Účastníci byli informováni, že skupina se zaměří na využití budoucího SKF a na možné pokračování stávajících intervencí zaměřených na zranitelné osoby dle požadavků EU. Definici energetické chudoby připravuje MPO, které má povinnost transponovat směrnici o energetické účinnosti a energetické náročnosti budov do českého legislativního prostředí. Jakmile bude definice představena, bude implementována v rámci SKF.</w:t>
      </w:r>
    </w:p>
    <w:p w:rsidR="00912C48" w:rsidRPr="003B6925" w:rsidRDefault="00E6266C">
      <w:pPr>
        <w:jc w:val="both"/>
        <w:rPr>
          <w:rFonts w:ascii="Verdana" w:hAnsi="Verdana"/>
          <w:sz w:val="20"/>
          <w:szCs w:val="20"/>
        </w:rPr>
      </w:pPr>
      <w:r w:rsidRPr="003B6925">
        <w:rPr>
          <w:rFonts w:ascii="Verdana" w:hAnsi="Verdana"/>
          <w:sz w:val="20"/>
          <w:szCs w:val="20"/>
        </w:rPr>
        <w:t xml:space="preserve">B. Hanousková (MŽP) představila strukturu pracovních skupin. Mimo nově zřízené TPS SKF B je zřízena Tematická pracovní skupina SKF pro dopravu a v plánu je rovněž Tematická pracovní skupina SKF ke kompenzacím.  Na přípravu SKP dohlíží Mezirezortní pracovní skupina SKF, zastoupená MŽP, SFŽP, ÚV ČR, MD, MMR a MPSV. </w:t>
      </w:r>
    </w:p>
    <w:p w:rsidR="00912C48" w:rsidRPr="003B6925" w:rsidRDefault="00E6266C">
      <w:pPr>
        <w:pStyle w:val="Odstavecseseznamem"/>
        <w:numPr>
          <w:ilvl w:val="0"/>
          <w:numId w:val="12"/>
        </w:numPr>
        <w:spacing w:before="100" w:beforeAutospacing="1" w:after="100" w:afterAutospacing="1" w:line="240" w:lineRule="auto"/>
        <w:jc w:val="both"/>
        <w:rPr>
          <w:rFonts w:ascii="Verdana" w:eastAsia="Times New Roman" w:hAnsi="Verdana" w:cs="Calibri"/>
          <w:b/>
          <w:bCs/>
          <w:sz w:val="20"/>
          <w:szCs w:val="18"/>
          <w:lang w:eastAsia="cs-CZ"/>
        </w:rPr>
      </w:pPr>
      <w:r w:rsidRPr="003B6925">
        <w:rPr>
          <w:rFonts w:ascii="Verdana" w:eastAsia="Times New Roman" w:hAnsi="Verdana" w:cs="Calibri"/>
          <w:b/>
          <w:bCs/>
          <w:sz w:val="20"/>
          <w:szCs w:val="18"/>
          <w:lang w:eastAsia="cs-CZ"/>
        </w:rPr>
        <w:t xml:space="preserve">Úvodní informace o Sociálním klimatickém fondu – oblast budov </w:t>
      </w:r>
    </w:p>
    <w:p w:rsidR="00912C48" w:rsidRPr="003B6925" w:rsidRDefault="00E6266C">
      <w:pPr>
        <w:pBdr>
          <w:top w:val="none" w:sz="4" w:space="0" w:color="000000"/>
          <w:left w:val="none" w:sz="4" w:space="0" w:color="000000"/>
          <w:bottom w:val="none" w:sz="4" w:space="0" w:color="000000"/>
          <w:right w:val="none" w:sz="4" w:space="0" w:color="000000"/>
        </w:pBdr>
        <w:jc w:val="both"/>
        <w:rPr>
          <w:rFonts w:ascii="Verdana" w:hAnsi="Verdana"/>
          <w:sz w:val="20"/>
          <w:szCs w:val="20"/>
        </w:rPr>
      </w:pPr>
      <w:r w:rsidRPr="003B6925">
        <w:rPr>
          <w:rFonts w:ascii="Verdana" w:hAnsi="Verdana"/>
          <w:sz w:val="20"/>
          <w:szCs w:val="20"/>
        </w:rPr>
        <w:t>Diskuze se týkala nedostupnosti současných dotačních nástrojů pro cílové skupiny SKF a neefektivity kompenzačních mechanismů při snižování zranitelných domácností. Byla diskutována nutnost opatrnosti při nastavování milníků, jejichž nesplnění by mohlo vést k neproplacení dotací. Dále se řešily definice energetické chudoby, jejichž upřesnění připravuje MPO.</w:t>
      </w:r>
    </w:p>
    <w:p w:rsidR="00F816BC" w:rsidRPr="003B6925" w:rsidRDefault="00E6266C" w:rsidP="00F816BC">
      <w:pPr>
        <w:pBdr>
          <w:top w:val="none" w:sz="4" w:space="0" w:color="000000"/>
          <w:left w:val="none" w:sz="4" w:space="0" w:color="000000"/>
          <w:bottom w:val="none" w:sz="4" w:space="0" w:color="000000"/>
          <w:right w:val="none" w:sz="4" w:space="0" w:color="000000"/>
        </w:pBdr>
        <w:jc w:val="both"/>
        <w:rPr>
          <w:rFonts w:ascii="Verdana" w:hAnsi="Verdana"/>
          <w:sz w:val="20"/>
          <w:szCs w:val="20"/>
        </w:rPr>
      </w:pPr>
      <w:r w:rsidRPr="003B6925">
        <w:rPr>
          <w:rFonts w:ascii="Verdana" w:hAnsi="Verdana"/>
          <w:sz w:val="20"/>
          <w:szCs w:val="20"/>
        </w:rPr>
        <w:t xml:space="preserve">E. Srnová (Evropská komise) poděkovala za přizvání do pracovní skupiny a zmínila svou roli při tvorbě nařízení SKF během Českého předsednictví v Radě EU. Vyzdvihla širokou členskou základnu pracovní skupiny, protože konzultace jsou důležitou součástí nařízení o SKF (čl. 5) a povinností členských států při přípravě Sociálního klimatického plánu (SKP). Prezentovala vývoj tvorby nařízení, které vzniklo jako reakce na přípravu spuštění EU ETS2, jež má vstoupit v platnost v roce 2027, zatímco SKF již v roce 2026. </w:t>
      </w:r>
      <w:r w:rsidR="00BA207A" w:rsidRPr="003B6925">
        <w:rPr>
          <w:rFonts w:ascii="Verdana" w:hAnsi="Verdana"/>
          <w:sz w:val="20"/>
          <w:szCs w:val="20"/>
        </w:rPr>
        <w:t xml:space="preserve">Upozornila na možnost odkladu EU ETS2 o jeden rok kvůli zhoršené ekonomické situaci, což by snížilo alokaci pro SKF. Nicméně rok spuštění SKF zůstane nezměněn. Cílem fondu je pomoci nejzranitelnějším členům společnosti, zejména zranitelným domácnostem, uživatelům dopravy a </w:t>
      </w:r>
      <w:proofErr w:type="spellStart"/>
      <w:r w:rsidR="00BA207A" w:rsidRPr="003B6925">
        <w:rPr>
          <w:rFonts w:ascii="Verdana" w:hAnsi="Verdana"/>
          <w:sz w:val="20"/>
          <w:szCs w:val="20"/>
        </w:rPr>
        <w:t>mikropodnikům</w:t>
      </w:r>
      <w:proofErr w:type="spellEnd"/>
      <w:r w:rsidR="00BA207A" w:rsidRPr="003B6925">
        <w:rPr>
          <w:rFonts w:ascii="Verdana" w:hAnsi="Verdana"/>
          <w:sz w:val="20"/>
          <w:szCs w:val="20"/>
        </w:rPr>
        <w:t>, které budou zasaženy zvýšenými cenami energií a pohonných hmot.</w:t>
      </w:r>
      <w:r w:rsidR="00B95F98">
        <w:rPr>
          <w:rFonts w:ascii="Verdana" w:hAnsi="Verdana"/>
          <w:sz w:val="20"/>
          <w:szCs w:val="20"/>
        </w:rPr>
        <w:t xml:space="preserve"> Dále </w:t>
      </w:r>
      <w:r w:rsidR="00F816BC" w:rsidRPr="003B6925">
        <w:rPr>
          <w:rFonts w:ascii="Verdana" w:hAnsi="Verdana"/>
          <w:sz w:val="20"/>
          <w:szCs w:val="20"/>
        </w:rPr>
        <w:t>uvedla, že počet lidí zasažených energetickou chudobou se zvyšuje. Nyní se jedná o 9,3 % populace EU, v ČR došlo ke zvýšení o 110 % v rámci indikátoru „domácnosti, které uvedly, že si nemohou dovolit dostatečně vytápět své obydlí“ v období před a po energetické krizi. Energetická chudoba je definována nejen v SKF, ale i ve směrnici o energetické náročnosti budov a energetické účinnosti. Problematické je nejen monitorování situace, ale i cílení na zranitelné osoby. Staví se na více indikátorech, přičemž definice energetické chudoby vychází ze směrnice o energetické účinnosti, která byla dojednána později. Konsolidované znění nařízení o SKF a definice energetické chudoby bude aktualizováno v létě.</w:t>
      </w:r>
    </w:p>
    <w:p w:rsidR="00F816BC" w:rsidRPr="003B6925" w:rsidRDefault="00F816BC" w:rsidP="00F816BC">
      <w:pPr>
        <w:jc w:val="both"/>
        <w:rPr>
          <w:rFonts w:ascii="Verdana" w:hAnsi="Verdana"/>
          <w:sz w:val="20"/>
          <w:szCs w:val="18"/>
        </w:rPr>
      </w:pPr>
      <w:r w:rsidRPr="003B6925">
        <w:rPr>
          <w:rFonts w:ascii="Verdana" w:hAnsi="Verdana"/>
          <w:sz w:val="20"/>
          <w:szCs w:val="18"/>
        </w:rPr>
        <w:t xml:space="preserve">B. Hanousková představila jednotlivé složky podpory a kapitoly SKP, který má být předložen v pol. roku 2025 (viz příloha prezentace). Dále zmínila snahu MŽP informovat </w:t>
      </w:r>
      <w:r w:rsidRPr="003B6925">
        <w:rPr>
          <w:rFonts w:ascii="Verdana" w:hAnsi="Verdana"/>
          <w:sz w:val="20"/>
          <w:szCs w:val="18"/>
        </w:rPr>
        <w:br/>
        <w:t>o možnosti zapojení se do přípravy SKP. MŽP se účastní např. jednání Regionálních stálých konferencí. Dále představila projekt na podporu přípravy SKP financovaný z nástroje TSI a jeho jednotlivé fáze a harmonogram. Důležité je, aby práce na přípravě SKP probíhala v souladu s výstupy TSI, které mají bohužel zpožděný harmonogram. Dále představila orientační harmonogram činností pro přípravu SKP.</w:t>
      </w:r>
    </w:p>
    <w:p w:rsidR="00F816BC" w:rsidRPr="003B6925" w:rsidRDefault="00F816BC" w:rsidP="00F816BC">
      <w:pPr>
        <w:jc w:val="both"/>
        <w:rPr>
          <w:rFonts w:ascii="Verdana" w:hAnsi="Verdana"/>
          <w:sz w:val="20"/>
          <w:szCs w:val="18"/>
        </w:rPr>
      </w:pPr>
      <w:r w:rsidRPr="003B6925">
        <w:rPr>
          <w:rFonts w:ascii="Verdana" w:hAnsi="Verdana"/>
          <w:sz w:val="20"/>
          <w:szCs w:val="18"/>
        </w:rPr>
        <w:t xml:space="preserve">M. Š. </w:t>
      </w:r>
      <w:proofErr w:type="spellStart"/>
      <w:r w:rsidRPr="003B6925">
        <w:rPr>
          <w:rFonts w:ascii="Verdana" w:hAnsi="Verdana"/>
          <w:sz w:val="20"/>
          <w:szCs w:val="18"/>
        </w:rPr>
        <w:t>Dokupilová</w:t>
      </w:r>
      <w:proofErr w:type="spellEnd"/>
      <w:r w:rsidRPr="003B6925">
        <w:rPr>
          <w:rFonts w:ascii="Verdana" w:hAnsi="Verdana"/>
          <w:sz w:val="20"/>
          <w:szCs w:val="18"/>
        </w:rPr>
        <w:t xml:space="preserve"> zmínila, že alokace fondu jsou orientační a jejich upřesnění proběhne později. </w:t>
      </w:r>
    </w:p>
    <w:p w:rsidR="00912C48" w:rsidRPr="003B6925" w:rsidRDefault="00BA207A" w:rsidP="0019172F">
      <w:pPr>
        <w:pBdr>
          <w:top w:val="none" w:sz="4" w:space="0" w:color="000000"/>
          <w:left w:val="none" w:sz="4" w:space="0" w:color="000000"/>
          <w:bottom w:val="none" w:sz="4" w:space="0" w:color="000000"/>
          <w:right w:val="none" w:sz="4" w:space="0" w:color="000000"/>
        </w:pBdr>
        <w:jc w:val="both"/>
        <w:rPr>
          <w:rFonts w:ascii="Verdana" w:eastAsia="Verdana" w:hAnsi="Verdana" w:cs="Verdana"/>
          <w:strike/>
          <w:sz w:val="18"/>
          <w:szCs w:val="20"/>
        </w:rPr>
      </w:pPr>
      <w:r w:rsidRPr="003B6925">
        <w:rPr>
          <w:rFonts w:ascii="Verdana" w:eastAsia="Calibri" w:hAnsi="Verdana" w:cs="Calibri"/>
          <w:sz w:val="20"/>
        </w:rPr>
        <w:t xml:space="preserve">Následná </w:t>
      </w:r>
      <w:r w:rsidRPr="00B95F98">
        <w:rPr>
          <w:rFonts w:ascii="Verdana" w:eastAsia="Calibri" w:hAnsi="Verdana" w:cs="Calibri"/>
          <w:b/>
          <w:sz w:val="20"/>
          <w:u w:val="single"/>
        </w:rPr>
        <w:t>diskuze</w:t>
      </w:r>
      <w:r w:rsidRPr="003B6925">
        <w:rPr>
          <w:rFonts w:ascii="Verdana" w:eastAsia="Calibri" w:hAnsi="Verdana" w:cs="Calibri"/>
          <w:sz w:val="20"/>
        </w:rPr>
        <w:t xml:space="preserve"> se t</w:t>
      </w:r>
      <w:r w:rsidR="00E6266C" w:rsidRPr="003B6925">
        <w:rPr>
          <w:rFonts w:ascii="Verdana" w:eastAsia="Calibri" w:hAnsi="Verdana" w:cs="Calibri"/>
          <w:sz w:val="20"/>
        </w:rPr>
        <w:t xml:space="preserve">ýkala nedostupnosti současných dotačních nástrojů pro cílové skupiny SKF (spoluúčast, refundace, předfinancování, jejich aktivní oslovení, pomoc nájemníkům) a neefektivity kompenzačních mechanismů v případě snižování zranitelných </w:t>
      </w:r>
      <w:r w:rsidR="00E6266C" w:rsidRPr="003B6925">
        <w:rPr>
          <w:rFonts w:ascii="Verdana" w:eastAsia="Calibri" w:hAnsi="Verdana" w:cs="Calibri"/>
          <w:sz w:val="20"/>
        </w:rPr>
        <w:lastRenderedPageBreak/>
        <w:t>domácností, vznesená zástupcem MPSV. Byla diskutována nutnost opatrnosti při nastavování milníků, při jejich nesplnění hrozí neproplacení</w:t>
      </w:r>
      <w:r w:rsidRPr="003B6925">
        <w:rPr>
          <w:rFonts w:ascii="Verdana" w:eastAsia="Calibri" w:hAnsi="Verdana" w:cs="Calibri"/>
          <w:sz w:val="20"/>
        </w:rPr>
        <w:t xml:space="preserve">, </w:t>
      </w:r>
      <w:r w:rsidR="0095280A" w:rsidRPr="003B6925">
        <w:rPr>
          <w:rFonts w:ascii="Verdana" w:eastAsia="Calibri" w:hAnsi="Verdana" w:cs="Calibri"/>
          <w:sz w:val="20"/>
        </w:rPr>
        <w:t xml:space="preserve">dále nutnost vymezení </w:t>
      </w:r>
      <w:r w:rsidR="00E6266C" w:rsidRPr="003B6925">
        <w:rPr>
          <w:rFonts w:ascii="Verdana" w:eastAsia="Calibri" w:hAnsi="Verdana" w:cs="Calibri"/>
          <w:sz w:val="20"/>
        </w:rPr>
        <w:t>definice energetické chudoby komplexního přístupu</w:t>
      </w:r>
      <w:r w:rsidR="003B6925" w:rsidRPr="003B6925">
        <w:rPr>
          <w:rFonts w:ascii="Verdana" w:eastAsia="Calibri" w:hAnsi="Verdana" w:cs="Calibri"/>
          <w:sz w:val="20"/>
        </w:rPr>
        <w:t xml:space="preserve">. </w:t>
      </w:r>
      <w:r w:rsidR="00E6266C" w:rsidRPr="003B6925">
        <w:rPr>
          <w:rFonts w:ascii="Verdana" w:eastAsia="Calibri" w:hAnsi="Verdana" w:cs="Calibri"/>
          <w:sz w:val="20"/>
        </w:rPr>
        <w:t xml:space="preserve">MPO má ambici připravit </w:t>
      </w:r>
      <w:r w:rsidR="0095280A" w:rsidRPr="003B6925">
        <w:rPr>
          <w:rFonts w:ascii="Verdana" w:eastAsia="Calibri" w:hAnsi="Verdana" w:cs="Calibri"/>
          <w:sz w:val="20"/>
        </w:rPr>
        <w:t xml:space="preserve">k tomu krátký koncepční materiál </w:t>
      </w:r>
      <w:r w:rsidR="00E6266C" w:rsidRPr="003B6925">
        <w:rPr>
          <w:rFonts w:ascii="Verdana" w:eastAsia="Calibri" w:hAnsi="Verdana" w:cs="Calibri"/>
          <w:sz w:val="20"/>
        </w:rPr>
        <w:t>pro Národní energeticko-klimatický plán</w:t>
      </w:r>
      <w:r w:rsidR="0095280A" w:rsidRPr="003B6925">
        <w:rPr>
          <w:rFonts w:ascii="Verdana" w:eastAsia="Verdana" w:hAnsi="Verdana" w:cs="Verdana"/>
          <w:sz w:val="18"/>
        </w:rPr>
        <w:t xml:space="preserve"> </w:t>
      </w:r>
      <w:r w:rsidR="00E6266C" w:rsidRPr="003B6925">
        <w:rPr>
          <w:rFonts w:ascii="Verdana" w:eastAsia="Calibri" w:hAnsi="Verdana" w:cs="Calibri"/>
          <w:sz w:val="20"/>
        </w:rPr>
        <w:t>zahrnující definici energetické chudoby vycházející ze směrnice o energetické účinnosti a energetické náročnosti budov.</w:t>
      </w:r>
      <w:r w:rsidR="00E6266C" w:rsidRPr="003B6925">
        <w:rPr>
          <w:rFonts w:ascii="Verdana" w:eastAsia="Verdana" w:hAnsi="Verdana" w:cs="Verdana"/>
          <w:strike/>
          <w:sz w:val="18"/>
        </w:rPr>
        <w:t xml:space="preserve"> </w:t>
      </w:r>
    </w:p>
    <w:p w:rsidR="006E2A55" w:rsidRPr="006E2A55" w:rsidRDefault="00E6266C" w:rsidP="006E2A55">
      <w:pPr>
        <w:pBdr>
          <w:top w:val="none" w:sz="4" w:space="0" w:color="000000"/>
          <w:left w:val="none" w:sz="4" w:space="0" w:color="000000"/>
          <w:bottom w:val="none" w:sz="4" w:space="0" w:color="000000"/>
          <w:right w:val="none" w:sz="4" w:space="0" w:color="000000"/>
        </w:pBdr>
        <w:spacing w:line="235" w:lineRule="atLeast"/>
        <w:jc w:val="both"/>
        <w:rPr>
          <w:rFonts w:ascii="Verdana" w:hAnsi="Verdana"/>
          <w:sz w:val="20"/>
        </w:rPr>
      </w:pPr>
      <w:r w:rsidRPr="003B6925">
        <w:rPr>
          <w:rFonts w:ascii="Verdana" w:hAnsi="Verdana"/>
          <w:sz w:val="20"/>
          <w:szCs w:val="18"/>
        </w:rPr>
        <w:t xml:space="preserve">Je nutné zmapovat bytový fond a zaměřit se na spotřebitelské chování domácností. V tomto ohledu zazněl dotaz od zástupce VUT Brno i na to, jak bude probíhat podpora, pokud v bytovém domě většina vlastníku nesplní kritérium energetické chudoby, příp. kombinace s družstevním/vlastnickým bydlení a nedojde-li k všeobecné dohodě vlastníku pro renovaci. Zdůraznil, že je nutné zaměřovat se nikoli pouze na zranitelné domácnosti ale na </w:t>
      </w:r>
      <w:r w:rsidRPr="006E2A55">
        <w:rPr>
          <w:rFonts w:ascii="Verdana" w:hAnsi="Verdana"/>
          <w:sz w:val="20"/>
          <w:szCs w:val="18"/>
        </w:rPr>
        <w:t>soubory zranitelných domácností.</w:t>
      </w:r>
      <w:r w:rsidR="006E2A55">
        <w:rPr>
          <w:rFonts w:ascii="Verdana" w:hAnsi="Verdana"/>
          <w:sz w:val="20"/>
        </w:rPr>
        <w:t xml:space="preserve"> </w:t>
      </w:r>
      <w:r w:rsidR="006E2A55" w:rsidRPr="006E2A55">
        <w:rPr>
          <w:rFonts w:ascii="Verdana" w:eastAsia="Calibri" w:hAnsi="Verdana" w:cs="Calibri"/>
          <w:sz w:val="20"/>
        </w:rPr>
        <w:t>P. Uhlíř (MŽP) reagoval, že na bytové domy lze získat bonifikaci podle množství sociálních bytů v budově z</w:t>
      </w:r>
      <w:r w:rsidR="006E2A55" w:rsidRPr="006E2A55">
        <w:rPr>
          <w:rFonts w:ascii="Verdana" w:eastAsia="Verdana" w:hAnsi="Verdana" w:cs="Verdana"/>
          <w:sz w:val="18"/>
        </w:rPr>
        <w:t xml:space="preserve"> </w:t>
      </w:r>
      <w:r w:rsidR="006E2A55" w:rsidRPr="006E2A55">
        <w:rPr>
          <w:rFonts w:ascii="Verdana" w:eastAsia="Calibri" w:hAnsi="Verdana" w:cs="Calibri"/>
          <w:sz w:val="20"/>
        </w:rPr>
        <w:t xml:space="preserve">NZÚ. Uvedl, že je důležité zjistit, zda bude podpora směřována na zranitelné domácnosti nebo bytovou jednotku a komplementárnost programů. </w:t>
      </w:r>
      <w:r w:rsidRPr="006E2A55">
        <w:rPr>
          <w:rFonts w:ascii="Verdana" w:hAnsi="Verdana"/>
          <w:sz w:val="20"/>
          <w:szCs w:val="18"/>
        </w:rPr>
        <w:t xml:space="preserve"> </w:t>
      </w:r>
      <w:r w:rsidR="006E2A55" w:rsidRPr="006E2A55">
        <w:rPr>
          <w:rFonts w:ascii="Verdana" w:hAnsi="Verdana"/>
          <w:sz w:val="20"/>
          <w:szCs w:val="18"/>
        </w:rPr>
        <w:t xml:space="preserve">Zástupce Centra pasivního domu zmínil, že cílem by mohlo být vybrat segment, který podpoříme např. pouze bytové domy nebo se zaměřit pouze na nájemníky. Alokace je pro pomoc všem nedostatečná. </w:t>
      </w:r>
    </w:p>
    <w:p w:rsidR="00912C48" w:rsidRPr="006E2A55" w:rsidRDefault="00E6266C">
      <w:pPr>
        <w:jc w:val="both"/>
        <w:rPr>
          <w:rFonts w:ascii="Verdana" w:hAnsi="Verdana"/>
          <w:sz w:val="20"/>
          <w:szCs w:val="18"/>
        </w:rPr>
      </w:pPr>
      <w:r w:rsidRPr="006E2A55">
        <w:rPr>
          <w:rFonts w:ascii="Verdana" w:hAnsi="Verdana"/>
          <w:sz w:val="20"/>
          <w:szCs w:val="18"/>
        </w:rPr>
        <w:t>V reakci na potřebu upřesnit cílovou skupinu</w:t>
      </w:r>
      <w:r w:rsidRPr="006E2A55">
        <w:rPr>
          <w:rFonts w:ascii="Verdana" w:hAnsi="Verdana" w:cs="Segoe UI"/>
          <w:sz w:val="20"/>
          <w:szCs w:val="18"/>
        </w:rPr>
        <w:t xml:space="preserve"> byly s účastníky </w:t>
      </w:r>
      <w:proofErr w:type="spellStart"/>
      <w:r w:rsidRPr="006E2A55">
        <w:rPr>
          <w:rFonts w:ascii="Verdana" w:hAnsi="Verdana" w:cs="Segoe UI"/>
          <w:sz w:val="20"/>
          <w:szCs w:val="18"/>
        </w:rPr>
        <w:t>nasdíleny</w:t>
      </w:r>
      <w:proofErr w:type="spellEnd"/>
      <w:r w:rsidRPr="006E2A55">
        <w:rPr>
          <w:rFonts w:ascii="Verdana" w:hAnsi="Verdana" w:cs="Segoe UI"/>
          <w:sz w:val="20"/>
          <w:szCs w:val="18"/>
        </w:rPr>
        <w:t xml:space="preserve"> doporučení EK: </w:t>
      </w:r>
    </w:p>
    <w:p w:rsidR="00912C48" w:rsidRPr="003B6925" w:rsidRDefault="00E6266C">
      <w:pPr>
        <w:pStyle w:val="Odstavecseseznamem"/>
        <w:numPr>
          <w:ilvl w:val="0"/>
          <w:numId w:val="13"/>
        </w:numPr>
        <w:jc w:val="both"/>
        <w:rPr>
          <w:rFonts w:ascii="Verdana" w:hAnsi="Verdana"/>
          <w:sz w:val="18"/>
          <w:szCs w:val="18"/>
        </w:rPr>
      </w:pPr>
      <w:r w:rsidRPr="003B6925">
        <w:rPr>
          <w:rFonts w:ascii="Verdana" w:hAnsi="Verdana" w:cs="Segoe UI"/>
          <w:sz w:val="18"/>
          <w:szCs w:val="18"/>
        </w:rPr>
        <w:t xml:space="preserve">Doporučení k energetické chudobě 2023: </w:t>
      </w:r>
      <w:hyperlink r:id="rId8" w:tooltip="https://eur-lex.europa.eu/legal-content/EN/TXT/?uri=OJ:L_202302407" w:history="1">
        <w:r w:rsidRPr="003B6925">
          <w:rPr>
            <w:rStyle w:val="Hypertextovodkaz"/>
            <w:rFonts w:ascii="Verdana" w:hAnsi="Verdana" w:cs="Segoe UI"/>
            <w:color w:val="2E74B5" w:themeColor="accent5" w:themeShade="BF"/>
            <w:sz w:val="18"/>
            <w:szCs w:val="18"/>
          </w:rPr>
          <w:t>EUR-Lex - 32023H2407 - EN - EUR-Lex (europa.eu)</w:t>
        </w:r>
      </w:hyperlink>
      <w:r w:rsidRPr="003B6925">
        <w:rPr>
          <w:rFonts w:ascii="Verdana" w:hAnsi="Verdana" w:cs="Segoe UI"/>
          <w:color w:val="2E74B5" w:themeColor="accent5" w:themeShade="BF"/>
          <w:sz w:val="18"/>
          <w:szCs w:val="18"/>
          <w:u w:val="single"/>
        </w:rPr>
        <w:t xml:space="preserve"> a pracovní dokument EK </w:t>
      </w:r>
      <w:hyperlink r:id="rId9" w:tooltip="https://energy.ec.europa.eu/publications/commission-staff-working-document-eu-guidance-energy-poverty_en" w:history="1">
        <w:proofErr w:type="spellStart"/>
        <w:r w:rsidRPr="003B6925">
          <w:rPr>
            <w:rStyle w:val="Hypertextovodkaz"/>
            <w:rFonts w:ascii="Verdana" w:hAnsi="Verdana" w:cs="Segoe UI"/>
            <w:color w:val="2E74B5" w:themeColor="accent5" w:themeShade="BF"/>
            <w:sz w:val="18"/>
            <w:szCs w:val="18"/>
          </w:rPr>
          <w:t>Commission</w:t>
        </w:r>
        <w:proofErr w:type="spellEnd"/>
        <w:r w:rsidRPr="003B6925">
          <w:rPr>
            <w:rStyle w:val="Hypertextovodkaz"/>
            <w:rFonts w:ascii="Verdana" w:hAnsi="Verdana" w:cs="Segoe UI"/>
            <w:color w:val="2E74B5" w:themeColor="accent5" w:themeShade="BF"/>
            <w:sz w:val="18"/>
            <w:szCs w:val="18"/>
          </w:rPr>
          <w:t xml:space="preserve"> </w:t>
        </w:r>
        <w:proofErr w:type="spellStart"/>
        <w:r w:rsidRPr="003B6925">
          <w:rPr>
            <w:rStyle w:val="Hypertextovodkaz"/>
            <w:rFonts w:ascii="Verdana" w:hAnsi="Verdana" w:cs="Segoe UI"/>
            <w:color w:val="2E74B5" w:themeColor="accent5" w:themeShade="BF"/>
            <w:sz w:val="18"/>
            <w:szCs w:val="18"/>
          </w:rPr>
          <w:t>Staff</w:t>
        </w:r>
        <w:proofErr w:type="spellEnd"/>
        <w:r w:rsidRPr="003B6925">
          <w:rPr>
            <w:rStyle w:val="Hypertextovodkaz"/>
            <w:rFonts w:ascii="Verdana" w:hAnsi="Verdana" w:cs="Segoe UI"/>
            <w:color w:val="2E74B5" w:themeColor="accent5" w:themeShade="BF"/>
            <w:sz w:val="18"/>
            <w:szCs w:val="18"/>
          </w:rPr>
          <w:t xml:space="preserve"> </w:t>
        </w:r>
        <w:proofErr w:type="spellStart"/>
        <w:r w:rsidRPr="003B6925">
          <w:rPr>
            <w:rStyle w:val="Hypertextovodkaz"/>
            <w:rFonts w:ascii="Verdana" w:hAnsi="Verdana" w:cs="Segoe UI"/>
            <w:color w:val="2E74B5" w:themeColor="accent5" w:themeShade="BF"/>
            <w:sz w:val="18"/>
            <w:szCs w:val="18"/>
          </w:rPr>
          <w:t>Working</w:t>
        </w:r>
        <w:proofErr w:type="spellEnd"/>
        <w:r w:rsidRPr="003B6925">
          <w:rPr>
            <w:rStyle w:val="Hypertextovodkaz"/>
            <w:rFonts w:ascii="Verdana" w:hAnsi="Verdana" w:cs="Segoe UI"/>
            <w:color w:val="2E74B5" w:themeColor="accent5" w:themeShade="BF"/>
            <w:sz w:val="18"/>
            <w:szCs w:val="18"/>
          </w:rPr>
          <w:t xml:space="preserve"> </w:t>
        </w:r>
        <w:proofErr w:type="spellStart"/>
        <w:r w:rsidRPr="003B6925">
          <w:rPr>
            <w:rStyle w:val="Hypertextovodkaz"/>
            <w:rFonts w:ascii="Verdana" w:hAnsi="Verdana" w:cs="Segoe UI"/>
            <w:color w:val="2E74B5" w:themeColor="accent5" w:themeShade="BF"/>
            <w:sz w:val="18"/>
            <w:szCs w:val="18"/>
          </w:rPr>
          <w:t>Document</w:t>
        </w:r>
        <w:proofErr w:type="spellEnd"/>
        <w:r w:rsidRPr="003B6925">
          <w:rPr>
            <w:rStyle w:val="Hypertextovodkaz"/>
            <w:rFonts w:ascii="Verdana" w:hAnsi="Verdana" w:cs="Segoe UI"/>
            <w:color w:val="2E74B5" w:themeColor="accent5" w:themeShade="BF"/>
            <w:sz w:val="18"/>
            <w:szCs w:val="18"/>
          </w:rPr>
          <w:t xml:space="preserve"> EU </w:t>
        </w:r>
        <w:proofErr w:type="spellStart"/>
        <w:r w:rsidRPr="003B6925">
          <w:rPr>
            <w:rStyle w:val="Hypertextovodkaz"/>
            <w:rFonts w:ascii="Verdana" w:hAnsi="Verdana" w:cs="Segoe UI"/>
            <w:color w:val="2E74B5" w:themeColor="accent5" w:themeShade="BF"/>
            <w:sz w:val="18"/>
            <w:szCs w:val="18"/>
          </w:rPr>
          <w:t>guidance</w:t>
        </w:r>
        <w:proofErr w:type="spellEnd"/>
        <w:r w:rsidRPr="003B6925">
          <w:rPr>
            <w:rStyle w:val="Hypertextovodkaz"/>
            <w:rFonts w:ascii="Verdana" w:hAnsi="Verdana" w:cs="Segoe UI"/>
            <w:color w:val="2E74B5" w:themeColor="accent5" w:themeShade="BF"/>
            <w:sz w:val="18"/>
            <w:szCs w:val="18"/>
          </w:rPr>
          <w:t xml:space="preserve"> on </w:t>
        </w:r>
        <w:proofErr w:type="spellStart"/>
        <w:r w:rsidRPr="003B6925">
          <w:rPr>
            <w:rStyle w:val="Hypertextovodkaz"/>
            <w:rFonts w:ascii="Verdana" w:hAnsi="Verdana" w:cs="Segoe UI"/>
            <w:color w:val="2E74B5" w:themeColor="accent5" w:themeShade="BF"/>
            <w:sz w:val="18"/>
            <w:szCs w:val="18"/>
          </w:rPr>
          <w:t>energy</w:t>
        </w:r>
        <w:proofErr w:type="spellEnd"/>
        <w:r w:rsidRPr="003B6925">
          <w:rPr>
            <w:rStyle w:val="Hypertextovodkaz"/>
            <w:rFonts w:ascii="Verdana" w:hAnsi="Verdana" w:cs="Segoe UI"/>
            <w:color w:val="2E74B5" w:themeColor="accent5" w:themeShade="BF"/>
            <w:sz w:val="18"/>
            <w:szCs w:val="18"/>
          </w:rPr>
          <w:t xml:space="preserve"> </w:t>
        </w:r>
        <w:proofErr w:type="spellStart"/>
        <w:r w:rsidRPr="003B6925">
          <w:rPr>
            <w:rStyle w:val="Hypertextovodkaz"/>
            <w:rFonts w:ascii="Verdana" w:hAnsi="Verdana" w:cs="Segoe UI"/>
            <w:color w:val="2E74B5" w:themeColor="accent5" w:themeShade="BF"/>
            <w:sz w:val="18"/>
            <w:szCs w:val="18"/>
          </w:rPr>
          <w:t>poverty</w:t>
        </w:r>
        <w:proofErr w:type="spellEnd"/>
        <w:r w:rsidRPr="003B6925">
          <w:rPr>
            <w:rStyle w:val="Hypertextovodkaz"/>
            <w:rFonts w:ascii="Verdana" w:hAnsi="Verdana" w:cs="Segoe UI"/>
            <w:color w:val="2E74B5" w:themeColor="accent5" w:themeShade="BF"/>
            <w:sz w:val="18"/>
            <w:szCs w:val="18"/>
          </w:rPr>
          <w:t xml:space="preserve"> - </w:t>
        </w:r>
        <w:proofErr w:type="spellStart"/>
        <w:r w:rsidRPr="003B6925">
          <w:rPr>
            <w:rStyle w:val="Hypertextovodkaz"/>
            <w:rFonts w:ascii="Verdana" w:hAnsi="Verdana" w:cs="Segoe UI"/>
            <w:color w:val="2E74B5" w:themeColor="accent5" w:themeShade="BF"/>
            <w:sz w:val="18"/>
            <w:szCs w:val="18"/>
          </w:rPr>
          <w:t>European</w:t>
        </w:r>
        <w:proofErr w:type="spellEnd"/>
        <w:r w:rsidRPr="003B6925">
          <w:rPr>
            <w:rStyle w:val="Hypertextovodkaz"/>
            <w:rFonts w:ascii="Verdana" w:hAnsi="Verdana" w:cs="Segoe UI"/>
            <w:color w:val="2E74B5" w:themeColor="accent5" w:themeShade="BF"/>
            <w:sz w:val="18"/>
            <w:szCs w:val="18"/>
          </w:rPr>
          <w:t xml:space="preserve"> </w:t>
        </w:r>
        <w:proofErr w:type="spellStart"/>
        <w:r w:rsidRPr="003B6925">
          <w:rPr>
            <w:rStyle w:val="Hypertextovodkaz"/>
            <w:rFonts w:ascii="Verdana" w:hAnsi="Verdana" w:cs="Segoe UI"/>
            <w:color w:val="2E74B5" w:themeColor="accent5" w:themeShade="BF"/>
            <w:sz w:val="18"/>
            <w:szCs w:val="18"/>
          </w:rPr>
          <w:t>Commission</w:t>
        </w:r>
        <w:proofErr w:type="spellEnd"/>
        <w:r w:rsidRPr="003B6925">
          <w:rPr>
            <w:rStyle w:val="Hypertextovodkaz"/>
            <w:rFonts w:ascii="Verdana" w:hAnsi="Verdana" w:cs="Segoe UI"/>
            <w:color w:val="2E74B5" w:themeColor="accent5" w:themeShade="BF"/>
            <w:sz w:val="18"/>
            <w:szCs w:val="18"/>
          </w:rPr>
          <w:t xml:space="preserve"> (europa.eu)</w:t>
        </w:r>
      </w:hyperlink>
      <w:r w:rsidR="00F404C1" w:rsidRPr="003B6925">
        <w:rPr>
          <w:rStyle w:val="Hypertextovodkaz"/>
          <w:rFonts w:ascii="Verdana" w:hAnsi="Verdana" w:cs="Segoe UI"/>
          <w:color w:val="2E74B5" w:themeColor="accent5" w:themeShade="BF"/>
          <w:sz w:val="18"/>
          <w:szCs w:val="18"/>
          <w:u w:val="none"/>
        </w:rPr>
        <w:t xml:space="preserve"> </w:t>
      </w:r>
      <w:r w:rsidRPr="003B6925">
        <w:rPr>
          <w:rFonts w:ascii="Verdana" w:hAnsi="Verdana" w:cs="Segoe UI"/>
          <w:color w:val="2E74B5" w:themeColor="accent5" w:themeShade="BF"/>
          <w:sz w:val="18"/>
          <w:szCs w:val="18"/>
        </w:rPr>
        <w:t xml:space="preserve"> </w:t>
      </w:r>
    </w:p>
    <w:p w:rsidR="00912C48" w:rsidRPr="003B6925" w:rsidRDefault="00E6266C">
      <w:pPr>
        <w:pStyle w:val="Odstavecseseznamem"/>
        <w:numPr>
          <w:ilvl w:val="0"/>
          <w:numId w:val="13"/>
        </w:numPr>
        <w:jc w:val="both"/>
        <w:rPr>
          <w:rFonts w:ascii="Verdana" w:hAnsi="Verdana"/>
          <w:color w:val="2E74B5" w:themeColor="accent5" w:themeShade="BF"/>
          <w:sz w:val="18"/>
          <w:szCs w:val="18"/>
        </w:rPr>
      </w:pPr>
      <w:r w:rsidRPr="003B6925">
        <w:rPr>
          <w:rFonts w:ascii="Verdana" w:hAnsi="Verdana" w:cs="Segoe UI"/>
          <w:sz w:val="18"/>
          <w:szCs w:val="18"/>
        </w:rPr>
        <w:t xml:space="preserve">Doporučení k energetické chudobě 2020: </w:t>
      </w:r>
      <w:hyperlink r:id="rId10" w:tooltip="https://eur-lex.europa.eu/legal-content/EN/TXT/?uri=CELEX%3A32020H1563" w:history="1">
        <w:r w:rsidRPr="003B6925">
          <w:rPr>
            <w:rStyle w:val="Hypertextovodkaz"/>
            <w:rFonts w:ascii="Verdana" w:hAnsi="Verdana" w:cs="Segoe UI"/>
            <w:color w:val="2E74B5" w:themeColor="accent5" w:themeShade="BF"/>
            <w:sz w:val="18"/>
            <w:szCs w:val="18"/>
          </w:rPr>
          <w:t>EUR-Lex - 32020H1563 - EN - EUR-Lex (europa.eu)</w:t>
        </w:r>
      </w:hyperlink>
      <w:r w:rsidRPr="003B6925">
        <w:rPr>
          <w:rFonts w:ascii="Verdana" w:hAnsi="Verdana" w:cs="Segoe UI"/>
          <w:color w:val="2E74B5" w:themeColor="accent5" w:themeShade="BF"/>
          <w:sz w:val="18"/>
          <w:szCs w:val="18"/>
          <w:u w:val="single"/>
        </w:rPr>
        <w:t xml:space="preserve"> a pracovní dokument EK </w:t>
      </w:r>
      <w:hyperlink r:id="rId11" w:tooltip="https://energy.ec.europa.eu/document/download/8ad45f6a-ad97-48ef-b166-6499445aa8d0_en?filename=swd_on_the_recommendation_on_energy_poverty_swd2020960.pdf" w:history="1">
        <w:r w:rsidRPr="003B6925">
          <w:rPr>
            <w:rStyle w:val="Hypertextovodkaz"/>
            <w:rFonts w:ascii="Verdana" w:hAnsi="Verdana" w:cs="Segoe UI"/>
            <w:color w:val="2E74B5" w:themeColor="accent5" w:themeShade="BF"/>
            <w:sz w:val="18"/>
            <w:szCs w:val="18"/>
          </w:rPr>
          <w:t>8ad45f6a-ad97-48ef-b166-6499445aa8d0_en (europa.eu)</w:t>
        </w:r>
      </w:hyperlink>
      <w:r w:rsidRPr="003B6925">
        <w:rPr>
          <w:rFonts w:ascii="Verdana" w:hAnsi="Verdana" w:cs="Segoe UI"/>
          <w:color w:val="2E74B5" w:themeColor="accent5" w:themeShade="BF"/>
          <w:sz w:val="18"/>
          <w:szCs w:val="18"/>
        </w:rPr>
        <w:t xml:space="preserve"> </w:t>
      </w:r>
    </w:p>
    <w:p w:rsidR="003B6925" w:rsidRPr="003B6925" w:rsidRDefault="003B6925" w:rsidP="003B6925">
      <w:pPr>
        <w:jc w:val="both"/>
        <w:rPr>
          <w:rFonts w:ascii="Verdana" w:hAnsi="Verdana"/>
          <w:color w:val="2E74B5" w:themeColor="accent5" w:themeShade="BF"/>
          <w:sz w:val="18"/>
          <w:szCs w:val="18"/>
        </w:rPr>
      </w:pPr>
    </w:p>
    <w:p w:rsidR="00F816BC" w:rsidRPr="003B6925" w:rsidRDefault="00E6266C" w:rsidP="00F816BC">
      <w:pPr>
        <w:pStyle w:val="Odstavecseseznamem"/>
        <w:numPr>
          <w:ilvl w:val="0"/>
          <w:numId w:val="12"/>
        </w:numPr>
        <w:jc w:val="both"/>
        <w:rPr>
          <w:rFonts w:ascii="Verdana" w:hAnsi="Verdana"/>
          <w:b/>
          <w:bCs/>
          <w:sz w:val="20"/>
          <w:szCs w:val="18"/>
        </w:rPr>
      </w:pPr>
      <w:r w:rsidRPr="003B6925">
        <w:rPr>
          <w:rFonts w:ascii="Verdana" w:hAnsi="Verdana"/>
          <w:b/>
          <w:bCs/>
          <w:sz w:val="20"/>
          <w:szCs w:val="18"/>
        </w:rPr>
        <w:t>Úvod a aktuální informace o EU ETS2</w:t>
      </w:r>
    </w:p>
    <w:p w:rsidR="00F816BC" w:rsidRPr="003B6925" w:rsidRDefault="00F816BC" w:rsidP="00F816BC">
      <w:pPr>
        <w:jc w:val="both"/>
        <w:rPr>
          <w:rFonts w:ascii="Verdana" w:hAnsi="Verdana"/>
          <w:sz w:val="20"/>
          <w:szCs w:val="18"/>
        </w:rPr>
      </w:pPr>
      <w:r w:rsidRPr="003B6925">
        <w:rPr>
          <w:rFonts w:ascii="Verdana" w:hAnsi="Verdana"/>
          <w:sz w:val="20"/>
          <w:szCs w:val="18"/>
        </w:rPr>
        <w:t xml:space="preserve">J. </w:t>
      </w:r>
      <w:proofErr w:type="spellStart"/>
      <w:r w:rsidRPr="003B6925">
        <w:rPr>
          <w:rFonts w:ascii="Verdana" w:hAnsi="Verdana"/>
          <w:sz w:val="20"/>
          <w:szCs w:val="18"/>
        </w:rPr>
        <w:t>Žilák</w:t>
      </w:r>
      <w:proofErr w:type="spellEnd"/>
      <w:r w:rsidRPr="003B6925">
        <w:rPr>
          <w:rFonts w:ascii="Verdana" w:hAnsi="Verdana"/>
          <w:sz w:val="20"/>
          <w:szCs w:val="18"/>
        </w:rPr>
        <w:t xml:space="preserve"> (MŽP) představil EU ETS2, tj. rozšíření emisního obchodování na sektor budov, dopravy a ostatní sektory. Trh je nastaven na redukci emisí o 42 % oproti roku 2005. Jedná se o tržní mechanismus, tj. není tedy možný určit vývoj cen, ty se mj. odvíjí od tempa dekarbonizace v těchto odvětví. Pokud dojde k překročení prahu 45eur/t CO</w:t>
      </w:r>
      <w:r w:rsidRPr="003B6925">
        <w:rPr>
          <w:rFonts w:ascii="Verdana" w:hAnsi="Verdana"/>
          <w:sz w:val="20"/>
          <w:szCs w:val="18"/>
          <w:vertAlign w:val="subscript"/>
        </w:rPr>
        <w:t>2</w:t>
      </w:r>
      <w:r w:rsidRPr="003B6925">
        <w:rPr>
          <w:rFonts w:ascii="Verdana" w:hAnsi="Verdana"/>
          <w:sz w:val="20"/>
          <w:szCs w:val="18"/>
        </w:rPr>
        <w:t>, bude na trh uvolněno určité množství povolenek s cílem snížit tuto cenu. Dále představil harmonogram implementace EU ETS2 (viz příloha prezentace). Začátek emisního obchodování a aukce ETS2 povolenek se plánuje od 1. ledna 2027.</w:t>
      </w:r>
    </w:p>
    <w:p w:rsidR="00F816BC" w:rsidRPr="003B6925" w:rsidRDefault="00F816BC" w:rsidP="00F816BC">
      <w:pPr>
        <w:jc w:val="both"/>
        <w:rPr>
          <w:rFonts w:ascii="Verdana" w:hAnsi="Verdana"/>
          <w:sz w:val="20"/>
          <w:szCs w:val="18"/>
        </w:rPr>
      </w:pPr>
      <w:r w:rsidRPr="00B95F98">
        <w:rPr>
          <w:rFonts w:ascii="Verdana" w:hAnsi="Verdana"/>
          <w:b/>
          <w:sz w:val="20"/>
          <w:szCs w:val="18"/>
          <w:u w:val="single"/>
        </w:rPr>
        <w:t>Diskuze</w:t>
      </w:r>
      <w:r w:rsidRPr="003B6925">
        <w:rPr>
          <w:rFonts w:ascii="Verdana" w:hAnsi="Verdana"/>
          <w:b/>
          <w:sz w:val="20"/>
          <w:szCs w:val="18"/>
        </w:rPr>
        <w:t xml:space="preserve"> </w:t>
      </w:r>
      <w:r w:rsidRPr="003B6925">
        <w:rPr>
          <w:rFonts w:ascii="Verdana" w:hAnsi="Verdana"/>
          <w:sz w:val="20"/>
          <w:szCs w:val="18"/>
        </w:rPr>
        <w:t>k tomuto bodu se soustředila na vazby EU ETS2 a Sociálního klimatického fondu. SKF může být zaveden pouze v případě plnohodnotného zavedení EU ETS2.</w:t>
      </w:r>
    </w:p>
    <w:p w:rsidR="00F816BC" w:rsidRPr="003B6925" w:rsidRDefault="00F816BC" w:rsidP="00F816BC">
      <w:pPr>
        <w:jc w:val="both"/>
        <w:rPr>
          <w:rFonts w:ascii="Verdana" w:hAnsi="Verdana"/>
          <w:b/>
          <w:bCs/>
          <w:sz w:val="20"/>
          <w:szCs w:val="18"/>
        </w:rPr>
      </w:pPr>
    </w:p>
    <w:p w:rsidR="00F816BC" w:rsidRPr="003B6925" w:rsidRDefault="00F816BC" w:rsidP="00F816BC">
      <w:pPr>
        <w:pStyle w:val="Odstavecseseznamem"/>
        <w:numPr>
          <w:ilvl w:val="0"/>
          <w:numId w:val="12"/>
        </w:numPr>
        <w:jc w:val="both"/>
        <w:rPr>
          <w:rFonts w:ascii="Verdana" w:hAnsi="Verdana"/>
          <w:sz w:val="20"/>
          <w:szCs w:val="18"/>
        </w:rPr>
      </w:pPr>
      <w:r w:rsidRPr="003B6925">
        <w:rPr>
          <w:rFonts w:ascii="Verdana" w:eastAsia="Times New Roman" w:hAnsi="Verdana" w:cs="Calibri"/>
          <w:b/>
          <w:sz w:val="20"/>
          <w:szCs w:val="18"/>
          <w:lang w:eastAsia="cs-CZ"/>
        </w:rPr>
        <w:t>Přehled současných programů relevantních pro SKF – Reforma poradenství pro renovační vlnu ČR</w:t>
      </w:r>
    </w:p>
    <w:p w:rsidR="00912C48" w:rsidRPr="003B6925" w:rsidRDefault="00E6266C">
      <w:pPr>
        <w:spacing w:before="100" w:beforeAutospacing="1" w:after="100" w:afterAutospacing="1" w:line="240" w:lineRule="auto"/>
        <w:jc w:val="both"/>
        <w:rPr>
          <w:rFonts w:ascii="Verdana" w:eastAsia="Times New Roman" w:hAnsi="Verdana" w:cs="Calibri"/>
          <w:sz w:val="20"/>
          <w:szCs w:val="18"/>
          <w:lang w:eastAsia="cs-CZ"/>
        </w:rPr>
      </w:pPr>
      <w:r w:rsidRPr="003B6925">
        <w:rPr>
          <w:rFonts w:ascii="Verdana" w:eastAsia="Times New Roman" w:hAnsi="Verdana" w:cs="Calibri"/>
          <w:sz w:val="20"/>
          <w:szCs w:val="18"/>
          <w:lang w:eastAsia="cs-CZ"/>
        </w:rPr>
        <w:t xml:space="preserve">P. Uhlíř (MŽP) představil komponentu Národního plánu obnovu 7. 3, která má připravit reformu poradenského systému pro renovační vlnu v ČR, Tyto činnosti by bylo vhodné dále rozvíjet pod SKF. SKF. </w:t>
      </w:r>
    </w:p>
    <w:p w:rsidR="00912C48" w:rsidRPr="003B6925" w:rsidRDefault="00E6266C">
      <w:pPr>
        <w:spacing w:before="100" w:beforeAutospacing="1" w:after="100" w:afterAutospacing="1" w:line="240" w:lineRule="auto"/>
        <w:jc w:val="both"/>
        <w:rPr>
          <w:rFonts w:ascii="Verdana" w:eastAsia="Times New Roman" w:hAnsi="Verdana" w:cs="Calibri"/>
          <w:sz w:val="20"/>
          <w:szCs w:val="18"/>
          <w:lang w:eastAsia="cs-CZ"/>
        </w:rPr>
      </w:pPr>
      <w:r w:rsidRPr="003B6925">
        <w:rPr>
          <w:rFonts w:ascii="Verdana" w:eastAsia="Times New Roman" w:hAnsi="Verdana" w:cs="Calibri"/>
          <w:sz w:val="20"/>
          <w:szCs w:val="18"/>
          <w:lang w:eastAsia="cs-CZ"/>
        </w:rPr>
        <w:t>H. Staňková (MŽP) představila základní obrysy komponenty NPO poradenství s alokací 4 mld. Kč, na které spolupracuje MŽP, MPO, SFŽP. Implementace této komponenty je plánována do června 2026. Cílem dané komponenty je snížit riziko energetické chudoby u zranitelných skupin, zvýšit množství a kvalitu připravovaných a realizovaných projektů v </w:t>
      </w:r>
      <w:proofErr w:type="spellStart"/>
      <w:r w:rsidRPr="003B6925">
        <w:rPr>
          <w:rFonts w:ascii="Verdana" w:eastAsia="Times New Roman" w:hAnsi="Verdana" w:cs="Calibri"/>
          <w:sz w:val="20"/>
          <w:szCs w:val="18"/>
          <w:lang w:eastAsia="cs-CZ"/>
        </w:rPr>
        <w:t>obl</w:t>
      </w:r>
      <w:proofErr w:type="spellEnd"/>
      <w:r w:rsidRPr="003B6925">
        <w:rPr>
          <w:rFonts w:ascii="Verdana" w:eastAsia="Times New Roman" w:hAnsi="Verdana" w:cs="Calibri"/>
          <w:sz w:val="20"/>
          <w:szCs w:val="18"/>
          <w:lang w:eastAsia="cs-CZ"/>
        </w:rPr>
        <w:t xml:space="preserve">. renovací budov. Komponenta je složená ze dvou reforem; č. 1 Vytvoření jednotných kontaktních míst pro energetická společenství a energeticky účinné renovace a z reformy č. 2 Údaje, metodické pokyny a školení pro poradenský systém, kde se počítá s analýzou fondu budov ČR, národní databází dopadů stavebních materiálů a konstrukcí v celém životním cyklu a přípravou nového systému ENEX (Databáze energetické náročnosti). </w:t>
      </w:r>
      <w:r w:rsidRPr="003B6925">
        <w:rPr>
          <w:rFonts w:ascii="Verdana" w:eastAsia="Times New Roman" w:hAnsi="Verdana" w:cs="Calibri"/>
          <w:sz w:val="20"/>
          <w:szCs w:val="18"/>
          <w:lang w:eastAsia="cs-CZ"/>
        </w:rPr>
        <w:lastRenderedPageBreak/>
        <w:t xml:space="preserve">Dalším důležitým výstupem je metodický pokyn pro řešení energetické chudoby „jak radit zranitelným domácnostem v souladu s doporučením EK o energetické chudobě“ a školení. Komponenta dále obsahuje investiční složku na poskytování poradenských služeb pro min. 120 tis. projektů renovaci a zvyšování informovanosti v podobě přípravy webu a kampaně. Dále byly představeny probíhající výzvy financované komponentou 7.3 a z Národního programu životní prostředí: Výzva č. NPO 3/2024 Zpracování místní energetické koncepce, Výzva č. 2/2024 Zavedení systému hospodaření s energií v podobě energetického managementu Energetický management NPO 7.3, a SECAP – Pakt starostů. Dále komponenta podporuje energetickou osvětu a dotační poradenství pro program NZÚ </w:t>
      </w:r>
      <w:proofErr w:type="spellStart"/>
      <w:r w:rsidRPr="003B6925">
        <w:rPr>
          <w:rFonts w:ascii="Verdana" w:eastAsia="Times New Roman" w:hAnsi="Verdana" w:cs="Calibri"/>
          <w:sz w:val="20"/>
          <w:szCs w:val="18"/>
          <w:lang w:eastAsia="cs-CZ"/>
        </w:rPr>
        <w:t>Light</w:t>
      </w:r>
      <w:proofErr w:type="spellEnd"/>
      <w:r w:rsidRPr="003B6925">
        <w:rPr>
          <w:rFonts w:ascii="Verdana" w:eastAsia="Times New Roman" w:hAnsi="Verdana" w:cs="Calibri"/>
          <w:sz w:val="20"/>
          <w:szCs w:val="18"/>
          <w:lang w:eastAsia="cs-CZ"/>
        </w:rPr>
        <w:t>. Mezi připravovanými výzvami je pak podpora renovačních pasů a kapacit samospráv (viz příloha prezentace).</w:t>
      </w:r>
    </w:p>
    <w:p w:rsidR="00912C48" w:rsidRPr="003B6925" w:rsidRDefault="00E6266C" w:rsidP="00F816BC">
      <w:pPr>
        <w:pStyle w:val="Odstavecseseznamem"/>
        <w:numPr>
          <w:ilvl w:val="0"/>
          <w:numId w:val="18"/>
        </w:numPr>
        <w:jc w:val="both"/>
        <w:rPr>
          <w:rFonts w:ascii="Verdana" w:hAnsi="Verdana"/>
          <w:b/>
          <w:bCs/>
          <w:sz w:val="20"/>
          <w:szCs w:val="20"/>
        </w:rPr>
      </w:pPr>
      <w:r w:rsidRPr="003B6925">
        <w:rPr>
          <w:rFonts w:ascii="Verdana" w:hAnsi="Verdana"/>
          <w:b/>
          <w:sz w:val="20"/>
          <w:szCs w:val="18"/>
        </w:rPr>
        <w:t>Diskuze a závěr</w:t>
      </w:r>
    </w:p>
    <w:p w:rsidR="00912C48" w:rsidRPr="003B6925" w:rsidRDefault="00E6266C" w:rsidP="00F816BC">
      <w:pPr>
        <w:jc w:val="both"/>
        <w:rPr>
          <w:rFonts w:ascii="Verdana" w:hAnsi="Verdana"/>
          <w:b/>
          <w:bCs/>
          <w:sz w:val="20"/>
          <w:szCs w:val="20"/>
        </w:rPr>
      </w:pPr>
      <w:r w:rsidRPr="003B6925">
        <w:rPr>
          <w:rFonts w:ascii="Verdana" w:hAnsi="Verdana"/>
          <w:sz w:val="20"/>
        </w:rPr>
        <w:t>Diskutovalo se o potřebě dalších šetření stavu budov a spotřeby energií, propojení kontaktních míst a energetického poradenství a fungování regionálních center. Klíčovým problémem je oblast nájemního bydlení a nedostatek kapacit energetických poradců. MMR nabídlo pomoc s veřejnou podporou a sdílení studií absorpční kapacity.</w:t>
      </w:r>
      <w:r w:rsidR="00B95F98">
        <w:rPr>
          <w:rFonts w:ascii="Verdana" w:hAnsi="Verdana"/>
          <w:sz w:val="20"/>
        </w:rPr>
        <w:t xml:space="preserve"> MŽP požádalo o příspěvek MMR na příští jednání TPS SKF B.</w:t>
      </w:r>
    </w:p>
    <w:p w:rsidR="00912C48" w:rsidRPr="003B6925" w:rsidRDefault="00E6266C">
      <w:pPr>
        <w:spacing w:before="100" w:beforeAutospacing="1" w:after="100" w:afterAutospacing="1" w:line="240" w:lineRule="auto"/>
        <w:jc w:val="both"/>
        <w:rPr>
          <w:rFonts w:ascii="Verdana" w:eastAsia="Times New Roman" w:hAnsi="Verdana" w:cs="Calibri"/>
          <w:sz w:val="20"/>
          <w:szCs w:val="20"/>
          <w:lang w:eastAsia="cs-CZ"/>
        </w:rPr>
      </w:pPr>
      <w:r w:rsidRPr="003B6925">
        <w:rPr>
          <w:rFonts w:ascii="Verdana" w:eastAsia="Times New Roman" w:hAnsi="Verdana" w:cs="Calibri"/>
          <w:sz w:val="20"/>
          <w:szCs w:val="18"/>
          <w:lang w:eastAsia="cs-CZ"/>
        </w:rPr>
        <w:t xml:space="preserve">Členové TPS se relativně konsensuálně vyjadřovali k potřebě primárně vydefinovat cílovou skupinu a zanalyzovat krajskou a obecní infrastrukturu, resp. kolik sociálních/obecních bytů je v jejich vlastnictví (vlastnictví může být variabilní – krajské, státní, neziskových organizací, obecní, soukromé aj.). Mnohé projekty nejsou investičně připravené a je potřeba jim dát čas. MMR má částečně vybraná data, další by mohlo mít v registru MPSV či ČSÚ.  Dále se členové shodovali v tom, že je nutné cílit primárně na investice do úspor.  </w:t>
      </w:r>
    </w:p>
    <w:p w:rsidR="00912C48" w:rsidRPr="003B6925" w:rsidRDefault="00E6266C">
      <w:pPr>
        <w:jc w:val="both"/>
        <w:rPr>
          <w:rFonts w:ascii="Verdana" w:hAnsi="Verdana"/>
          <w:sz w:val="20"/>
          <w:szCs w:val="18"/>
        </w:rPr>
      </w:pPr>
      <w:r w:rsidRPr="003B6925">
        <w:rPr>
          <w:rFonts w:ascii="Verdana" w:hAnsi="Verdana"/>
          <w:sz w:val="20"/>
          <w:szCs w:val="18"/>
        </w:rPr>
        <w:t xml:space="preserve">M. </w:t>
      </w:r>
      <w:proofErr w:type="spellStart"/>
      <w:r w:rsidRPr="003B6925">
        <w:rPr>
          <w:rFonts w:ascii="Verdana" w:hAnsi="Verdana"/>
          <w:sz w:val="20"/>
          <w:szCs w:val="18"/>
        </w:rPr>
        <w:t>Škabraha</w:t>
      </w:r>
      <w:proofErr w:type="spellEnd"/>
      <w:r w:rsidRPr="003B6925">
        <w:rPr>
          <w:rFonts w:ascii="Verdana" w:hAnsi="Verdana"/>
          <w:sz w:val="20"/>
          <w:szCs w:val="18"/>
        </w:rPr>
        <w:t xml:space="preserve"> </w:t>
      </w:r>
      <w:proofErr w:type="spellStart"/>
      <w:r w:rsidRPr="003B6925">
        <w:rPr>
          <w:rFonts w:ascii="Verdana" w:hAnsi="Verdana"/>
          <w:sz w:val="20"/>
          <w:szCs w:val="18"/>
        </w:rPr>
        <w:t>Dokupilová</w:t>
      </w:r>
      <w:proofErr w:type="spellEnd"/>
      <w:r w:rsidRPr="003B6925">
        <w:rPr>
          <w:rFonts w:ascii="Verdana" w:hAnsi="Verdana"/>
          <w:sz w:val="20"/>
          <w:szCs w:val="18"/>
        </w:rPr>
        <w:t xml:space="preserve"> shrnula další kroky, avizovala úkoly (viz tabulka výše) a poděkovala přítomným za účast. </w:t>
      </w:r>
      <w:r w:rsidRPr="003B6925">
        <w:rPr>
          <w:rFonts w:ascii="Verdana" w:hAnsi="Verdana"/>
          <w:b/>
          <w:sz w:val="20"/>
          <w:szCs w:val="18"/>
        </w:rPr>
        <w:t>2.</w:t>
      </w:r>
      <w:r w:rsidRPr="003B6925">
        <w:rPr>
          <w:rFonts w:ascii="Verdana" w:hAnsi="Verdana"/>
          <w:b/>
          <w:bCs/>
          <w:sz w:val="20"/>
          <w:szCs w:val="18"/>
        </w:rPr>
        <w:t xml:space="preserve"> jednání z TPS SKF B </w:t>
      </w:r>
      <w:r w:rsidR="00B95F98">
        <w:rPr>
          <w:rFonts w:ascii="Verdana" w:hAnsi="Verdana"/>
          <w:b/>
          <w:bCs/>
          <w:sz w:val="20"/>
          <w:szCs w:val="18"/>
        </w:rPr>
        <w:t>je naplánováno</w:t>
      </w:r>
      <w:r w:rsidRPr="003B6925">
        <w:rPr>
          <w:rFonts w:ascii="Verdana" w:hAnsi="Verdana"/>
          <w:b/>
          <w:bCs/>
          <w:sz w:val="20"/>
          <w:szCs w:val="18"/>
        </w:rPr>
        <w:t xml:space="preserve"> na </w:t>
      </w:r>
      <w:r w:rsidR="00AC5D38">
        <w:rPr>
          <w:rFonts w:ascii="Verdana" w:hAnsi="Verdana"/>
          <w:b/>
          <w:bCs/>
          <w:sz w:val="20"/>
          <w:szCs w:val="18"/>
        </w:rPr>
        <w:t xml:space="preserve">24. </w:t>
      </w:r>
      <w:r w:rsidRPr="003B6925">
        <w:rPr>
          <w:rFonts w:ascii="Verdana" w:hAnsi="Verdana"/>
          <w:b/>
          <w:bCs/>
          <w:sz w:val="20"/>
          <w:szCs w:val="18"/>
        </w:rPr>
        <w:t>červenec v online formě.</w:t>
      </w:r>
    </w:p>
    <w:p w:rsidR="00912C48" w:rsidRPr="003B6925" w:rsidRDefault="00912C48">
      <w:pPr>
        <w:jc w:val="both"/>
        <w:rPr>
          <w:rFonts w:ascii="Verdana" w:hAnsi="Verdana"/>
          <w:sz w:val="16"/>
          <w:szCs w:val="18"/>
        </w:rPr>
      </w:pPr>
    </w:p>
    <w:p w:rsidR="00912C48" w:rsidRPr="003B6925" w:rsidRDefault="00E6266C">
      <w:pPr>
        <w:jc w:val="both"/>
        <w:rPr>
          <w:rFonts w:ascii="Verdana" w:hAnsi="Verdana"/>
          <w:sz w:val="18"/>
          <w:szCs w:val="18"/>
        </w:rPr>
      </w:pPr>
      <w:r w:rsidRPr="003B6925">
        <w:rPr>
          <w:rFonts w:ascii="Verdana" w:hAnsi="Verdana"/>
          <w:sz w:val="18"/>
          <w:szCs w:val="18"/>
        </w:rPr>
        <w:t xml:space="preserve">Zapsala: B. Hanousková (MŽP), Schválila: M. </w:t>
      </w:r>
      <w:proofErr w:type="spellStart"/>
      <w:r w:rsidRPr="003B6925">
        <w:rPr>
          <w:rFonts w:ascii="Verdana" w:hAnsi="Verdana"/>
          <w:sz w:val="18"/>
          <w:szCs w:val="18"/>
        </w:rPr>
        <w:t>Škabraha</w:t>
      </w:r>
      <w:proofErr w:type="spellEnd"/>
      <w:r w:rsidRPr="003B6925">
        <w:rPr>
          <w:rFonts w:ascii="Verdana" w:hAnsi="Verdana"/>
          <w:sz w:val="18"/>
          <w:szCs w:val="18"/>
        </w:rPr>
        <w:t xml:space="preserve"> </w:t>
      </w:r>
      <w:proofErr w:type="spellStart"/>
      <w:r w:rsidRPr="003B6925">
        <w:rPr>
          <w:rFonts w:ascii="Verdana" w:hAnsi="Verdana"/>
          <w:sz w:val="18"/>
          <w:szCs w:val="18"/>
        </w:rPr>
        <w:t>Dokupilová</w:t>
      </w:r>
      <w:proofErr w:type="spellEnd"/>
      <w:r w:rsidRPr="003B6925">
        <w:rPr>
          <w:rFonts w:ascii="Verdana" w:hAnsi="Verdana"/>
          <w:sz w:val="18"/>
          <w:szCs w:val="18"/>
        </w:rPr>
        <w:t xml:space="preserve"> (MŽP)</w:t>
      </w:r>
    </w:p>
    <w:p w:rsidR="00912C48" w:rsidRPr="003B6925" w:rsidRDefault="00E6266C">
      <w:pPr>
        <w:pBdr>
          <w:top w:val="none" w:sz="4" w:space="0" w:color="000000"/>
          <w:left w:val="none" w:sz="4" w:space="0" w:color="000000"/>
          <w:bottom w:val="none" w:sz="4" w:space="0" w:color="000000"/>
          <w:right w:val="none" w:sz="4" w:space="0" w:color="000000"/>
        </w:pBdr>
        <w:spacing w:line="235" w:lineRule="atLeast"/>
        <w:jc w:val="both"/>
        <w:rPr>
          <w:rFonts w:ascii="Verdana" w:hAnsi="Verdana"/>
          <w:sz w:val="18"/>
          <w:szCs w:val="18"/>
        </w:rPr>
      </w:pPr>
      <w:r w:rsidRPr="003B6925">
        <w:rPr>
          <w:rFonts w:ascii="Verdana" w:eastAsia="Verdana" w:hAnsi="Verdana" w:cs="Verdana"/>
          <w:i/>
          <w:sz w:val="18"/>
          <w:szCs w:val="18"/>
        </w:rPr>
        <w:t>Příloha: Prezentace 1. jednání TPS SKF D MŽP</w:t>
      </w:r>
    </w:p>
    <w:p w:rsidR="00912C48" w:rsidRPr="003B6925" w:rsidRDefault="00912C48">
      <w:pPr>
        <w:jc w:val="both"/>
        <w:rPr>
          <w:rFonts w:ascii="Verdana" w:hAnsi="Verdana"/>
          <w:sz w:val="16"/>
          <w:szCs w:val="16"/>
        </w:rPr>
      </w:pPr>
    </w:p>
    <w:sectPr w:rsidR="00912C48" w:rsidRPr="003B6925">
      <w:headerReference w:type="default" r:id="rId12"/>
      <w:pgSz w:w="11906" w:h="16838"/>
      <w:pgMar w:top="1417"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CEF2AFB" w16cex:dateUtc="2024-06-19T10:21:37Z"/>
  <w16cex:commentExtensible w16cex:durableId="6C2A0281" w16cex:dateUtc="2024-06-19T10:22:0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079C" w:rsidRDefault="0020079C">
      <w:pPr>
        <w:spacing w:after="0" w:line="240" w:lineRule="auto"/>
      </w:pPr>
      <w:r>
        <w:separator/>
      </w:r>
    </w:p>
  </w:endnote>
  <w:endnote w:type="continuationSeparator" w:id="0">
    <w:p w:rsidR="0020079C" w:rsidRDefault="00200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079C" w:rsidRDefault="0020079C">
      <w:pPr>
        <w:spacing w:after="0" w:line="240" w:lineRule="auto"/>
      </w:pPr>
      <w:r>
        <w:separator/>
      </w:r>
    </w:p>
  </w:footnote>
  <w:footnote w:type="continuationSeparator" w:id="0">
    <w:p w:rsidR="0020079C" w:rsidRDefault="002007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C48" w:rsidRDefault="00E6266C">
    <w:pPr>
      <w:pStyle w:val="Zhlav"/>
    </w:pPr>
    <w:r>
      <w:rPr>
        <w:noProof/>
      </w:rPr>
      <mc:AlternateContent>
        <mc:Choice Requires="wpg">
          <w:drawing>
            <wp:inline distT="0" distB="0" distL="0" distR="0">
              <wp:extent cx="1996440" cy="304800"/>
              <wp:effectExtent l="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2025988" cy="309311"/>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57.20pt;height:24.00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71BEC"/>
    <w:multiLevelType w:val="multilevel"/>
    <w:tmpl w:val="5DDAE25C"/>
    <w:lvl w:ilvl="0">
      <w:start w:val="1"/>
      <w:numFmt w:val="decimal"/>
      <w:lvlText w:val="%1)"/>
      <w:lvlJc w:val="left"/>
      <w:pPr>
        <w:ind w:left="720" w:hanging="360"/>
      </w:pPr>
      <w:rPr>
        <w:rFonts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C14466"/>
    <w:multiLevelType w:val="multilevel"/>
    <w:tmpl w:val="618489AA"/>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7973810"/>
    <w:multiLevelType w:val="multilevel"/>
    <w:tmpl w:val="FB6AD424"/>
    <w:lvl w:ilvl="0">
      <w:start w:val="1"/>
      <w:numFmt w:val="decimal"/>
      <w:lvlText w:val="%1)"/>
      <w:lvlJc w:val="left"/>
      <w:pPr>
        <w:ind w:left="720" w:hanging="360"/>
      </w:pPr>
      <w:rPr>
        <w:rFonts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557D1E"/>
    <w:multiLevelType w:val="multilevel"/>
    <w:tmpl w:val="7B0CE762"/>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17B17F5"/>
    <w:multiLevelType w:val="hybridMultilevel"/>
    <w:tmpl w:val="028AE0A8"/>
    <w:lvl w:ilvl="0" w:tplc="04050011">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0D3B24"/>
    <w:multiLevelType w:val="multilevel"/>
    <w:tmpl w:val="0ACEC9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4C106A6"/>
    <w:multiLevelType w:val="multilevel"/>
    <w:tmpl w:val="7E4828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E65B62"/>
    <w:multiLevelType w:val="multilevel"/>
    <w:tmpl w:val="2E76BE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3CB1815"/>
    <w:multiLevelType w:val="multilevel"/>
    <w:tmpl w:val="117C49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D631FEB"/>
    <w:multiLevelType w:val="multilevel"/>
    <w:tmpl w:val="811A5B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16A04E8"/>
    <w:multiLevelType w:val="multilevel"/>
    <w:tmpl w:val="B6C4F9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4755E78"/>
    <w:multiLevelType w:val="multilevel"/>
    <w:tmpl w:val="C21070B6"/>
    <w:lvl w:ilvl="0">
      <w:start w:val="1"/>
      <w:numFmt w:val="decimal"/>
      <w:lvlText w:val="%1."/>
      <w:lvlJc w:val="left"/>
      <w:pPr>
        <w:ind w:left="720" w:hanging="360"/>
      </w:pPr>
      <w:rPr>
        <w:rFonts w:ascii="Calibri" w:hAnsi="Calibri" w:cs="Calibr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85D2B4E"/>
    <w:multiLevelType w:val="multilevel"/>
    <w:tmpl w:val="255EF5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CA9177F"/>
    <w:multiLevelType w:val="multilevel"/>
    <w:tmpl w:val="3F1C73F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8F438EB"/>
    <w:multiLevelType w:val="multilevel"/>
    <w:tmpl w:val="8FD696A6"/>
    <w:lvl w:ilvl="0">
      <w:start w:val="1"/>
      <w:numFmt w:val="decimal"/>
      <w:lvlText w:val="%1."/>
      <w:lvlJc w:val="left"/>
      <w:pPr>
        <w:ind w:left="720" w:hanging="360"/>
      </w:pPr>
      <w:rPr>
        <w:rFonts w:ascii="Calibri" w:hAnsi="Calibri" w:cs="Calibr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D871AE3"/>
    <w:multiLevelType w:val="multilevel"/>
    <w:tmpl w:val="5510BE7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5286238"/>
    <w:multiLevelType w:val="multilevel"/>
    <w:tmpl w:val="8AE0514E"/>
    <w:lvl w:ilvl="0">
      <w:start w:val="1"/>
      <w:numFmt w:val="decimal"/>
      <w:lvlText w:val="%1."/>
      <w:lvlJc w:val="left"/>
      <w:pPr>
        <w:ind w:left="720" w:hanging="360"/>
      </w:pPr>
      <w:rPr>
        <w:rFonts w:ascii="Calibri" w:hAnsi="Calibri" w:cs="Calibr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78A3060"/>
    <w:multiLevelType w:val="multilevel"/>
    <w:tmpl w:val="3014F4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7A4E51A3"/>
    <w:multiLevelType w:val="multilevel"/>
    <w:tmpl w:val="8D685BDC"/>
    <w:lvl w:ilvl="0">
      <w:start w:val="1"/>
      <w:numFmt w:val="decimal"/>
      <w:lvlText w:val="%1)"/>
      <w:lvlJc w:val="left"/>
      <w:pPr>
        <w:ind w:left="720" w:hanging="360"/>
      </w:pPr>
      <w:rPr>
        <w:rFonts w:cs="Calibri"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E997C36"/>
    <w:multiLevelType w:val="hybridMultilevel"/>
    <w:tmpl w:val="00ECD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14"/>
  </w:num>
  <w:num w:numId="4">
    <w:abstractNumId w:val="12"/>
  </w:num>
  <w:num w:numId="5">
    <w:abstractNumId w:val="6"/>
  </w:num>
  <w:num w:numId="6">
    <w:abstractNumId w:val="1"/>
  </w:num>
  <w:num w:numId="7">
    <w:abstractNumId w:val="5"/>
  </w:num>
  <w:num w:numId="8">
    <w:abstractNumId w:val="3"/>
  </w:num>
  <w:num w:numId="9">
    <w:abstractNumId w:val="8"/>
  </w:num>
  <w:num w:numId="10">
    <w:abstractNumId w:val="13"/>
  </w:num>
  <w:num w:numId="11">
    <w:abstractNumId w:val="10"/>
  </w:num>
  <w:num w:numId="12">
    <w:abstractNumId w:val="18"/>
  </w:num>
  <w:num w:numId="13">
    <w:abstractNumId w:val="7"/>
  </w:num>
  <w:num w:numId="14">
    <w:abstractNumId w:val="11"/>
  </w:num>
  <w:num w:numId="15">
    <w:abstractNumId w:val="16"/>
  </w:num>
  <w:num w:numId="16">
    <w:abstractNumId w:val="2"/>
  </w:num>
  <w:num w:numId="17">
    <w:abstractNumId w:val="15"/>
  </w:num>
  <w:num w:numId="18">
    <w:abstractNumId w:val="4"/>
  </w:num>
  <w:num w:numId="19">
    <w:abstractNumId w:val="0"/>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C48"/>
    <w:rsid w:val="0019172F"/>
    <w:rsid w:val="0020079C"/>
    <w:rsid w:val="003B6925"/>
    <w:rsid w:val="0059491E"/>
    <w:rsid w:val="006B62B2"/>
    <w:rsid w:val="006E2A55"/>
    <w:rsid w:val="00804D44"/>
    <w:rsid w:val="00912C48"/>
    <w:rsid w:val="0095280A"/>
    <w:rsid w:val="00960B02"/>
    <w:rsid w:val="00AC5D38"/>
    <w:rsid w:val="00AD448E"/>
    <w:rsid w:val="00B95F98"/>
    <w:rsid w:val="00BA207A"/>
    <w:rsid w:val="00CA0111"/>
    <w:rsid w:val="00E6266C"/>
    <w:rsid w:val="00ED648B"/>
    <w:rsid w:val="00F16FBA"/>
    <w:rsid w:val="00F404C1"/>
    <w:rsid w:val="00F816BC"/>
    <w:rsid w:val="00FC1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319999"/>
  <w15:docId w15:val="{BE47E9F3-7C26-4D3C-B9B1-A506183FF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spacing w:before="480" w:after="200"/>
      <w:outlineLvl w:val="0"/>
    </w:pPr>
    <w:rPr>
      <w:rFonts w:ascii="Arial" w:eastAsia="Arial" w:hAnsi="Arial" w:cs="Arial"/>
      <w:sz w:val="40"/>
      <w:szCs w:val="40"/>
    </w:rPr>
  </w:style>
  <w:style w:type="paragraph" w:styleId="Nadpis2">
    <w:name w:val="heading 2"/>
    <w:basedOn w:val="Normln"/>
    <w:next w:val="Normln"/>
    <w:link w:val="Nadpis2Char"/>
    <w:uiPriority w:val="9"/>
    <w:unhideWhenUsed/>
    <w:qFormat/>
    <w:pPr>
      <w:keepNext/>
      <w:keepLines/>
      <w:spacing w:before="360" w:after="200"/>
      <w:outlineLvl w:val="1"/>
    </w:pPr>
    <w:rPr>
      <w:rFonts w:ascii="Arial" w:eastAsia="Arial" w:hAnsi="Arial" w:cs="Arial"/>
      <w:sz w:val="34"/>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sz w:val="24"/>
      <w:szCs w:val="24"/>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Arial" w:eastAsia="Arial" w:hAnsi="Arial" w:cs="Arial"/>
      <w:sz w:val="40"/>
      <w:szCs w:val="40"/>
    </w:rPr>
  </w:style>
  <w:style w:type="character" w:customStyle="1" w:styleId="Nadpis2Char">
    <w:name w:val="Nadpis 2 Char"/>
    <w:basedOn w:val="Standardnpsmoodstavce"/>
    <w:link w:val="Nadpis2"/>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after="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lang w:eastAsia="cs-CZ"/>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lang w:eastAsia="cs-CZ"/>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lang w:eastAsia="cs-CZ"/>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lang w:eastAsia="cs-CZ"/>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lang w:eastAsia="cs-CZ"/>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lang w:eastAsia="cs-CZ"/>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lang w:eastAsia="cs-CZ"/>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poznpodarou">
    <w:name w:val="footnote text"/>
    <w:basedOn w:val="Normln"/>
    <w:link w:val="TextpoznpodarouChar"/>
    <w:uiPriority w:val="99"/>
    <w:semiHidden/>
    <w:unhideWhenUsed/>
    <w:pPr>
      <w:spacing w:after="40" w:line="240" w:lineRule="auto"/>
    </w:pPr>
    <w:rPr>
      <w:sz w:val="18"/>
    </w:rPr>
  </w:style>
  <w:style w:type="character" w:customStyle="1" w:styleId="TextpoznpodarouChar">
    <w:name w:val="Text pozn. pod čarou Char"/>
    <w:link w:val="Textpoznpodarou"/>
    <w:uiPriority w:val="99"/>
    <w:rPr>
      <w:sz w:val="18"/>
    </w:rPr>
  </w:style>
  <w:style w:type="character" w:styleId="Znakapoznpodarou">
    <w:name w:val="footnote reference"/>
    <w:basedOn w:val="Standardnpsmoodstavce"/>
    <w:uiPriority w:val="99"/>
    <w:unhideWhenUsed/>
    <w:rPr>
      <w:vertAlign w:val="superscript"/>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pPr>
      <w:spacing w:after="0"/>
    </w:pPr>
  </w:style>
  <w:style w:type="paragraph" w:customStyle="1" w:styleId="Default">
    <w:name w:val="Default"/>
    <w:pPr>
      <w:spacing w:after="0" w:line="240" w:lineRule="auto"/>
    </w:pPr>
    <w:rPr>
      <w:rFonts w:ascii="Verdana" w:hAnsi="Verdana" w:cs="Verdana"/>
      <w:color w:val="000000"/>
      <w:sz w:val="24"/>
      <w:szCs w:val="24"/>
    </w:r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table" w:styleId="Mkatabulky">
    <w:name w:val="Table Grid"/>
    <w:basedOn w:val="Normlntabulka"/>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Pr>
      <w:b/>
      <w:bCs/>
    </w:rPr>
  </w:style>
  <w:style w:type="paragraph" w:styleId="Odstavecseseznamem">
    <w:name w:val="List Paragraph"/>
    <w:basedOn w:val="Normln"/>
    <w:uiPriority w:val="34"/>
    <w:qFormat/>
    <w:pPr>
      <w:ind w:left="720"/>
      <w:contextualSpacing/>
    </w:pPr>
  </w:style>
  <w:style w:type="character" w:styleId="Hypertextovodkaz">
    <w:name w:val="Hyperlink"/>
    <w:basedOn w:val="Standardnpsmoodstavce"/>
    <w:uiPriority w:val="99"/>
    <w:unhideWhenUsed/>
    <w:rPr>
      <w:color w:val="0563C1" w:themeColor="hyperlink"/>
      <w:u w:val="single"/>
    </w:rPr>
  </w:style>
  <w:style w:type="character" w:styleId="Nevyeenzmnka">
    <w:name w:val="Unresolved Mention"/>
    <w:basedOn w:val="Standardnpsmoodstavce"/>
    <w:uiPriority w:val="99"/>
    <w:semiHidden/>
    <w:unhideWhenUsed/>
    <w:rPr>
      <w:color w:val="605E5C"/>
      <w:shd w:val="clear" w:color="auto" w:fill="E1DFDD"/>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BA207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A20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OJ:L_20230240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zp.cz/cz/socialni_klimaticky_fond" TargetMode="Externa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ergy.ec.europa.eu/document/download/8ad45f6a-ad97-48ef-b166-6499445aa8d0_en?filename=swd_on_the_recommendation_on_energy_poverty_swd2020960.pdf" TargetMode="External"/><Relationship Id="rId5" Type="http://schemas.openxmlformats.org/officeDocument/2006/relationships/footnotes" Target="footnotes.xml"/><Relationship Id="rId10" Type="http://schemas.openxmlformats.org/officeDocument/2006/relationships/hyperlink" Target="https://eur-lex.europa.eu/legal-content/EN/TXT/?uri=CELEX%3A32020H1563" TargetMode="External"/><Relationship Id="rId4" Type="http://schemas.openxmlformats.org/officeDocument/2006/relationships/webSettings" Target="webSettings.xml"/><Relationship Id="rId9" Type="http://schemas.openxmlformats.org/officeDocument/2006/relationships/hyperlink" Target="https://energy.ec.europa.eu/publications/commission-staff-working-document-eu-guidance-energy-poverty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4</Pages>
  <Words>1722</Words>
  <Characters>10209</Characters>
  <Application>Microsoft Office Word</Application>
  <DocSecurity>0</DocSecurity>
  <Lines>180</Lines>
  <Paragraphs>46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Hanousková Beáta</dc:creator>
  <cp:keywords/>
  <dc:description/>
  <cp:lastModifiedBy>Hanousková Beáta</cp:lastModifiedBy>
  <cp:revision>4</cp:revision>
  <dcterms:created xsi:type="dcterms:W3CDTF">2024-06-20T12:26:00Z</dcterms:created>
  <dcterms:modified xsi:type="dcterms:W3CDTF">2024-07-10T15:26:00Z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df86728c7a805632ac623fc5af8e0778dab15021375d3ecb2e24103bb7c7b6c7</vt:lpwstr>
  </property>
</Properties>
</file>